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3">
            <w:pPr>
              <w:widowControl w:val="0"/>
              <w:spacing w:after="0" w:line="240" w:lineRule="auto"/>
              <w:ind w:left="131" w:firstLine="0"/>
              <w:rPr/>
            </w:pPr>
            <w:r w:rsidDel="00000000" w:rsidR="00000000" w:rsidRPr="00000000">
              <w:rPr>
                <w:rFonts w:ascii="Arial" w:cs="Arial" w:eastAsia="Arial" w:hAnsi="Arial"/>
                <w:b w:val="1"/>
                <w:bCs w:val="1"/>
                <w:sz w:val="18"/>
                <w:szCs w:val="18"/>
                <w:rtl w:val="0"/>
              </w:rPr>
              <w:t xml:space="preserve">Date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4">
            <w:pPr>
              <w:rPr/>
            </w:pPr>
            <w:r w:rsidDel="00000000" w:rsidR="00000000" w:rsidRPr="00000000">
              <w:rPr>
                <w:rFonts w:ascii="Arial" w:cs="Arial" w:eastAsia="Arial" w:hAnsi="Arial"/>
                <w:sz w:val="18"/>
                <w:szCs w:val="18"/>
                <w:rtl w:val="0"/>
              </w:rPr>
              <w:t xml:space="preserve">28 August 2026</w:t>
            </w:r>
            <w:r w:rsidDel="00000000" w:rsidR="00000000" w:rsidRPr="00000000">
              <w:rPr>
                <w:rtl w:val="0"/>
              </w:rPr>
            </w:r>
          </w:p>
        </w:tc>
      </w:tr>
      <w:tr>
        <w:trPr>
          <w:cantSplit w:val="0"/>
          <w:trHeight w:val="27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after="0" w:line="240" w:lineRule="auto"/>
              <w:ind w:left="114" w:firstLine="0"/>
              <w:rPr/>
            </w:pPr>
            <w:r w:rsidDel="00000000" w:rsidR="00000000" w:rsidRPr="00000000">
              <w:rPr>
                <w:rFonts w:ascii="Arial" w:cs="Arial" w:eastAsia="Arial" w:hAnsi="Arial"/>
                <w:b w:val="1"/>
                <w:bCs w:val="1"/>
                <w:sz w:val="18"/>
                <w:szCs w:val="18"/>
                <w:rtl w:val="0"/>
              </w:rPr>
              <w:t xml:space="preserve">Team ID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sz w:val="18"/>
                <w:szCs w:val="18"/>
                <w:rtl w:val="0"/>
              </w:rPr>
              <w:t xml:space="preserve">____________</w:t>
            </w:r>
            <w:r w:rsidDel="00000000" w:rsidR="00000000" w:rsidRPr="00000000">
              <w:rPr>
                <w:rtl w:val="0"/>
              </w:rPr>
            </w:r>
          </w:p>
        </w:tc>
      </w:tr>
      <w:tr>
        <w:trPr>
          <w:cantSplit w:val="0"/>
          <w:trHeight w:val="27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after="0" w:line="240" w:lineRule="auto"/>
              <w:ind w:left="131" w:firstLine="0"/>
              <w:rPr/>
            </w:pPr>
            <w:r w:rsidDel="00000000" w:rsidR="00000000" w:rsidRPr="00000000">
              <w:rPr>
                <w:rFonts w:ascii="Arial" w:cs="Arial" w:eastAsia="Arial" w:hAnsi="Arial"/>
                <w:b w:val="1"/>
                <w:bCs w:val="1"/>
                <w:sz w:val="18"/>
                <w:szCs w:val="18"/>
                <w:rtl w:val="0"/>
              </w:rPr>
              <w:t xml:space="preserve">Project Name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sz w:val="18"/>
                <w:szCs w:val="18"/>
                <w:rtl w:val="0"/>
              </w:rPr>
              <w:t xml:space="preserve">AI Adoption and Impact in Global Education</w:t>
            </w:r>
            <w:r w:rsidDel="00000000" w:rsidR="00000000" w:rsidRPr="00000000">
              <w:rPr>
                <w:rtl w:val="0"/>
              </w:rPr>
            </w:r>
          </w:p>
        </w:tc>
      </w:tr>
      <w:tr>
        <w:trPr>
          <w:cantSplit w:val="0"/>
          <w:trHeight w:val="27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after="0" w:line="240" w:lineRule="auto"/>
              <w:ind w:left="131" w:firstLine="0"/>
              <w:rPr/>
            </w:pPr>
            <w:r w:rsidDel="00000000" w:rsidR="00000000" w:rsidRPr="00000000">
              <w:rPr>
                <w:rFonts w:ascii="Arial" w:cs="Arial" w:eastAsia="Arial" w:hAnsi="Arial"/>
                <w:b w:val="1"/>
                <w:bCs w:val="1"/>
                <w:sz w:val="18"/>
                <w:szCs w:val="18"/>
                <w:rtl w:val="0"/>
              </w:rPr>
              <w:t xml:space="preserve">Maximum Marks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5 Marks</w:t>
            </w:r>
            <w:r w:rsidDel="00000000" w:rsidR="00000000" w:rsidRPr="00000000">
              <w:rPr>
                <w:rtl w:val="0"/>
              </w:rPr>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b w:val="1"/>
          <w:bCs w:val="1"/>
          <w:sz w:val="24"/>
          <w:szCs w:val="24"/>
          <w:rtl w:val="0"/>
        </w:rPr>
        <w:t xml:space="preserve">Activity 1: Interactive and visually appealing dashboards</w:t>
      </w:r>
      <w:r w:rsidDel="00000000" w:rsidR="00000000" w:rsidRPr="00000000">
        <w:rPr>
          <w:rtl w:val="0"/>
        </w:rPr>
      </w:r>
    </w:p>
    <w:p w:rsidR="00000000" w:rsidDel="00000000" w:rsidP="00000000" w:rsidRDefault="00000000" w:rsidRPr="00000000" w14:paraId="0000000E">
      <w:pPr>
        <w:spacing w:after="200" w:line="240" w:lineRule="auto"/>
        <w:rPr>
          <w:b w:val="1"/>
          <w:bCs w:val="1"/>
          <w:sz w:val="28"/>
          <w:szCs w:val="28"/>
        </w:rPr>
      </w:pPr>
      <w:r w:rsidDel="00000000" w:rsidR="00000000" w:rsidRPr="00000000">
        <w:rPr>
          <w:b w:val="1"/>
          <w:bCs w:val="1"/>
          <w:sz w:val="24"/>
          <w:szCs w:val="24"/>
          <w:rtl w:val="0"/>
        </w:rPr>
        <w:t xml:space="preserve">Activity 2</w:t>
      </w:r>
      <w:r w:rsidDel="00000000" w:rsidR="00000000" w:rsidRPr="00000000">
        <w:rPr>
          <w:rtl w:val="0"/>
        </w:rPr>
      </w:r>
    </w:p>
    <w:p w:rsidR="00000000" w:rsidDel="00000000" w:rsidP="00000000" w:rsidRDefault="00000000" w:rsidRPr="00000000" w14:paraId="0000000F">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10">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11">
      <w:pPr>
        <w:spacing w:after="200" w:line="240" w:lineRule="auto"/>
        <w:rPr>
          <w:sz w:val="28"/>
          <w:szCs w:val="28"/>
        </w:rPr>
      </w:pPr>
      <w:hyperlink r:id="rId7">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p w:rsidR="00000000" w:rsidDel="00000000" w:rsidP="00000000" w:rsidRDefault="00000000" w:rsidRPr="00000000" w14:paraId="00000012">
      <w:pPr>
        <w:spacing w:before="60" w:lineRule="auto"/>
        <w:rPr/>
      </w:pPr>
      <w:r w:rsidDel="00000000" w:rsidR="00000000" w:rsidRPr="00000000">
        <w:rPr>
          <w:b w:val="1"/>
          <w:bCs w:val="1"/>
          <w:rtl w:val="0"/>
        </w:rPr>
        <w:t xml:space="preserve">• Clear and Intuitive Layout: </w:t>
      </w:r>
      <w:r w:rsidDel="00000000" w:rsidR="00000000" w:rsidRPr="00000000">
        <w:rPr>
          <w:rtl w:val="0"/>
        </w:rPr>
        <w:t xml:space="preserve">Organize the dashboard into a clear hierarchy: title and KPI cards at the top, major adoption comparisons in the central area, geographic/regional analysis below, and detailed supporting visuals at the bottom.</w:t>
      </w:r>
    </w:p>
    <w:p w:rsidR="00000000" w:rsidDel="00000000" w:rsidP="00000000" w:rsidRDefault="00000000" w:rsidRPr="00000000" w14:paraId="00000013">
      <w:pPr>
        <w:spacing w:before="60" w:lineRule="auto"/>
        <w:rPr/>
      </w:pPr>
      <w:r w:rsidDel="00000000" w:rsidR="00000000" w:rsidRPr="00000000">
        <w:rPr>
          <w:b w:val="1"/>
          <w:bCs w:val="1"/>
          <w:rtl w:val="0"/>
        </w:rPr>
        <w:t xml:space="preserve">• Use Appropriate Visualizations: </w:t>
      </w:r>
      <w:r w:rsidDel="00000000" w:rsidR="00000000" w:rsidRPr="00000000">
        <w:rPr>
          <w:rtl w:val="0"/>
        </w:rPr>
        <w:t xml:space="preserve">Use KPI cards for overall adoption indicators, bar charts for country/region comparisons, maps for geographic patterns, line or trend charts where a time field is available, scatter plots for relationships between adoption and infrastructure indicators, and heatmaps for demographic comparisons.</w:t>
      </w:r>
    </w:p>
    <w:p w:rsidR="00000000" w:rsidDel="00000000" w:rsidP="00000000" w:rsidRDefault="00000000" w:rsidRPr="00000000" w14:paraId="00000014">
      <w:pPr>
        <w:spacing w:before="60" w:lineRule="auto"/>
        <w:rPr/>
      </w:pPr>
      <w:r w:rsidDel="00000000" w:rsidR="00000000" w:rsidRPr="00000000">
        <w:rPr>
          <w:b w:val="1"/>
          <w:bCs w:val="1"/>
          <w:rtl w:val="0"/>
        </w:rPr>
        <w:t xml:space="preserve">• Colour and Theming: </w:t>
      </w:r>
      <w:r w:rsidDel="00000000" w:rsidR="00000000" w:rsidRPr="00000000">
        <w:rPr>
          <w:rtl w:val="0"/>
        </w:rPr>
        <w:t xml:space="preserve">Use a consistent professional theme throughout the Tableau dashboard. Maintain readable contrast, use a limited colour palette, and keep the same meaning for colours across charts.</w:t>
      </w:r>
    </w:p>
    <w:p w:rsidR="00000000" w:rsidDel="00000000" w:rsidP="00000000" w:rsidRDefault="00000000" w:rsidRPr="00000000" w14:paraId="00000015">
      <w:pPr>
        <w:spacing w:before="60" w:lineRule="auto"/>
        <w:rPr/>
      </w:pPr>
      <w:r w:rsidDel="00000000" w:rsidR="00000000" w:rsidRPr="00000000">
        <w:rPr>
          <w:b w:val="1"/>
          <w:bCs w:val="1"/>
          <w:rtl w:val="0"/>
        </w:rPr>
        <w:t xml:space="preserve">• Interactive Filters and Slicers: </w:t>
      </w:r>
      <w:r w:rsidDel="00000000" w:rsidR="00000000" w:rsidRPr="00000000">
        <w:rPr>
          <w:rtl w:val="0"/>
        </w:rPr>
        <w:t xml:space="preserve">Provide filters for country, region, demographic group, AI tool, student/teacher group, and other relevant fields available in the dataset. Filters should update related visuals.</w:t>
      </w:r>
    </w:p>
    <w:p w:rsidR="00000000" w:rsidDel="00000000" w:rsidP="00000000" w:rsidRDefault="00000000" w:rsidRPr="00000000" w14:paraId="00000016">
      <w:pPr>
        <w:spacing w:before="60" w:lineRule="auto"/>
        <w:rPr/>
      </w:pPr>
      <w:r w:rsidDel="00000000" w:rsidR="00000000" w:rsidRPr="00000000">
        <w:rPr>
          <w:b w:val="1"/>
          <w:bCs w:val="1"/>
          <w:rtl w:val="0"/>
        </w:rPr>
        <w:t xml:space="preserve">• Drill-Down Capabilities: </w:t>
      </w:r>
      <w:r w:rsidDel="00000000" w:rsidR="00000000" w:rsidRPr="00000000">
        <w:rPr>
          <w:rtl w:val="0"/>
        </w:rPr>
        <w:t xml:space="preserve">Allow users to move from global or regional summaries to country-level details where the Tableau data structure supports drill-down.</w:t>
      </w:r>
    </w:p>
    <w:p w:rsidR="00000000" w:rsidDel="00000000" w:rsidP="00000000" w:rsidRDefault="00000000" w:rsidRPr="00000000" w14:paraId="00000017">
      <w:pPr>
        <w:spacing w:before="60" w:lineRule="auto"/>
        <w:rPr/>
      </w:pPr>
      <w:r w:rsidDel="00000000" w:rsidR="00000000" w:rsidRPr="00000000">
        <w:rPr>
          <w:b w:val="1"/>
          <w:bCs w:val="1"/>
          <w:rtl w:val="0"/>
        </w:rPr>
        <w:t xml:space="preserve">• Responsive Design: </w:t>
      </w:r>
      <w:r w:rsidDel="00000000" w:rsidR="00000000" w:rsidRPr="00000000">
        <w:rPr>
          <w:rtl w:val="0"/>
        </w:rPr>
        <w:t xml:space="preserve">Design the dashboard so charts, KPI cards, labels, and filters remain readable on common desktop screen sizes and do not overlap.</w:t>
      </w:r>
    </w:p>
    <w:p w:rsidR="00000000" w:rsidDel="00000000" w:rsidP="00000000" w:rsidRDefault="00000000" w:rsidRPr="00000000" w14:paraId="00000018">
      <w:pPr>
        <w:spacing w:before="60" w:lineRule="auto"/>
        <w:rPr/>
      </w:pPr>
      <w:r w:rsidDel="00000000" w:rsidR="00000000" w:rsidRPr="00000000">
        <w:rPr>
          <w:b w:val="1"/>
          <w:bCs w:val="1"/>
          <w:rtl w:val="0"/>
        </w:rPr>
        <w:t xml:space="preserve">• Custom Visuals and Icons: </w:t>
      </w:r>
      <w:r w:rsidDel="00000000" w:rsidR="00000000" w:rsidRPr="00000000">
        <w:rPr>
          <w:rtl w:val="0"/>
        </w:rPr>
        <w:t xml:space="preserve">Use simple icons or visual indicators for major measures such as student adoption, teacher adoption, school adoption, internet penetration, and education index where appropriate.</w:t>
      </w:r>
    </w:p>
    <w:p w:rsidR="00000000" w:rsidDel="00000000" w:rsidP="00000000" w:rsidRDefault="00000000" w:rsidRPr="00000000" w14:paraId="00000019">
      <w:pPr>
        <w:spacing w:before="60" w:lineRule="auto"/>
        <w:rPr/>
      </w:pPr>
      <w:r w:rsidDel="00000000" w:rsidR="00000000" w:rsidRPr="00000000">
        <w:rPr>
          <w:b w:val="1"/>
          <w:bCs w:val="1"/>
          <w:rtl w:val="0"/>
        </w:rPr>
        <w:t xml:space="preserve">• Use of Infographics: </w:t>
      </w:r>
      <w:r w:rsidDel="00000000" w:rsidR="00000000" w:rsidRPr="00000000">
        <w:rPr>
          <w:rtl w:val="0"/>
        </w:rPr>
        <w:t xml:space="preserve">Use concise annotations, KPI cards, and callout sections to communicate important findings without overcrowding the dashboard.</w:t>
      </w:r>
    </w:p>
    <w:p w:rsidR="00000000" w:rsidDel="00000000" w:rsidP="00000000" w:rsidRDefault="00000000" w:rsidRPr="00000000" w14:paraId="0000001A">
      <w:pPr>
        <w:rPr/>
      </w:pPr>
      <w:r w:rsidDel="00000000" w:rsidR="00000000" w:rsidRPr="00000000">
        <w:rPr>
          <w:b w:val="1"/>
          <w:bCs w:val="1"/>
          <w:sz w:val="22"/>
          <w:szCs w:val="22"/>
          <w:rtl w:val="0"/>
        </w:rPr>
        <w:t xml:space="preserve">Suggested Dashboard Structure</w:t>
      </w:r>
      <w:r w:rsidDel="00000000" w:rsidR="00000000" w:rsidRPr="00000000">
        <w:rPr>
          <w:rtl w:val="0"/>
        </w:rPr>
      </w:r>
    </w:p>
    <w:p w:rsidR="00000000" w:rsidDel="00000000" w:rsidP="00000000" w:rsidRDefault="00000000" w:rsidRPr="00000000" w14:paraId="0000001B">
      <w:pPr>
        <w:ind w:left="288" w:firstLine="0"/>
        <w:rPr/>
      </w:pPr>
      <w:r w:rsidDel="00000000" w:rsidR="00000000" w:rsidRPr="00000000">
        <w:rPr>
          <w:rtl w:val="0"/>
        </w:rPr>
        <w:t xml:space="preserve">• Dashboard 1 – Global Overview: KPI cards, global/regional adoption, country map, and key filters.</w:t>
      </w:r>
    </w:p>
    <w:p w:rsidR="00000000" w:rsidDel="00000000" w:rsidP="00000000" w:rsidRDefault="00000000" w:rsidRPr="00000000" w14:paraId="0000001C">
      <w:pPr>
        <w:ind w:left="288" w:firstLine="0"/>
        <w:rPr/>
      </w:pPr>
      <w:r w:rsidDel="00000000" w:rsidR="00000000" w:rsidRPr="00000000">
        <w:rPr>
          <w:rtl w:val="0"/>
        </w:rPr>
        <w:t xml:space="preserve">• Dashboard 2 – Adoption Analysis: student vs teacher adoption, school adoption, AI tool usage, and daily usage time.</w:t>
      </w:r>
    </w:p>
    <w:p w:rsidR="00000000" w:rsidDel="00000000" w:rsidP="00000000" w:rsidRDefault="00000000" w:rsidRPr="00000000" w14:paraId="0000001D">
      <w:pPr>
        <w:ind w:left="288" w:firstLine="0"/>
        <w:rPr/>
      </w:pPr>
      <w:r w:rsidDel="00000000" w:rsidR="00000000" w:rsidRPr="00000000">
        <w:rPr>
          <w:rtl w:val="0"/>
        </w:rPr>
        <w:t xml:space="preserve">• Dashboard 3 – Infrastructure &amp; Policy: internet penetration, education index, government policy indicators, and adoption relationships.</w:t>
      </w:r>
    </w:p>
    <w:p w:rsidR="00000000" w:rsidDel="00000000" w:rsidP="00000000" w:rsidRDefault="00000000" w:rsidRPr="00000000" w14:paraId="0000001E">
      <w:pPr>
        <w:ind w:left="288" w:firstLine="0"/>
        <w:rPr/>
      </w:pPr>
      <w:r w:rsidDel="00000000" w:rsidR="00000000" w:rsidRPr="00000000">
        <w:rPr>
          <w:rtl w:val="0"/>
        </w:rPr>
        <w:t xml:space="preserve">• Dashboard 4 – Demographic &amp; Regional Gaps: demographic comparisons, regional disparities, and focused filters.</w:t>
      </w:r>
    </w:p>
    <w:p w:rsidR="00000000" w:rsidDel="00000000" w:rsidP="00000000" w:rsidRDefault="00000000" w:rsidRPr="00000000" w14:paraId="0000001F">
      <w:pPr>
        <w:rPr/>
      </w:pPr>
      <w:r w:rsidDel="00000000" w:rsidR="00000000" w:rsidRPr="00000000">
        <w:rPr>
          <w:b w:val="1"/>
          <w:bCs w:val="1"/>
          <w:sz w:val="22"/>
          <w:szCs w:val="22"/>
          <w:rtl w:val="0"/>
        </w:rPr>
        <w:t xml:space="preserve">Major Outcomes</w:t>
      </w:r>
      <w:r w:rsidDel="00000000" w:rsidR="00000000" w:rsidRPr="00000000">
        <w:rPr>
          <w:rtl w:val="0"/>
        </w:rPr>
      </w:r>
    </w:p>
    <w:p w:rsidR="00000000" w:rsidDel="00000000" w:rsidP="00000000" w:rsidRDefault="00000000" w:rsidRPr="00000000" w14:paraId="00000020">
      <w:pPr>
        <w:ind w:left="288" w:firstLine="0"/>
        <w:rPr/>
      </w:pPr>
      <w:r w:rsidDel="00000000" w:rsidR="00000000" w:rsidRPr="00000000">
        <w:rPr>
          <w:rtl w:val="0"/>
        </w:rPr>
        <w:t xml:space="preserve">• The dashboard will provide a clear overview of AI adoption among students, teachers, and schools across countries and regions.</w:t>
      </w:r>
    </w:p>
    <w:p w:rsidR="00000000" w:rsidDel="00000000" w:rsidP="00000000" w:rsidRDefault="00000000" w:rsidRPr="00000000" w14:paraId="00000021">
      <w:pPr>
        <w:ind w:left="288" w:firstLine="0"/>
        <w:rPr/>
      </w:pPr>
      <w:r w:rsidDel="00000000" w:rsidR="00000000" w:rsidRPr="00000000">
        <w:rPr>
          <w:rtl w:val="0"/>
        </w:rPr>
        <w:t xml:space="preserve">• Country and regional comparisons will help identify areas with relatively high or low AI adoption.</w:t>
      </w:r>
    </w:p>
    <w:p w:rsidR="00000000" w:rsidDel="00000000" w:rsidP="00000000" w:rsidRDefault="00000000" w:rsidRPr="00000000" w14:paraId="00000022">
      <w:pPr>
        <w:ind w:left="288" w:firstLine="0"/>
        <w:rPr/>
      </w:pPr>
      <w:r w:rsidDel="00000000" w:rsidR="00000000" w:rsidRPr="00000000">
        <w:rPr>
          <w:rtl w:val="0"/>
        </w:rPr>
        <w:t xml:space="preserve">• AI tool usage and daily usage-time visuals will show differences in how educational AI is being used.</w:t>
      </w:r>
    </w:p>
    <w:p w:rsidR="00000000" w:rsidDel="00000000" w:rsidP="00000000" w:rsidRDefault="00000000" w:rsidRPr="00000000" w14:paraId="00000023">
      <w:pPr>
        <w:ind w:left="288" w:firstLine="0"/>
        <w:rPr/>
      </w:pPr>
      <w:r w:rsidDel="00000000" w:rsidR="00000000" w:rsidRPr="00000000">
        <w:rPr>
          <w:rtl w:val="0"/>
        </w:rPr>
        <w:t xml:space="preserve">• Infrastructure and education indicators can be compared with AI adoption to identify potential relationships and patterns.</w:t>
      </w:r>
    </w:p>
    <w:p w:rsidR="00000000" w:rsidDel="00000000" w:rsidP="00000000" w:rsidRDefault="00000000" w:rsidRPr="00000000" w14:paraId="00000024">
      <w:pPr>
        <w:ind w:left="288" w:firstLine="0"/>
        <w:rPr/>
      </w:pPr>
      <w:r w:rsidDel="00000000" w:rsidR="00000000" w:rsidRPr="00000000">
        <w:rPr>
          <w:rtl w:val="0"/>
        </w:rPr>
        <w:t xml:space="preserve">• Government policy information can be viewed alongside adoption indicators to support analysis of policy environments.</w:t>
      </w:r>
    </w:p>
    <w:p w:rsidR="00000000" w:rsidDel="00000000" w:rsidP="00000000" w:rsidRDefault="00000000" w:rsidRPr="00000000" w14:paraId="00000025">
      <w:pPr>
        <w:ind w:left="288" w:firstLine="0"/>
        <w:rPr/>
      </w:pPr>
      <w:r w:rsidDel="00000000" w:rsidR="00000000" w:rsidRPr="00000000">
        <w:rPr>
          <w:rtl w:val="0"/>
        </w:rPr>
        <w:t xml:space="preserve">• Demographic and regional views will help identify potential adoption gaps and support discussion of equitable AI integration.</w:t>
      </w:r>
    </w:p>
    <w:p w:rsidR="00000000" w:rsidDel="00000000" w:rsidP="00000000" w:rsidRDefault="00000000" w:rsidRPr="00000000" w14:paraId="00000026">
      <w:pPr>
        <w:ind w:left="288" w:firstLine="0"/>
        <w:rPr/>
      </w:pPr>
      <w:r w:rsidDel="00000000" w:rsidR="00000000" w:rsidRPr="00000000">
        <w:rPr>
          <w:rtl w:val="0"/>
        </w:rPr>
        <w:t xml:space="preserve">• Interactive filters and drill-downs will allow different stakeholders to explore the data according to their specific needs.</w:t>
      </w:r>
    </w:p>
    <w:p w:rsidR="00000000" w:rsidDel="00000000" w:rsidP="00000000" w:rsidRDefault="00000000" w:rsidRPr="00000000" w14:paraId="00000027">
      <w:pPr>
        <w:rPr/>
      </w:pPr>
      <w:r w:rsidDel="00000000" w:rsidR="00000000" w:rsidRPr="00000000">
        <w:rPr>
          <w:rtl w:val="0"/>
        </w:rPr>
        <w:t xml:space="preserve">Publish the completed dashboard on Tableau Public and paste the public dashboard link below.</w:t>
      </w:r>
    </w:p>
    <w:p w:rsidR="00000000" w:rsidDel="00000000" w:rsidP="00000000" w:rsidRDefault="00000000" w:rsidRPr="00000000" w14:paraId="00000028">
      <w:pPr>
        <w:rPr>
          <w:b w:val="1"/>
          <w:bCs w:val="1"/>
        </w:rPr>
      </w:pPr>
      <w:r w:rsidDel="00000000" w:rsidR="00000000" w:rsidRPr="00000000">
        <w:rPr>
          <w:b w:val="1"/>
          <w:bCs w:val="1"/>
          <w:rtl w:val="0"/>
        </w:rPr>
        <w:t xml:space="preserve">Tableau Public Dashboard Link: </w:t>
      </w:r>
      <w:hyperlink r:id="rId8">
        <w:r w:rsidDel="00000000" w:rsidR="00000000" w:rsidRPr="00000000">
          <w:rPr>
            <w:color w:val="1155cc"/>
            <w:u w:val="single"/>
            <w:rtl w:val="0"/>
          </w:rPr>
          <w:t xml:space="preserve">https://public.tableau.com/app/profile/prathmesh.waghmare3827/viz/ProjectDashboard_17874360763640/Dashboard1</w:t>
        </w:r>
      </w:hyperlink>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Dashboard Screenshot(s): </w:t>
      </w:r>
      <w:r w:rsidDel="00000000" w:rsidR="00000000" w:rsidRPr="00000000">
        <w:rPr/>
        <w:drawing>
          <wp:inline distB="114300" distT="114300" distL="114300" distR="114300">
            <wp:extent cx="6095048" cy="383296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95048" cy="383296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6152198" cy="386890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52198" cy="386890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sz w:val="17"/>
          <w:szCs w:val="17"/>
          <w:rtl w:val="0"/>
        </w:rPr>
        <w:t xml:space="preserve">Note: Actual dashboard values and outcomes should be updated after the Tableau visualizations are finalized. No numerical results have been invented in this report.</w:t>
      </w:r>
      <w:r w:rsidDel="00000000" w:rsidR="00000000" w:rsidRPr="00000000">
        <w:rPr>
          <w:rtl w:val="0"/>
        </w:rPr>
      </w:r>
    </w:p>
    <w:sectPr>
      <w:pgSz w:h="16838" w:w="11906" w:orient="portrait"/>
      <w:pgMar w:bottom="792" w:top="792"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ublic.tableau.com/views/SalesDashboard_17247660582000/Dashboard1?:language=en-US&amp;publish=yes&amp;:sid=&amp;:redirect=auth&amp;:display_count=n&amp;:origin=viz_share_link" TargetMode="External"/><Relationship Id="rId8" Type="http://schemas.openxmlformats.org/officeDocument/2006/relationships/hyperlink" Target="https://public.tableau.com/app/profile/prathmesh.waghmare3827/viz/ProjectDashboard_17874360763640/Dashboa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