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63DA3" w14:textId="6EE6A93A" w:rsidR="00383CEB" w:rsidRPr="00C56647" w:rsidRDefault="005E0A57" w:rsidP="008714E5">
      <w:pPr>
        <w:pStyle w:val="Title"/>
        <w:pBdr>
          <w:bottom w:val="single" w:sz="8" w:space="4" w:color="4F81BD" w:themeColor="accent1"/>
        </w:pBdr>
        <w:spacing w:after="480" w:line="240" w:lineRule="auto"/>
        <w:jc w:val="both"/>
        <w:rPr>
          <w:rFonts w:ascii="Times New Roman" w:hAnsi="Times New Roman" w:cs="Times New Roman"/>
          <w:b/>
          <w:bCs/>
          <w:color w:val="17365D" w:themeColor="text2" w:themeShade="BF"/>
          <w:spacing w:val="5"/>
          <w:kern w:val="28"/>
          <w:sz w:val="48"/>
          <w:szCs w:val="48"/>
          <w:lang w:val="en-IN"/>
        </w:rPr>
      </w:pPr>
      <w:r w:rsidRPr="00C56647">
        <w:rPr>
          <w:rFonts w:ascii="Times New Roman" w:hAnsi="Times New Roman" w:cs="Times New Roman"/>
          <w:b/>
          <w:bCs/>
          <w:sz w:val="48"/>
          <w:szCs w:val="48"/>
          <w:lang w:val="en-IN"/>
        </w:rPr>
        <w:t>MACHINE</w:t>
      </w:r>
      <w:r w:rsidR="00E50BD6" w:rsidRPr="00C56647">
        <w:rPr>
          <w:rFonts w:ascii="Times New Roman" w:hAnsi="Times New Roman" w:cs="Times New Roman"/>
          <w:b/>
          <w:bCs/>
          <w:sz w:val="48"/>
          <w:szCs w:val="48"/>
          <w:lang w:val="en-IN"/>
        </w:rPr>
        <w:t xml:space="preserve"> </w:t>
      </w:r>
      <w:r w:rsidRPr="00C56647">
        <w:rPr>
          <w:rFonts w:ascii="Times New Roman" w:hAnsi="Times New Roman" w:cs="Times New Roman"/>
          <w:b/>
          <w:bCs/>
          <w:sz w:val="48"/>
          <w:szCs w:val="48"/>
          <w:lang w:val="en-IN"/>
        </w:rPr>
        <w:t>LEARNING</w:t>
      </w:r>
      <w:r w:rsidR="008E3EA2" w:rsidRPr="00C56647">
        <w:rPr>
          <w:rFonts w:ascii="Times New Roman" w:hAnsi="Times New Roman" w:cs="Times New Roman"/>
          <w:b/>
          <w:bCs/>
          <w:sz w:val="48"/>
          <w:szCs w:val="48"/>
          <w:lang w:val="en-IN"/>
        </w:rPr>
        <w:t>-BASED EMPLOYEE ATTRITION</w:t>
      </w:r>
      <w:r w:rsidR="00C56647">
        <w:rPr>
          <w:rFonts w:ascii="Times New Roman" w:hAnsi="Times New Roman" w:cs="Times New Roman"/>
          <w:b/>
          <w:bCs/>
          <w:sz w:val="48"/>
          <w:szCs w:val="48"/>
          <w:lang w:val="en-IN"/>
        </w:rPr>
        <w:t xml:space="preserve"> </w:t>
      </w:r>
      <w:r w:rsidR="008E3EA2" w:rsidRPr="00C56647">
        <w:rPr>
          <w:rFonts w:ascii="Times New Roman" w:hAnsi="Times New Roman" w:cs="Times New Roman"/>
          <w:b/>
          <w:bCs/>
          <w:sz w:val="48"/>
          <w:szCs w:val="48"/>
          <w:lang w:val="en-IN"/>
        </w:rPr>
        <w:t xml:space="preserve">PREDICTION AND </w:t>
      </w:r>
      <w:r w:rsidR="005126F3" w:rsidRPr="00C56647">
        <w:rPr>
          <w:rFonts w:ascii="Times New Roman" w:hAnsi="Times New Roman" w:cs="Times New Roman"/>
          <w:b/>
          <w:bCs/>
          <w:sz w:val="48"/>
          <w:szCs w:val="48"/>
          <w:lang w:val="en-IN"/>
        </w:rPr>
        <w:t>RISK SCORING SYSTEM</w:t>
      </w:r>
      <w:r w:rsidR="001215A4">
        <w:rPr>
          <w:rFonts w:ascii="Times New Roman" w:hAnsi="Times New Roman" w:cs="Times New Roman"/>
          <w:b/>
          <w:bCs/>
          <w:sz w:val="48"/>
          <w:szCs w:val="48"/>
          <w:lang w:val="en-IN"/>
        </w:rPr>
        <w:t xml:space="preserve"> AT ALTO POLO </w:t>
      </w:r>
      <w:r w:rsidR="00F13C90">
        <w:rPr>
          <w:rFonts w:ascii="Times New Roman" w:hAnsi="Times New Roman" w:cs="Times New Roman"/>
          <w:b/>
          <w:bCs/>
          <w:sz w:val="48"/>
          <w:szCs w:val="48"/>
          <w:lang w:val="en-IN"/>
        </w:rPr>
        <w:t>NETWORKS</w:t>
      </w:r>
    </w:p>
    <w:p w14:paraId="1A100F5C" w14:textId="23078317" w:rsidR="00DC065C" w:rsidRPr="005E1DF8" w:rsidRDefault="00DC065C" w:rsidP="00DB5A5A">
      <w:pPr>
        <w:pStyle w:val="Title"/>
        <w:jc w:val="both"/>
        <w:rPr>
          <w:rFonts w:ascii="Times New Roman" w:hAnsi="Times New Roman" w:cs="Times New Roman"/>
        </w:rPr>
      </w:pPr>
    </w:p>
    <w:p w14:paraId="5AD6F8F0" w14:textId="77777777" w:rsidR="00BF0006" w:rsidRDefault="00546F8A" w:rsidP="00F13C90">
      <w:pPr>
        <w:jc w:val="center"/>
        <w:rPr>
          <w:rFonts w:ascii="Times New Roman" w:hAnsi="Times New Roman" w:cs="Times New Roman"/>
          <w:b/>
          <w:sz w:val="36"/>
          <w:szCs w:val="36"/>
        </w:rPr>
      </w:pPr>
      <w:r w:rsidRPr="005E1DF8">
        <w:rPr>
          <w:rFonts w:ascii="Times New Roman" w:hAnsi="Times New Roman" w:cs="Times New Roman"/>
          <w:b/>
        </w:rPr>
        <w:br/>
      </w:r>
    </w:p>
    <w:p w14:paraId="3C90B615" w14:textId="77777777" w:rsidR="00125D30" w:rsidRDefault="00125D30" w:rsidP="00F13C90">
      <w:pPr>
        <w:jc w:val="center"/>
        <w:rPr>
          <w:rFonts w:ascii="Times New Roman" w:hAnsi="Times New Roman" w:cs="Times New Roman"/>
          <w:b/>
          <w:sz w:val="36"/>
          <w:szCs w:val="36"/>
        </w:rPr>
      </w:pPr>
    </w:p>
    <w:p w14:paraId="7EF8E86D" w14:textId="77777777" w:rsidR="00125D30" w:rsidRDefault="00125D30" w:rsidP="00F13C90">
      <w:pPr>
        <w:jc w:val="center"/>
        <w:rPr>
          <w:rFonts w:ascii="Times New Roman" w:hAnsi="Times New Roman" w:cs="Times New Roman"/>
          <w:b/>
          <w:sz w:val="36"/>
          <w:szCs w:val="36"/>
        </w:rPr>
      </w:pPr>
    </w:p>
    <w:p w14:paraId="593F14A4" w14:textId="77777777" w:rsidR="00125D30" w:rsidRDefault="00125D30" w:rsidP="00F13C90">
      <w:pPr>
        <w:jc w:val="center"/>
        <w:rPr>
          <w:rFonts w:ascii="Times New Roman" w:hAnsi="Times New Roman" w:cs="Times New Roman"/>
          <w:b/>
          <w:sz w:val="36"/>
          <w:szCs w:val="36"/>
        </w:rPr>
      </w:pPr>
    </w:p>
    <w:p w14:paraId="2E146EEC" w14:textId="2DF98A65" w:rsidR="00F13C90" w:rsidRPr="00AC0165" w:rsidRDefault="00546F8A" w:rsidP="00F13C90">
      <w:pPr>
        <w:jc w:val="center"/>
        <w:rPr>
          <w:rFonts w:ascii="Times New Roman" w:hAnsi="Times New Roman" w:cs="Times New Roman"/>
          <w:b/>
          <w:sz w:val="36"/>
          <w:szCs w:val="36"/>
        </w:rPr>
      </w:pPr>
      <w:r w:rsidRPr="00AC0165">
        <w:rPr>
          <w:rFonts w:ascii="Times New Roman" w:hAnsi="Times New Roman" w:cs="Times New Roman"/>
          <w:b/>
          <w:sz w:val="36"/>
          <w:szCs w:val="36"/>
        </w:rPr>
        <w:t>Research Paper</w:t>
      </w:r>
    </w:p>
    <w:p w14:paraId="796A4E10" w14:textId="780761CF" w:rsidR="00F13C90" w:rsidRPr="00AC0165" w:rsidRDefault="007E644E" w:rsidP="00F13C90">
      <w:pPr>
        <w:jc w:val="center"/>
        <w:rPr>
          <w:rFonts w:ascii="Times New Roman" w:hAnsi="Times New Roman" w:cs="Times New Roman"/>
          <w:b/>
          <w:sz w:val="36"/>
          <w:szCs w:val="36"/>
        </w:rPr>
      </w:pPr>
      <w:r>
        <w:rPr>
          <w:rFonts w:ascii="Times New Roman" w:hAnsi="Times New Roman" w:cs="Times New Roman"/>
          <w:b/>
          <w:sz w:val="36"/>
          <w:szCs w:val="36"/>
        </w:rPr>
        <w:t>&amp;</w:t>
      </w:r>
    </w:p>
    <w:p w14:paraId="7529F5E4" w14:textId="60F02FE5" w:rsidR="00DC065C" w:rsidRPr="00AC0165" w:rsidRDefault="00546F8A" w:rsidP="00F13C90">
      <w:pPr>
        <w:jc w:val="center"/>
        <w:rPr>
          <w:rFonts w:ascii="Times New Roman" w:hAnsi="Times New Roman" w:cs="Times New Roman"/>
          <w:sz w:val="36"/>
          <w:szCs w:val="36"/>
        </w:rPr>
      </w:pPr>
      <w:r w:rsidRPr="00AC0165">
        <w:rPr>
          <w:rFonts w:ascii="Times New Roman" w:hAnsi="Times New Roman" w:cs="Times New Roman"/>
          <w:b/>
          <w:sz w:val="36"/>
          <w:szCs w:val="36"/>
        </w:rPr>
        <w:t>Dashboard-Based Analytical Report</w:t>
      </w:r>
    </w:p>
    <w:p w14:paraId="27B4EC63" w14:textId="77777777" w:rsidR="00AC0165" w:rsidRDefault="00546F8A" w:rsidP="00AC0165">
      <w:pPr>
        <w:jc w:val="center"/>
        <w:rPr>
          <w:rFonts w:ascii="Times New Roman" w:hAnsi="Times New Roman" w:cs="Times New Roman"/>
        </w:rPr>
      </w:pPr>
      <w:r w:rsidRPr="005E1DF8">
        <w:rPr>
          <w:rFonts w:ascii="Times New Roman" w:hAnsi="Times New Roman" w:cs="Times New Roman"/>
        </w:rPr>
        <w:br/>
        <w:t>Prepared from the Power BI analytical dashboard</w:t>
      </w:r>
    </w:p>
    <w:p w14:paraId="62635353" w14:textId="77777777" w:rsidR="006D7149" w:rsidRDefault="006D7149" w:rsidP="00DB5A5A">
      <w:pPr>
        <w:jc w:val="both"/>
        <w:rPr>
          <w:rFonts w:ascii="Times New Roman" w:hAnsi="Times New Roman" w:cs="Times New Roman"/>
        </w:rPr>
      </w:pPr>
    </w:p>
    <w:p w14:paraId="387B0F6B" w14:textId="77777777" w:rsidR="006D7149" w:rsidRDefault="006D7149" w:rsidP="00DB5A5A">
      <w:pPr>
        <w:jc w:val="both"/>
        <w:rPr>
          <w:rFonts w:ascii="Times New Roman" w:hAnsi="Times New Roman" w:cs="Times New Roman"/>
        </w:rPr>
      </w:pPr>
    </w:p>
    <w:p w14:paraId="1DE786B4" w14:textId="77777777" w:rsidR="006D7149" w:rsidRDefault="006D7149" w:rsidP="00DB5A5A">
      <w:pPr>
        <w:jc w:val="both"/>
        <w:rPr>
          <w:rFonts w:ascii="Times New Roman" w:hAnsi="Times New Roman" w:cs="Times New Roman"/>
        </w:rPr>
      </w:pPr>
    </w:p>
    <w:p w14:paraId="17FC348E" w14:textId="77777777" w:rsidR="00645E45" w:rsidRDefault="00645E45" w:rsidP="00DB5A5A">
      <w:pPr>
        <w:jc w:val="both"/>
        <w:rPr>
          <w:rFonts w:ascii="Times New Roman" w:hAnsi="Times New Roman" w:cs="Times New Roman"/>
        </w:rPr>
      </w:pPr>
    </w:p>
    <w:p w14:paraId="56936927" w14:textId="77777777" w:rsidR="00645E45" w:rsidRDefault="00645E45" w:rsidP="00DB5A5A">
      <w:pPr>
        <w:jc w:val="both"/>
        <w:rPr>
          <w:rFonts w:ascii="Times New Roman" w:hAnsi="Times New Roman" w:cs="Times New Roman"/>
        </w:rPr>
      </w:pPr>
    </w:p>
    <w:p w14:paraId="5FF01215" w14:textId="77777777" w:rsidR="00645E45" w:rsidRDefault="00645E45" w:rsidP="00DB5A5A">
      <w:pPr>
        <w:jc w:val="both"/>
        <w:rPr>
          <w:rFonts w:ascii="Times New Roman" w:hAnsi="Times New Roman" w:cs="Times New Roman"/>
        </w:rPr>
      </w:pPr>
    </w:p>
    <w:p w14:paraId="507EFC05" w14:textId="77777777" w:rsidR="00645E45" w:rsidRDefault="00645E45" w:rsidP="00DB5A5A">
      <w:pPr>
        <w:jc w:val="both"/>
        <w:rPr>
          <w:rFonts w:ascii="Times New Roman" w:hAnsi="Times New Roman" w:cs="Times New Roman"/>
        </w:rPr>
      </w:pPr>
    </w:p>
    <w:p w14:paraId="6E7D8DD1" w14:textId="77777777" w:rsidR="00645E45" w:rsidRDefault="00645E45" w:rsidP="00DB5A5A">
      <w:pPr>
        <w:jc w:val="both"/>
        <w:rPr>
          <w:rFonts w:ascii="Times New Roman" w:hAnsi="Times New Roman" w:cs="Times New Roman"/>
        </w:rPr>
      </w:pPr>
    </w:p>
    <w:p w14:paraId="40B4B684" w14:textId="0AE5CFD1" w:rsidR="00A56327" w:rsidRPr="003D7BA0" w:rsidRDefault="00A56327" w:rsidP="003D7BA0">
      <w:pPr>
        <w:jc w:val="right"/>
        <w:rPr>
          <w:rFonts w:ascii="Times New Roman" w:hAnsi="Times New Roman" w:cs="Times New Roman"/>
          <w:b/>
          <w:bCs/>
        </w:rPr>
      </w:pPr>
      <w:r>
        <w:rPr>
          <w:rFonts w:ascii="Times New Roman" w:hAnsi="Times New Roman" w:cs="Times New Roman"/>
        </w:rPr>
        <w:t xml:space="preserve">                                                                                       </w:t>
      </w:r>
      <w:r w:rsidR="003D7BA0">
        <w:rPr>
          <w:rFonts w:ascii="Times New Roman" w:hAnsi="Times New Roman" w:cs="Times New Roman"/>
        </w:rPr>
        <w:t xml:space="preserve">        </w:t>
      </w:r>
      <w:r w:rsidRPr="003D7BA0">
        <w:rPr>
          <w:rFonts w:ascii="Times New Roman" w:hAnsi="Times New Roman" w:cs="Times New Roman"/>
          <w:b/>
          <w:bCs/>
        </w:rPr>
        <w:t>SUBMITTED BY: PRATHNA TALPADA</w:t>
      </w:r>
    </w:p>
    <w:p w14:paraId="3F8AE02C" w14:textId="77777777" w:rsidR="006D7149" w:rsidRDefault="006D7149" w:rsidP="00DB5A5A">
      <w:pPr>
        <w:jc w:val="both"/>
        <w:rPr>
          <w:rFonts w:ascii="Times New Roman" w:hAnsi="Times New Roman" w:cs="Times New Roman"/>
        </w:rPr>
      </w:pPr>
    </w:p>
    <w:p w14:paraId="60B12EB5" w14:textId="77777777" w:rsidR="006D7149" w:rsidRDefault="006D7149" w:rsidP="00DB5A5A">
      <w:pPr>
        <w:jc w:val="both"/>
        <w:rPr>
          <w:rFonts w:ascii="Times New Roman" w:hAnsi="Times New Roman" w:cs="Times New Roman"/>
        </w:rPr>
      </w:pPr>
    </w:p>
    <w:p w14:paraId="789493A1" w14:textId="77777777" w:rsidR="006D7149" w:rsidRDefault="006D7149" w:rsidP="00DB5A5A">
      <w:pPr>
        <w:jc w:val="both"/>
        <w:rPr>
          <w:rFonts w:ascii="Times New Roman" w:hAnsi="Times New Roman" w:cs="Times New Roman"/>
        </w:rPr>
      </w:pPr>
    </w:p>
    <w:p w14:paraId="0610B1C7" w14:textId="77777777" w:rsidR="006D7149" w:rsidRDefault="006D7149" w:rsidP="00DB5A5A">
      <w:pPr>
        <w:jc w:val="both"/>
        <w:rPr>
          <w:rFonts w:ascii="Times New Roman" w:hAnsi="Times New Roman" w:cs="Times New Roman"/>
        </w:rPr>
      </w:pPr>
    </w:p>
    <w:p w14:paraId="6C6DB4E5" w14:textId="77777777" w:rsidR="006D7149" w:rsidRDefault="006D7149" w:rsidP="00DB5A5A">
      <w:pPr>
        <w:jc w:val="both"/>
        <w:rPr>
          <w:rFonts w:ascii="Times New Roman" w:hAnsi="Times New Roman" w:cs="Times New Roman"/>
        </w:rPr>
      </w:pPr>
    </w:p>
    <w:p w14:paraId="696AA2B3" w14:textId="77777777" w:rsidR="006D7149" w:rsidRDefault="006D7149" w:rsidP="00DB5A5A">
      <w:pPr>
        <w:jc w:val="both"/>
        <w:rPr>
          <w:rFonts w:ascii="Times New Roman" w:hAnsi="Times New Roman" w:cs="Times New Roman"/>
        </w:rPr>
      </w:pPr>
    </w:p>
    <w:p w14:paraId="3CDC717F" w14:textId="77777777" w:rsidR="006D7149" w:rsidRDefault="006D7149" w:rsidP="00DB5A5A">
      <w:pPr>
        <w:jc w:val="both"/>
        <w:rPr>
          <w:rFonts w:ascii="Times New Roman" w:hAnsi="Times New Roman" w:cs="Times New Roman"/>
        </w:rPr>
      </w:pPr>
    </w:p>
    <w:p w14:paraId="075E6DA1" w14:textId="77777777" w:rsidR="006D7149" w:rsidRDefault="006D7149" w:rsidP="00DB5A5A">
      <w:pPr>
        <w:jc w:val="both"/>
        <w:rPr>
          <w:rFonts w:ascii="Times New Roman" w:hAnsi="Times New Roman" w:cs="Times New Roman"/>
        </w:rPr>
      </w:pPr>
    </w:p>
    <w:p w14:paraId="3EF76EA1" w14:textId="77777777" w:rsidR="006D7149" w:rsidRDefault="006D7149" w:rsidP="00DB5A5A">
      <w:pPr>
        <w:jc w:val="both"/>
        <w:rPr>
          <w:rFonts w:ascii="Times New Roman" w:hAnsi="Times New Roman" w:cs="Times New Roman"/>
        </w:rPr>
      </w:pPr>
    </w:p>
    <w:p w14:paraId="6DDB6B0D" w14:textId="77777777" w:rsidR="00DC065C" w:rsidRPr="005E1DF8" w:rsidRDefault="00546F8A" w:rsidP="006D7149">
      <w:pPr>
        <w:pStyle w:val="Heading1"/>
        <w:jc w:val="center"/>
        <w:rPr>
          <w:rFonts w:ascii="Times New Roman" w:hAnsi="Times New Roman" w:cs="Times New Roman"/>
        </w:rPr>
      </w:pPr>
      <w:r w:rsidRPr="005E1DF8">
        <w:rPr>
          <w:rFonts w:ascii="Times New Roman" w:hAnsi="Times New Roman" w:cs="Times New Roman"/>
        </w:rPr>
        <w:t>Abstract</w:t>
      </w:r>
    </w:p>
    <w:p w14:paraId="15A6D4C6"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Employee attrition is a strategic workforce problem because the departure of experienced and high-performing employees can affect productivity, knowledge continuity, team stability and recruitment costs. This research presents a dashboard-driven diagnostic analysis of employee engagement, satisfaction, workload, work-life balance and attrition risk at Palo Alto Networks. The study converts employee-level HR data into an interactive five-page Power BI decision-support framework.</w:t>
      </w:r>
    </w:p>
    <w:p w14:paraId="3C3D7DEE"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The analytical framework is organized into five dashboard perspectives: Executive Overview, Employee Analysis, Workload and Satisfaction, Predictive Attrition Risk, and a consolidated analytical view. The dashboard examines demographic, organizational and job-related variables and introduces a rule-based Risk Score using overtime, job satisfaction, environment satisfaction, work-life balance, promotion delay, distance from home and frequent business travel. Risk categories are then used to support employee-level prioritization.</w:t>
      </w:r>
    </w:p>
    <w:p w14:paraId="1E14F0AD"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The research follows a descriptive and diagnostic approach. Descriptive analysis establishes the workforce profile and attrition distribution; diagnostic analysis investigates relationships between attrition and workplace conditions; and the risk-scoring layer translates observed risk factors into an operational employee-retention signal. The results are intended to support HR leaders in identifying patterns that deserve intervention rather than treating attrition as a purely retrospective metric.</w:t>
      </w:r>
    </w:p>
    <w:p w14:paraId="2461CED4"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The report concludes that employee retention should be managed through an integrated combination of workload management, satisfaction improvement, career-development support, manager intervention and targeted risk monitoring. The Power BI dashboard provides a practical bridge between HR data and management action by allowing decision-makers to move from aggregate workforce indicators to department, job-role and employee-level risk patterns.</w:t>
      </w:r>
    </w:p>
    <w:p w14:paraId="57485469" w14:textId="77777777" w:rsidR="00DC065C" w:rsidRPr="005E1DF8" w:rsidRDefault="00546F8A" w:rsidP="006D7149">
      <w:pPr>
        <w:pStyle w:val="Heading1"/>
        <w:jc w:val="center"/>
        <w:rPr>
          <w:rFonts w:ascii="Times New Roman" w:hAnsi="Times New Roman" w:cs="Times New Roman"/>
        </w:rPr>
      </w:pPr>
      <w:r w:rsidRPr="005E1DF8">
        <w:rPr>
          <w:rFonts w:ascii="Times New Roman" w:hAnsi="Times New Roman" w:cs="Times New Roman"/>
        </w:rPr>
        <w:t>Keywords</w:t>
      </w:r>
    </w:p>
    <w:p w14:paraId="0CDB1F3B"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Employee attrition; employee engagement; job satisfaction; burnout; work-life balance; HR analytics; predictive risk; Power BI; workforce analytics; retention.</w:t>
      </w:r>
    </w:p>
    <w:p w14:paraId="4D49E12A" w14:textId="77777777" w:rsidR="00DC065C" w:rsidRPr="005E1DF8" w:rsidRDefault="00546F8A" w:rsidP="00DB5A5A">
      <w:pPr>
        <w:pStyle w:val="Heading1"/>
        <w:jc w:val="both"/>
        <w:rPr>
          <w:rFonts w:ascii="Times New Roman" w:hAnsi="Times New Roman" w:cs="Times New Roman"/>
        </w:rPr>
      </w:pPr>
      <w:r w:rsidRPr="005E1DF8">
        <w:rPr>
          <w:rFonts w:ascii="Times New Roman" w:hAnsi="Times New Roman" w:cs="Times New Roman"/>
        </w:rPr>
        <w:t>Table of Contents</w:t>
      </w:r>
    </w:p>
    <w:p w14:paraId="264FF415" w14:textId="77777777" w:rsidR="00DC065C" w:rsidRPr="005E1DF8" w:rsidRDefault="00546F8A" w:rsidP="007E644E">
      <w:pPr>
        <w:pStyle w:val="ListNumber"/>
        <w:numPr>
          <w:ilvl w:val="0"/>
          <w:numId w:val="0"/>
        </w:numPr>
        <w:ind w:left="360"/>
        <w:jc w:val="both"/>
        <w:rPr>
          <w:rFonts w:ascii="Times New Roman" w:hAnsi="Times New Roman" w:cs="Times New Roman"/>
        </w:rPr>
      </w:pPr>
      <w:r w:rsidRPr="005E1DF8">
        <w:rPr>
          <w:rFonts w:ascii="Times New Roman" w:hAnsi="Times New Roman" w:cs="Times New Roman"/>
        </w:rPr>
        <w:t>1. Introduction</w:t>
      </w:r>
    </w:p>
    <w:p w14:paraId="64538BB7" w14:textId="77777777" w:rsidR="00DC065C" w:rsidRPr="005E1DF8" w:rsidRDefault="00546F8A" w:rsidP="007E644E">
      <w:pPr>
        <w:pStyle w:val="ListNumber"/>
        <w:numPr>
          <w:ilvl w:val="0"/>
          <w:numId w:val="0"/>
        </w:numPr>
        <w:ind w:left="360"/>
        <w:jc w:val="both"/>
        <w:rPr>
          <w:rFonts w:ascii="Times New Roman" w:hAnsi="Times New Roman" w:cs="Times New Roman"/>
        </w:rPr>
      </w:pPr>
      <w:r w:rsidRPr="005E1DF8">
        <w:rPr>
          <w:rFonts w:ascii="Times New Roman" w:hAnsi="Times New Roman" w:cs="Times New Roman"/>
        </w:rPr>
        <w:t>2. Background and Problem Statement</w:t>
      </w:r>
    </w:p>
    <w:p w14:paraId="7423CD42" w14:textId="77777777" w:rsidR="00DC065C" w:rsidRPr="005E1DF8" w:rsidRDefault="00546F8A" w:rsidP="007E644E">
      <w:pPr>
        <w:pStyle w:val="ListNumber"/>
        <w:numPr>
          <w:ilvl w:val="0"/>
          <w:numId w:val="0"/>
        </w:numPr>
        <w:ind w:left="360"/>
        <w:jc w:val="both"/>
        <w:rPr>
          <w:rFonts w:ascii="Times New Roman" w:hAnsi="Times New Roman" w:cs="Times New Roman"/>
        </w:rPr>
      </w:pPr>
      <w:r w:rsidRPr="005E1DF8">
        <w:rPr>
          <w:rFonts w:ascii="Times New Roman" w:hAnsi="Times New Roman" w:cs="Times New Roman"/>
        </w:rPr>
        <w:t>3. Research Objectives</w:t>
      </w:r>
    </w:p>
    <w:p w14:paraId="1C865EC1" w14:textId="77777777" w:rsidR="00DC065C" w:rsidRPr="005E1DF8" w:rsidRDefault="00546F8A" w:rsidP="007E644E">
      <w:pPr>
        <w:pStyle w:val="ListNumber"/>
        <w:numPr>
          <w:ilvl w:val="0"/>
          <w:numId w:val="0"/>
        </w:numPr>
        <w:ind w:left="360"/>
        <w:jc w:val="both"/>
        <w:rPr>
          <w:rFonts w:ascii="Times New Roman" w:hAnsi="Times New Roman" w:cs="Times New Roman"/>
        </w:rPr>
      </w:pPr>
      <w:r w:rsidRPr="005E1DF8">
        <w:rPr>
          <w:rFonts w:ascii="Times New Roman" w:hAnsi="Times New Roman" w:cs="Times New Roman"/>
        </w:rPr>
        <w:t>4. Research Questions</w:t>
      </w:r>
    </w:p>
    <w:p w14:paraId="69EDDCAA" w14:textId="77777777" w:rsidR="00DC065C" w:rsidRPr="005E1DF8" w:rsidRDefault="00546F8A" w:rsidP="007E644E">
      <w:pPr>
        <w:pStyle w:val="ListNumber"/>
        <w:numPr>
          <w:ilvl w:val="0"/>
          <w:numId w:val="0"/>
        </w:numPr>
        <w:ind w:left="360"/>
        <w:jc w:val="both"/>
        <w:rPr>
          <w:rFonts w:ascii="Times New Roman" w:hAnsi="Times New Roman" w:cs="Times New Roman"/>
        </w:rPr>
      </w:pPr>
      <w:r w:rsidRPr="005E1DF8">
        <w:rPr>
          <w:rFonts w:ascii="Times New Roman" w:hAnsi="Times New Roman" w:cs="Times New Roman"/>
        </w:rPr>
        <w:t>5. Scope and Significance of the Study</w:t>
      </w:r>
    </w:p>
    <w:p w14:paraId="65375BB1" w14:textId="77777777" w:rsidR="00DC065C" w:rsidRPr="005E1DF8" w:rsidRDefault="00546F8A" w:rsidP="007E644E">
      <w:pPr>
        <w:pStyle w:val="ListNumber"/>
        <w:numPr>
          <w:ilvl w:val="0"/>
          <w:numId w:val="0"/>
        </w:numPr>
        <w:ind w:left="360"/>
        <w:jc w:val="both"/>
        <w:rPr>
          <w:rFonts w:ascii="Times New Roman" w:hAnsi="Times New Roman" w:cs="Times New Roman"/>
        </w:rPr>
      </w:pPr>
      <w:r w:rsidRPr="005E1DF8">
        <w:rPr>
          <w:rFonts w:ascii="Times New Roman" w:hAnsi="Times New Roman" w:cs="Times New Roman"/>
        </w:rPr>
        <w:t>6. Dataset and Data Preparation</w:t>
      </w:r>
    </w:p>
    <w:p w14:paraId="17C591C2" w14:textId="77777777" w:rsidR="00DC065C" w:rsidRPr="005E1DF8" w:rsidRDefault="00546F8A" w:rsidP="007E644E">
      <w:pPr>
        <w:pStyle w:val="ListNumber"/>
        <w:numPr>
          <w:ilvl w:val="0"/>
          <w:numId w:val="0"/>
        </w:numPr>
        <w:ind w:left="360"/>
        <w:jc w:val="both"/>
        <w:rPr>
          <w:rFonts w:ascii="Times New Roman" w:hAnsi="Times New Roman" w:cs="Times New Roman"/>
        </w:rPr>
      </w:pPr>
      <w:r w:rsidRPr="005E1DF8">
        <w:rPr>
          <w:rFonts w:ascii="Times New Roman" w:hAnsi="Times New Roman" w:cs="Times New Roman"/>
        </w:rPr>
        <w:t>7. Research Methodology</w:t>
      </w:r>
    </w:p>
    <w:p w14:paraId="11758E01" w14:textId="77777777" w:rsidR="00DC065C" w:rsidRPr="005E1DF8" w:rsidRDefault="00546F8A" w:rsidP="007E644E">
      <w:pPr>
        <w:pStyle w:val="ListNumber"/>
        <w:numPr>
          <w:ilvl w:val="0"/>
          <w:numId w:val="0"/>
        </w:numPr>
        <w:ind w:left="360"/>
        <w:jc w:val="both"/>
        <w:rPr>
          <w:rFonts w:ascii="Times New Roman" w:hAnsi="Times New Roman" w:cs="Times New Roman"/>
        </w:rPr>
      </w:pPr>
      <w:r w:rsidRPr="005E1DF8">
        <w:rPr>
          <w:rFonts w:ascii="Times New Roman" w:hAnsi="Times New Roman" w:cs="Times New Roman"/>
        </w:rPr>
        <w:t>8. Dashboard Architecture</w:t>
      </w:r>
    </w:p>
    <w:p w14:paraId="65D57DA0" w14:textId="77777777" w:rsidR="00DC065C" w:rsidRPr="005E1DF8" w:rsidRDefault="00546F8A" w:rsidP="007E644E">
      <w:pPr>
        <w:pStyle w:val="ListNumber"/>
        <w:numPr>
          <w:ilvl w:val="0"/>
          <w:numId w:val="0"/>
        </w:numPr>
        <w:ind w:left="360"/>
        <w:jc w:val="both"/>
        <w:rPr>
          <w:rFonts w:ascii="Times New Roman" w:hAnsi="Times New Roman" w:cs="Times New Roman"/>
        </w:rPr>
      </w:pPr>
      <w:r w:rsidRPr="005E1DF8">
        <w:rPr>
          <w:rFonts w:ascii="Times New Roman" w:hAnsi="Times New Roman" w:cs="Times New Roman"/>
        </w:rPr>
        <w:t>9. Dashboard-Based Analysis</w:t>
      </w:r>
    </w:p>
    <w:p w14:paraId="4A4144FB" w14:textId="77777777" w:rsidR="00DC065C" w:rsidRPr="005E1DF8" w:rsidRDefault="00546F8A" w:rsidP="007E644E">
      <w:pPr>
        <w:pStyle w:val="ListNumber"/>
        <w:numPr>
          <w:ilvl w:val="0"/>
          <w:numId w:val="0"/>
        </w:numPr>
        <w:ind w:left="360"/>
        <w:jc w:val="both"/>
        <w:rPr>
          <w:rFonts w:ascii="Times New Roman" w:hAnsi="Times New Roman" w:cs="Times New Roman"/>
        </w:rPr>
      </w:pPr>
      <w:r w:rsidRPr="005E1DF8">
        <w:rPr>
          <w:rFonts w:ascii="Times New Roman" w:hAnsi="Times New Roman" w:cs="Times New Roman"/>
        </w:rPr>
        <w:t>10. Attrition Risk Scoring Framework</w:t>
      </w:r>
    </w:p>
    <w:p w14:paraId="45003391" w14:textId="77777777" w:rsidR="00DC065C" w:rsidRPr="005E1DF8" w:rsidRDefault="00546F8A" w:rsidP="007E644E">
      <w:pPr>
        <w:pStyle w:val="ListNumber"/>
        <w:numPr>
          <w:ilvl w:val="0"/>
          <w:numId w:val="0"/>
        </w:numPr>
        <w:ind w:left="360"/>
        <w:jc w:val="both"/>
        <w:rPr>
          <w:rFonts w:ascii="Times New Roman" w:hAnsi="Times New Roman" w:cs="Times New Roman"/>
        </w:rPr>
      </w:pPr>
      <w:r w:rsidRPr="005E1DF8">
        <w:rPr>
          <w:rFonts w:ascii="Times New Roman" w:hAnsi="Times New Roman" w:cs="Times New Roman"/>
        </w:rPr>
        <w:t>11. Findings and Interpretation</w:t>
      </w:r>
    </w:p>
    <w:p w14:paraId="33C7081C" w14:textId="77777777" w:rsidR="00DC065C" w:rsidRPr="005E1DF8" w:rsidRDefault="00546F8A" w:rsidP="007E644E">
      <w:pPr>
        <w:pStyle w:val="ListNumber"/>
        <w:numPr>
          <w:ilvl w:val="0"/>
          <w:numId w:val="0"/>
        </w:numPr>
        <w:ind w:left="360"/>
        <w:jc w:val="both"/>
        <w:rPr>
          <w:rFonts w:ascii="Times New Roman" w:hAnsi="Times New Roman" w:cs="Times New Roman"/>
        </w:rPr>
      </w:pPr>
      <w:r w:rsidRPr="005E1DF8">
        <w:rPr>
          <w:rFonts w:ascii="Times New Roman" w:hAnsi="Times New Roman" w:cs="Times New Roman"/>
        </w:rPr>
        <w:t>12. Recommendations</w:t>
      </w:r>
    </w:p>
    <w:p w14:paraId="758EEA1E" w14:textId="77777777" w:rsidR="00DC065C" w:rsidRPr="005E1DF8" w:rsidRDefault="00546F8A" w:rsidP="007E644E">
      <w:pPr>
        <w:pStyle w:val="ListNumber"/>
        <w:numPr>
          <w:ilvl w:val="0"/>
          <w:numId w:val="0"/>
        </w:numPr>
        <w:ind w:left="360"/>
        <w:jc w:val="both"/>
        <w:rPr>
          <w:rFonts w:ascii="Times New Roman" w:hAnsi="Times New Roman" w:cs="Times New Roman"/>
        </w:rPr>
      </w:pPr>
      <w:r w:rsidRPr="005E1DF8">
        <w:rPr>
          <w:rFonts w:ascii="Times New Roman" w:hAnsi="Times New Roman" w:cs="Times New Roman"/>
        </w:rPr>
        <w:t>13. Limitations</w:t>
      </w:r>
    </w:p>
    <w:p w14:paraId="06B879D6" w14:textId="77777777" w:rsidR="00DC065C" w:rsidRPr="005E1DF8" w:rsidRDefault="00546F8A" w:rsidP="007E644E">
      <w:pPr>
        <w:pStyle w:val="ListNumber"/>
        <w:numPr>
          <w:ilvl w:val="0"/>
          <w:numId w:val="0"/>
        </w:numPr>
        <w:ind w:left="360"/>
        <w:jc w:val="both"/>
        <w:rPr>
          <w:rFonts w:ascii="Times New Roman" w:hAnsi="Times New Roman" w:cs="Times New Roman"/>
        </w:rPr>
      </w:pPr>
      <w:r w:rsidRPr="005E1DF8">
        <w:rPr>
          <w:rFonts w:ascii="Times New Roman" w:hAnsi="Times New Roman" w:cs="Times New Roman"/>
        </w:rPr>
        <w:t>14. Future Scope</w:t>
      </w:r>
    </w:p>
    <w:p w14:paraId="426C7344" w14:textId="77777777" w:rsidR="007E644E" w:rsidRDefault="007E644E" w:rsidP="00DB5A5A">
      <w:pPr>
        <w:jc w:val="both"/>
        <w:rPr>
          <w:rFonts w:ascii="Times New Roman" w:hAnsi="Times New Roman" w:cs="Times New Roman"/>
        </w:rPr>
      </w:pPr>
    </w:p>
    <w:p w14:paraId="59B4815F" w14:textId="558ED091" w:rsidR="00DC065C" w:rsidRPr="005E1DF8" w:rsidRDefault="00DC065C" w:rsidP="00DB5A5A">
      <w:pPr>
        <w:jc w:val="both"/>
        <w:rPr>
          <w:rFonts w:ascii="Times New Roman" w:hAnsi="Times New Roman" w:cs="Times New Roman"/>
        </w:rPr>
      </w:pPr>
    </w:p>
    <w:p w14:paraId="7CD3F046" w14:textId="77777777" w:rsidR="00DC065C" w:rsidRPr="005E1DF8" w:rsidRDefault="00546F8A" w:rsidP="005E1DF8">
      <w:pPr>
        <w:pStyle w:val="Heading1"/>
        <w:jc w:val="center"/>
        <w:rPr>
          <w:rFonts w:ascii="Times New Roman" w:hAnsi="Times New Roman" w:cs="Times New Roman"/>
        </w:rPr>
      </w:pPr>
      <w:r w:rsidRPr="005E1DF8">
        <w:rPr>
          <w:rFonts w:ascii="Times New Roman" w:hAnsi="Times New Roman" w:cs="Times New Roman"/>
        </w:rPr>
        <w:t>1. Introduction</w:t>
      </w:r>
    </w:p>
    <w:p w14:paraId="69B5BAAB"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Human resources analytics has evolved from simple reporting toward evidence-based workforce decision-making. Organizations increasingly need to understand not only how many employees leave, but also why employees may become disengaged, dissatisfied or vulnerable to turnover. In a high-performance cybersecurity organization, the impact of employee loss can be amplified because specialist knowledge, customer relationships, technical expertise and organizational experience may be difficult to replace quickly.</w:t>
      </w:r>
    </w:p>
    <w:p w14:paraId="7BC71B18"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This research focuses on the relationship between employee experience variables and attrition risk. The central premise is that attrition is often preceded by observable workplace signals. Overtime may indicate sustained workload pressure; low job satisfaction can indicate dissatisfaction with the role; low environmental satisfaction may signal an unfavorable work setting; weak work-life balance may indicate competing demands; and long promotion gaps may indicate stalled career progression.</w:t>
      </w:r>
    </w:p>
    <w:p w14:paraId="206753EB"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The accompanying Power BI dashboard is therefore designed as a diagnostic decision-support system rather than merely a visualization exercise. It combines workforce KPIs, demographic analysis, satisfaction indicators and a rule-based employee risk score so that HR stakeholders can examine the workforce at multiple levels of granularity.</w:t>
      </w:r>
    </w:p>
    <w:p w14:paraId="370B1CF0" w14:textId="77777777" w:rsidR="00DC065C" w:rsidRPr="005E1DF8" w:rsidRDefault="00546F8A" w:rsidP="005E1DF8">
      <w:pPr>
        <w:pStyle w:val="Heading1"/>
        <w:jc w:val="center"/>
        <w:rPr>
          <w:rFonts w:ascii="Times New Roman" w:hAnsi="Times New Roman" w:cs="Times New Roman"/>
        </w:rPr>
      </w:pPr>
      <w:r w:rsidRPr="005E1DF8">
        <w:rPr>
          <w:rFonts w:ascii="Times New Roman" w:hAnsi="Times New Roman" w:cs="Times New Roman"/>
        </w:rPr>
        <w:t>2. Background and Problem Statement</w:t>
      </w:r>
    </w:p>
    <w:p w14:paraId="4061F05D"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Palo Alto Networks operates in a technology environment where employee capability is closely linked to innovation, customer service and organizational performance. Attrition becomes strategically important when experienced employees leave unexpectedly or when high-risk employees are identified only after they have begun considering resignation.</w:t>
      </w:r>
    </w:p>
    <w:p w14:paraId="084EFD13"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Traditional HR reporting often answers questions such as total employees, attrition rate and average salary. Those metrics are useful but insufficient for proactive retention. Management also needs to understand where attrition is concentrated, which employee groups show lower satisfaction, how workload relates to risk, and which employees or roles may warrant further investigation.</w:t>
      </w:r>
    </w:p>
    <w:p w14:paraId="594F7AD9"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The project therefore addresses the following problem: the organization needs a systematic analytical framework that combines descriptive workforce reporting with diagnostic indicators and a transparent employee-level risk score. The framework should help HR move from reactive attrition reporting toward earlier identification of risk patterns.</w:t>
      </w:r>
    </w:p>
    <w:p w14:paraId="5928B278" w14:textId="77777777" w:rsidR="00DC065C" w:rsidRPr="005E1DF8" w:rsidRDefault="00546F8A" w:rsidP="00DB5A5A">
      <w:pPr>
        <w:pStyle w:val="Heading2"/>
        <w:jc w:val="both"/>
        <w:rPr>
          <w:rFonts w:ascii="Times New Roman" w:hAnsi="Times New Roman" w:cs="Times New Roman"/>
        </w:rPr>
      </w:pPr>
      <w:r w:rsidRPr="005E1DF8">
        <w:rPr>
          <w:rFonts w:ascii="Times New Roman" w:hAnsi="Times New Roman" w:cs="Times New Roman"/>
        </w:rPr>
        <w:t>2.1 Problem Statement</w:t>
      </w:r>
    </w:p>
    <w:p w14:paraId="0953850E"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The problem addressed by this study is the absence of a unified analytical view connecting employee demographics, job characteristics, satisfaction, workload and potential attrition risk. Without such integration, HR decision-makers may struggle to prioritize interventions and may rely on broad assumptions instead of evidence from employee data.</w:t>
      </w:r>
    </w:p>
    <w:p w14:paraId="7D9CE0CA" w14:textId="77777777" w:rsidR="006A6F20" w:rsidRDefault="006A6F20" w:rsidP="005E1DF8">
      <w:pPr>
        <w:pStyle w:val="Heading1"/>
        <w:jc w:val="center"/>
        <w:rPr>
          <w:rFonts w:ascii="Times New Roman" w:hAnsi="Times New Roman" w:cs="Times New Roman"/>
        </w:rPr>
        <w:sectPr w:rsidR="006A6F20" w:rsidSect="00034616">
          <w:footerReference w:type="default" r:id="rId7"/>
          <w:pgSz w:w="12240" w:h="15840"/>
          <w:pgMar w:top="1080" w:right="1224" w:bottom="1080" w:left="1224" w:header="720" w:footer="720" w:gutter="0"/>
          <w:cols w:space="720"/>
          <w:docGrid w:linePitch="360"/>
        </w:sectPr>
      </w:pPr>
    </w:p>
    <w:p w14:paraId="64242D4B" w14:textId="77777777" w:rsidR="00DC065C" w:rsidRPr="005E1DF8" w:rsidRDefault="00546F8A" w:rsidP="005E1DF8">
      <w:pPr>
        <w:pStyle w:val="Heading1"/>
        <w:jc w:val="center"/>
        <w:rPr>
          <w:rFonts w:ascii="Times New Roman" w:hAnsi="Times New Roman" w:cs="Times New Roman"/>
        </w:rPr>
      </w:pPr>
      <w:r w:rsidRPr="005E1DF8">
        <w:rPr>
          <w:rFonts w:ascii="Times New Roman" w:hAnsi="Times New Roman" w:cs="Times New Roman"/>
        </w:rPr>
        <w:t>3. Research Objectives</w:t>
      </w:r>
    </w:p>
    <w:p w14:paraId="5AEA93D3" w14:textId="77777777" w:rsidR="00DC065C" w:rsidRPr="005E1DF8" w:rsidRDefault="00546F8A" w:rsidP="00DB5A5A">
      <w:pPr>
        <w:pStyle w:val="ListNumber"/>
        <w:jc w:val="both"/>
        <w:rPr>
          <w:rFonts w:ascii="Times New Roman" w:hAnsi="Times New Roman" w:cs="Times New Roman"/>
        </w:rPr>
      </w:pPr>
      <w:r w:rsidRPr="005E1DF8">
        <w:rPr>
          <w:rFonts w:ascii="Times New Roman" w:hAnsi="Times New Roman" w:cs="Times New Roman"/>
        </w:rPr>
        <w:t>To develop an integrated HR analytics dashboard for employee engagement, satisfaction, workload and attrition analysis.</w:t>
      </w:r>
    </w:p>
    <w:p w14:paraId="7435EFF9" w14:textId="77777777" w:rsidR="00DC065C" w:rsidRPr="005E1DF8" w:rsidRDefault="00546F8A" w:rsidP="00DB5A5A">
      <w:pPr>
        <w:pStyle w:val="ListNumber"/>
        <w:jc w:val="both"/>
        <w:rPr>
          <w:rFonts w:ascii="Times New Roman" w:hAnsi="Times New Roman" w:cs="Times New Roman"/>
        </w:rPr>
      </w:pPr>
      <w:r w:rsidRPr="005E1DF8">
        <w:rPr>
          <w:rFonts w:ascii="Times New Roman" w:hAnsi="Times New Roman" w:cs="Times New Roman"/>
        </w:rPr>
        <w:t>To examine attrition patterns across departments, gender, age groups and job roles.</w:t>
      </w:r>
    </w:p>
    <w:p w14:paraId="544419FE" w14:textId="77777777" w:rsidR="00DC065C" w:rsidRPr="005E1DF8" w:rsidRDefault="00546F8A" w:rsidP="00DB5A5A">
      <w:pPr>
        <w:pStyle w:val="ListNumber"/>
        <w:jc w:val="both"/>
        <w:rPr>
          <w:rFonts w:ascii="Times New Roman" w:hAnsi="Times New Roman" w:cs="Times New Roman"/>
        </w:rPr>
      </w:pPr>
      <w:r w:rsidRPr="005E1DF8">
        <w:rPr>
          <w:rFonts w:ascii="Times New Roman" w:hAnsi="Times New Roman" w:cs="Times New Roman"/>
        </w:rPr>
        <w:t>To analyze the distribution of salary, experience, job level, education and career progression indicators.</w:t>
      </w:r>
    </w:p>
    <w:p w14:paraId="53A60CE6" w14:textId="77777777" w:rsidR="00DC065C" w:rsidRPr="005E1DF8" w:rsidRDefault="00546F8A" w:rsidP="00DB5A5A">
      <w:pPr>
        <w:pStyle w:val="ListNumber"/>
        <w:jc w:val="both"/>
        <w:rPr>
          <w:rFonts w:ascii="Times New Roman" w:hAnsi="Times New Roman" w:cs="Times New Roman"/>
        </w:rPr>
      </w:pPr>
      <w:r w:rsidRPr="005E1DF8">
        <w:rPr>
          <w:rFonts w:ascii="Times New Roman" w:hAnsi="Times New Roman" w:cs="Times New Roman"/>
        </w:rPr>
        <w:t>To evaluate job satisfaction, environment satisfaction, relationship satisfaction, work-life balance, job involvement and overtime.</w:t>
      </w:r>
    </w:p>
    <w:p w14:paraId="2449B56A" w14:textId="77777777" w:rsidR="00DC065C" w:rsidRPr="005E1DF8" w:rsidRDefault="00546F8A" w:rsidP="00DB5A5A">
      <w:pPr>
        <w:pStyle w:val="ListNumber"/>
        <w:jc w:val="both"/>
        <w:rPr>
          <w:rFonts w:ascii="Times New Roman" w:hAnsi="Times New Roman" w:cs="Times New Roman"/>
        </w:rPr>
      </w:pPr>
      <w:r w:rsidRPr="005E1DF8">
        <w:rPr>
          <w:rFonts w:ascii="Times New Roman" w:hAnsi="Times New Roman" w:cs="Times New Roman"/>
        </w:rPr>
        <w:t>To construct a transparent employee-level Risk Score from observable workforce risk indicators.</w:t>
      </w:r>
    </w:p>
    <w:p w14:paraId="3AC15F87" w14:textId="77777777" w:rsidR="00DC065C" w:rsidRPr="005E1DF8" w:rsidRDefault="00546F8A" w:rsidP="00DB5A5A">
      <w:pPr>
        <w:pStyle w:val="ListNumber"/>
        <w:jc w:val="both"/>
        <w:rPr>
          <w:rFonts w:ascii="Times New Roman" w:hAnsi="Times New Roman" w:cs="Times New Roman"/>
        </w:rPr>
      </w:pPr>
      <w:r w:rsidRPr="005E1DF8">
        <w:rPr>
          <w:rFonts w:ascii="Times New Roman" w:hAnsi="Times New Roman" w:cs="Times New Roman"/>
        </w:rPr>
        <w:t>To classify employees into practical risk categories for HR monitoring.</w:t>
      </w:r>
    </w:p>
    <w:p w14:paraId="277A847A" w14:textId="77777777" w:rsidR="00DC065C" w:rsidRPr="005E1DF8" w:rsidRDefault="00546F8A" w:rsidP="00DB5A5A">
      <w:pPr>
        <w:pStyle w:val="ListNumber"/>
        <w:jc w:val="both"/>
        <w:rPr>
          <w:rFonts w:ascii="Times New Roman" w:hAnsi="Times New Roman" w:cs="Times New Roman"/>
        </w:rPr>
      </w:pPr>
      <w:r w:rsidRPr="005E1DF8">
        <w:rPr>
          <w:rFonts w:ascii="Times New Roman" w:hAnsi="Times New Roman" w:cs="Times New Roman"/>
        </w:rPr>
        <w:t>To translate analytical findings into actionable employee-retention recommendations.</w:t>
      </w:r>
    </w:p>
    <w:p w14:paraId="22390C45" w14:textId="77777777" w:rsidR="00DC065C" w:rsidRPr="005E1DF8" w:rsidRDefault="00546F8A" w:rsidP="00DB5A5A">
      <w:pPr>
        <w:pStyle w:val="ListNumber"/>
        <w:jc w:val="both"/>
        <w:rPr>
          <w:rFonts w:ascii="Times New Roman" w:hAnsi="Times New Roman" w:cs="Times New Roman"/>
        </w:rPr>
      </w:pPr>
      <w:r w:rsidRPr="005E1DF8">
        <w:rPr>
          <w:rFonts w:ascii="Times New Roman" w:hAnsi="Times New Roman" w:cs="Times New Roman"/>
        </w:rPr>
        <w:t>To demonstrate how Power BI can support evidence-based workforce decisions.</w:t>
      </w:r>
    </w:p>
    <w:p w14:paraId="019885A4" w14:textId="77777777" w:rsidR="00DC065C" w:rsidRPr="005E1DF8" w:rsidRDefault="00546F8A" w:rsidP="005E1DF8">
      <w:pPr>
        <w:pStyle w:val="Heading1"/>
        <w:jc w:val="center"/>
        <w:rPr>
          <w:rFonts w:ascii="Times New Roman" w:hAnsi="Times New Roman" w:cs="Times New Roman"/>
        </w:rPr>
      </w:pPr>
      <w:r w:rsidRPr="005E1DF8">
        <w:rPr>
          <w:rFonts w:ascii="Times New Roman" w:hAnsi="Times New Roman" w:cs="Times New Roman"/>
        </w:rPr>
        <w:t>4. Research Questions</w:t>
      </w:r>
    </w:p>
    <w:p w14:paraId="534B9E7F" w14:textId="77777777" w:rsidR="00DC065C" w:rsidRPr="005E1DF8" w:rsidRDefault="00546F8A" w:rsidP="00DB5A5A">
      <w:pPr>
        <w:pStyle w:val="ListNumber"/>
        <w:jc w:val="both"/>
        <w:rPr>
          <w:rFonts w:ascii="Times New Roman" w:hAnsi="Times New Roman" w:cs="Times New Roman"/>
        </w:rPr>
      </w:pPr>
      <w:r w:rsidRPr="005E1DF8">
        <w:rPr>
          <w:rFonts w:ascii="Times New Roman" w:hAnsi="Times New Roman" w:cs="Times New Roman"/>
        </w:rPr>
        <w:t>Which workforce segments show meaningful differences in attrition?</w:t>
      </w:r>
    </w:p>
    <w:p w14:paraId="170C57A4" w14:textId="77777777" w:rsidR="00DC065C" w:rsidRPr="005E1DF8" w:rsidRDefault="00546F8A" w:rsidP="00DB5A5A">
      <w:pPr>
        <w:pStyle w:val="ListNumber"/>
        <w:jc w:val="both"/>
        <w:rPr>
          <w:rFonts w:ascii="Times New Roman" w:hAnsi="Times New Roman" w:cs="Times New Roman"/>
        </w:rPr>
      </w:pPr>
      <w:r w:rsidRPr="005E1DF8">
        <w:rPr>
          <w:rFonts w:ascii="Times New Roman" w:hAnsi="Times New Roman" w:cs="Times New Roman"/>
        </w:rPr>
        <w:t>How are satisfaction and work-life balance indicators associated with employee risk?</w:t>
      </w:r>
    </w:p>
    <w:p w14:paraId="4F8AE3ED" w14:textId="77777777" w:rsidR="00DC065C" w:rsidRPr="005E1DF8" w:rsidRDefault="00546F8A" w:rsidP="00DB5A5A">
      <w:pPr>
        <w:pStyle w:val="ListNumber"/>
        <w:jc w:val="both"/>
        <w:rPr>
          <w:rFonts w:ascii="Times New Roman" w:hAnsi="Times New Roman" w:cs="Times New Roman"/>
        </w:rPr>
      </w:pPr>
      <w:r w:rsidRPr="005E1DF8">
        <w:rPr>
          <w:rFonts w:ascii="Times New Roman" w:hAnsi="Times New Roman" w:cs="Times New Roman"/>
        </w:rPr>
        <w:t>Does overtime appear as an important contributor to the employee risk score?</w:t>
      </w:r>
    </w:p>
    <w:p w14:paraId="1E56E187" w14:textId="77777777" w:rsidR="00DC065C" w:rsidRPr="005E1DF8" w:rsidRDefault="00546F8A" w:rsidP="00DB5A5A">
      <w:pPr>
        <w:pStyle w:val="ListNumber"/>
        <w:jc w:val="both"/>
        <w:rPr>
          <w:rFonts w:ascii="Times New Roman" w:hAnsi="Times New Roman" w:cs="Times New Roman"/>
        </w:rPr>
      </w:pPr>
      <w:r w:rsidRPr="005E1DF8">
        <w:rPr>
          <w:rFonts w:ascii="Times New Roman" w:hAnsi="Times New Roman" w:cs="Times New Roman"/>
        </w:rPr>
        <w:t>How can promotion delay and career progression be incorporated into retention analysis?</w:t>
      </w:r>
    </w:p>
    <w:p w14:paraId="0616B723" w14:textId="77777777" w:rsidR="00DC065C" w:rsidRPr="005E1DF8" w:rsidRDefault="00546F8A" w:rsidP="00DB5A5A">
      <w:pPr>
        <w:pStyle w:val="ListNumber"/>
        <w:jc w:val="both"/>
        <w:rPr>
          <w:rFonts w:ascii="Times New Roman" w:hAnsi="Times New Roman" w:cs="Times New Roman"/>
        </w:rPr>
      </w:pPr>
      <w:r w:rsidRPr="005E1DF8">
        <w:rPr>
          <w:rFonts w:ascii="Times New Roman" w:hAnsi="Times New Roman" w:cs="Times New Roman"/>
        </w:rPr>
        <w:t>Which departments and job roles should receive greater attention from HR?</w:t>
      </w:r>
    </w:p>
    <w:p w14:paraId="307C6AF2" w14:textId="77777777" w:rsidR="00DC065C" w:rsidRPr="005E1DF8" w:rsidRDefault="00546F8A" w:rsidP="00DB5A5A">
      <w:pPr>
        <w:pStyle w:val="ListNumber"/>
        <w:jc w:val="both"/>
        <w:rPr>
          <w:rFonts w:ascii="Times New Roman" w:hAnsi="Times New Roman" w:cs="Times New Roman"/>
        </w:rPr>
      </w:pPr>
      <w:r w:rsidRPr="005E1DF8">
        <w:rPr>
          <w:rFonts w:ascii="Times New Roman" w:hAnsi="Times New Roman" w:cs="Times New Roman"/>
        </w:rPr>
        <w:t>Can a transparent rule-based risk score provide a useful prioritization mechanism for retention interventions?</w:t>
      </w:r>
    </w:p>
    <w:p w14:paraId="301F865B" w14:textId="77777777" w:rsidR="00DC065C" w:rsidRPr="005E1DF8" w:rsidRDefault="00546F8A" w:rsidP="00DB5A5A">
      <w:pPr>
        <w:pStyle w:val="ListNumber"/>
        <w:jc w:val="both"/>
        <w:rPr>
          <w:rFonts w:ascii="Times New Roman" w:hAnsi="Times New Roman" w:cs="Times New Roman"/>
        </w:rPr>
      </w:pPr>
      <w:r w:rsidRPr="005E1DF8">
        <w:rPr>
          <w:rFonts w:ascii="Times New Roman" w:hAnsi="Times New Roman" w:cs="Times New Roman"/>
        </w:rPr>
        <w:t>How can an interactive dashboard convert employee data into practical management decisions?</w:t>
      </w:r>
    </w:p>
    <w:p w14:paraId="44720CA0" w14:textId="77777777" w:rsidR="00DC065C" w:rsidRPr="005E1DF8" w:rsidRDefault="00546F8A" w:rsidP="005E1DF8">
      <w:pPr>
        <w:pStyle w:val="Heading1"/>
        <w:jc w:val="center"/>
        <w:rPr>
          <w:rFonts w:ascii="Times New Roman" w:hAnsi="Times New Roman" w:cs="Times New Roman"/>
        </w:rPr>
      </w:pPr>
      <w:r w:rsidRPr="005E1DF8">
        <w:rPr>
          <w:rFonts w:ascii="Times New Roman" w:hAnsi="Times New Roman" w:cs="Times New Roman"/>
        </w:rPr>
        <w:t>5. Scope and Significance of the Study</w:t>
      </w:r>
    </w:p>
    <w:p w14:paraId="665B3F79"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The scope covers employee-level HR variables represented in the project dataset and dashboard. The analysis includes demographic characteristics, compensation-related fields, organizational attributes, job characteristics, satisfaction measures, work-life indicators, overtime, travel, promotion history and attrition.</w:t>
      </w:r>
    </w:p>
    <w:p w14:paraId="559EEDA2"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The study is significant because it demonstrates a practical approach to workforce analytics. Instead of treating Power BI as a presentation layer only, the project uses the dashboard as an analytical interface through which HR professionals can investigate patterns, filter employee populations and prioritize potential interventions.</w:t>
      </w:r>
    </w:p>
    <w:p w14:paraId="4D0F302D"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The framework can also be adapted for recurring HR monitoring. For example, the same risk logic can be recalculated periodically as employee conditions change, allowing HR teams to compare risk patterns over time and evaluate whether interventions are associated with improvements.</w:t>
      </w:r>
    </w:p>
    <w:p w14:paraId="0A86B08E" w14:textId="77777777" w:rsidR="005231F0" w:rsidRDefault="005231F0" w:rsidP="005E1DF8">
      <w:pPr>
        <w:pStyle w:val="Heading1"/>
        <w:jc w:val="center"/>
        <w:rPr>
          <w:rFonts w:ascii="Times New Roman" w:hAnsi="Times New Roman" w:cs="Times New Roman"/>
        </w:rPr>
        <w:sectPr w:rsidR="005231F0" w:rsidSect="00034616">
          <w:pgSz w:w="12240" w:h="15840"/>
          <w:pgMar w:top="1080" w:right="1224" w:bottom="1080" w:left="1224" w:header="720" w:footer="720" w:gutter="0"/>
          <w:cols w:space="720"/>
          <w:docGrid w:linePitch="360"/>
        </w:sectPr>
      </w:pPr>
    </w:p>
    <w:p w14:paraId="5AB7FD65" w14:textId="77777777" w:rsidR="00DC065C" w:rsidRPr="005E1DF8" w:rsidRDefault="00546F8A" w:rsidP="005E1DF8">
      <w:pPr>
        <w:pStyle w:val="Heading1"/>
        <w:jc w:val="center"/>
        <w:rPr>
          <w:rFonts w:ascii="Times New Roman" w:hAnsi="Times New Roman" w:cs="Times New Roman"/>
        </w:rPr>
      </w:pPr>
      <w:r w:rsidRPr="005E1DF8">
        <w:rPr>
          <w:rFonts w:ascii="Times New Roman" w:hAnsi="Times New Roman" w:cs="Times New Roman"/>
        </w:rPr>
        <w:t>6. Dataset and Data Preparation</w:t>
      </w:r>
    </w:p>
    <w:p w14:paraId="5F80FDBB"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The project uses an employee HR dataset containing demographic, job, compensation, satisfaction and attrition-related variables. The dashboard model is designed around an employee-level analytical table. The project context includes a workforce dataset of 1,470 employee records.</w:t>
      </w:r>
    </w:p>
    <w:p w14:paraId="7292DA4E"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Important fields include Age, Attrition, BusinessTravel, Department, DistanceFromHome, Education, Gender, JobLevel, JobRole, MonthlyIncome, OverTime, JobSatisfaction, EnvironmentSatisfaction, RelationshipSatisfaction, WorkLifeBalance, JobInvolvement, YearsAtCompany and YearsSinceLastPromotion.</w:t>
      </w:r>
    </w:p>
    <w:p w14:paraId="06CDC758"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Data preparation is essential because HR analytics can be distorted by missing values, invalid categories, inconsistent coding and incorrect treatment of ordinal variables. Satisfaction-related variables use an ordinal scale from 1 to 4, so these values should be validated as ordered categories rather than interpreted as arbitrary numerical measurements.</w:t>
      </w:r>
    </w:p>
    <w:p w14:paraId="1F6528C1" w14:textId="77777777" w:rsidR="00DC065C" w:rsidRPr="005E1DF8" w:rsidRDefault="00546F8A" w:rsidP="00DB5A5A">
      <w:pPr>
        <w:pStyle w:val="Heading2"/>
        <w:jc w:val="both"/>
        <w:rPr>
          <w:rFonts w:ascii="Times New Roman" w:hAnsi="Times New Roman" w:cs="Times New Roman"/>
        </w:rPr>
      </w:pPr>
      <w:r w:rsidRPr="005E1DF8">
        <w:rPr>
          <w:rFonts w:ascii="Times New Roman" w:hAnsi="Times New Roman" w:cs="Times New Roman"/>
        </w:rPr>
        <w:t>6.1 Data Validation</w:t>
      </w:r>
    </w:p>
    <w:p w14:paraId="06D926EB" w14:textId="77777777" w:rsidR="00DC065C" w:rsidRPr="005E1DF8" w:rsidRDefault="00546F8A" w:rsidP="00DB5A5A">
      <w:pPr>
        <w:pStyle w:val="ListBullet"/>
        <w:jc w:val="both"/>
        <w:rPr>
          <w:rFonts w:ascii="Times New Roman" w:hAnsi="Times New Roman" w:cs="Times New Roman"/>
        </w:rPr>
      </w:pPr>
      <w:r w:rsidRPr="005E1DF8">
        <w:rPr>
          <w:rFonts w:ascii="Times New Roman" w:hAnsi="Times New Roman" w:cs="Times New Roman"/>
        </w:rPr>
        <w:t>Validate that ordinal satisfaction and work-life measures remain within the expected 1–4 range.</w:t>
      </w:r>
    </w:p>
    <w:p w14:paraId="53B6BEB1" w14:textId="77777777" w:rsidR="00DC065C" w:rsidRPr="005E1DF8" w:rsidRDefault="00546F8A" w:rsidP="00DB5A5A">
      <w:pPr>
        <w:pStyle w:val="ListBullet"/>
        <w:jc w:val="both"/>
        <w:rPr>
          <w:rFonts w:ascii="Times New Roman" w:hAnsi="Times New Roman" w:cs="Times New Roman"/>
        </w:rPr>
      </w:pPr>
      <w:r w:rsidRPr="005E1DF8">
        <w:rPr>
          <w:rFonts w:ascii="Times New Roman" w:hAnsi="Times New Roman" w:cs="Times New Roman"/>
        </w:rPr>
        <w:t>Check categorical fields for spelling or label inconsistencies.</w:t>
      </w:r>
    </w:p>
    <w:p w14:paraId="24BE646B" w14:textId="77777777" w:rsidR="00DC065C" w:rsidRPr="005E1DF8" w:rsidRDefault="00546F8A" w:rsidP="00DB5A5A">
      <w:pPr>
        <w:pStyle w:val="ListBullet"/>
        <w:jc w:val="both"/>
        <w:rPr>
          <w:rFonts w:ascii="Times New Roman" w:hAnsi="Times New Roman" w:cs="Times New Roman"/>
        </w:rPr>
      </w:pPr>
      <w:r w:rsidRPr="005E1DF8">
        <w:rPr>
          <w:rFonts w:ascii="Times New Roman" w:hAnsi="Times New Roman" w:cs="Times New Roman"/>
        </w:rPr>
        <w:t>Review missing satisfaction values and apply a documented treatment.</w:t>
      </w:r>
    </w:p>
    <w:p w14:paraId="371F27BA" w14:textId="77777777" w:rsidR="00DC065C" w:rsidRPr="005E1DF8" w:rsidRDefault="00546F8A" w:rsidP="00DB5A5A">
      <w:pPr>
        <w:pStyle w:val="ListBullet"/>
        <w:jc w:val="both"/>
        <w:rPr>
          <w:rFonts w:ascii="Times New Roman" w:hAnsi="Times New Roman" w:cs="Times New Roman"/>
        </w:rPr>
      </w:pPr>
      <w:r w:rsidRPr="005E1DF8">
        <w:rPr>
          <w:rFonts w:ascii="Times New Roman" w:hAnsi="Times New Roman" w:cs="Times New Roman"/>
        </w:rPr>
        <w:t>Check employee-level uniqueness and avoid duplicate employee records.</w:t>
      </w:r>
    </w:p>
    <w:p w14:paraId="4143CFA8" w14:textId="77777777" w:rsidR="00DC065C" w:rsidRPr="005E1DF8" w:rsidRDefault="00546F8A" w:rsidP="00DB5A5A">
      <w:pPr>
        <w:pStyle w:val="ListBullet"/>
        <w:jc w:val="both"/>
        <w:rPr>
          <w:rFonts w:ascii="Times New Roman" w:hAnsi="Times New Roman" w:cs="Times New Roman"/>
        </w:rPr>
      </w:pPr>
      <w:r w:rsidRPr="005E1DF8">
        <w:rPr>
          <w:rFonts w:ascii="Times New Roman" w:hAnsi="Times New Roman" w:cs="Times New Roman"/>
        </w:rPr>
        <w:t>Validate binary fields such as Attrition and OverTime.</w:t>
      </w:r>
    </w:p>
    <w:p w14:paraId="618225A3" w14:textId="77777777" w:rsidR="00DC065C" w:rsidRPr="005E1DF8" w:rsidRDefault="00546F8A" w:rsidP="00DB5A5A">
      <w:pPr>
        <w:pStyle w:val="ListBullet"/>
        <w:jc w:val="both"/>
        <w:rPr>
          <w:rFonts w:ascii="Times New Roman" w:hAnsi="Times New Roman" w:cs="Times New Roman"/>
        </w:rPr>
      </w:pPr>
      <w:r w:rsidRPr="005E1DF8">
        <w:rPr>
          <w:rFonts w:ascii="Times New Roman" w:hAnsi="Times New Roman" w:cs="Times New Roman"/>
        </w:rPr>
        <w:t>Check numeric variables for impossible or extreme values.</w:t>
      </w:r>
    </w:p>
    <w:p w14:paraId="58EAD49A" w14:textId="77777777" w:rsidR="00DC065C" w:rsidRPr="005E1DF8" w:rsidRDefault="00546F8A" w:rsidP="00DB5A5A">
      <w:pPr>
        <w:pStyle w:val="ListBullet"/>
        <w:jc w:val="both"/>
        <w:rPr>
          <w:rFonts w:ascii="Times New Roman" w:hAnsi="Times New Roman" w:cs="Times New Roman"/>
        </w:rPr>
      </w:pPr>
      <w:r w:rsidRPr="005E1DF8">
        <w:rPr>
          <w:rFonts w:ascii="Times New Roman" w:hAnsi="Times New Roman" w:cs="Times New Roman"/>
        </w:rPr>
        <w:t>Ensure consistent data types before building Power BI measures.</w:t>
      </w:r>
    </w:p>
    <w:p w14:paraId="43EAF17C" w14:textId="77777777" w:rsidR="00DC065C" w:rsidRPr="005E1DF8" w:rsidRDefault="00546F8A" w:rsidP="00DB5A5A">
      <w:pPr>
        <w:pStyle w:val="Heading2"/>
        <w:jc w:val="both"/>
        <w:rPr>
          <w:rFonts w:ascii="Times New Roman" w:hAnsi="Times New Roman" w:cs="Times New Roman"/>
        </w:rPr>
      </w:pPr>
      <w:r w:rsidRPr="005E1DF8">
        <w:rPr>
          <w:rFonts w:ascii="Times New Roman" w:hAnsi="Times New Roman" w:cs="Times New Roman"/>
        </w:rPr>
        <w:t>6.2 Data Normalization and Transformation</w:t>
      </w:r>
    </w:p>
    <w:p w14:paraId="273EFE36"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The dashboard requires consistent categorical labels and correctly typed numeric measures. Derived fields such as age groups, income bands, promotion-delay categories and risk categories improve interpretability. Transformations should be documented so that every KPI and visual can be traced back to a reproducible rule.</w:t>
      </w:r>
    </w:p>
    <w:p w14:paraId="36AB2121" w14:textId="77777777" w:rsidR="00DC065C" w:rsidRPr="005E1DF8" w:rsidRDefault="00546F8A" w:rsidP="005E1DF8">
      <w:pPr>
        <w:pStyle w:val="Heading1"/>
        <w:jc w:val="center"/>
        <w:rPr>
          <w:rFonts w:ascii="Times New Roman" w:hAnsi="Times New Roman" w:cs="Times New Roman"/>
        </w:rPr>
      </w:pPr>
      <w:r w:rsidRPr="005E1DF8">
        <w:rPr>
          <w:rFonts w:ascii="Times New Roman" w:hAnsi="Times New Roman" w:cs="Times New Roman"/>
        </w:rPr>
        <w:t>7. Research Methodology</w:t>
      </w:r>
    </w:p>
    <w:p w14:paraId="5E22BBB7"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The study uses a quantitative, dashboard-based descriptive and diagnostic research design. The methodology consists of five stages: data preparation, descriptive profiling, diagnostic analysis, risk-score construction and management interpretation.</w:t>
      </w:r>
    </w:p>
    <w:p w14:paraId="75883551" w14:textId="77777777" w:rsidR="00DC065C" w:rsidRPr="005E1DF8" w:rsidRDefault="00546F8A" w:rsidP="00DB5A5A">
      <w:pPr>
        <w:pStyle w:val="ListNumber"/>
        <w:jc w:val="both"/>
        <w:rPr>
          <w:rFonts w:ascii="Times New Roman" w:hAnsi="Times New Roman" w:cs="Times New Roman"/>
        </w:rPr>
      </w:pPr>
      <w:r w:rsidRPr="005E1DF8">
        <w:rPr>
          <w:rFonts w:ascii="Times New Roman" w:hAnsi="Times New Roman" w:cs="Times New Roman"/>
        </w:rPr>
        <w:t>Data preparation: clean, validate and standardize the HR dataset.</w:t>
      </w:r>
    </w:p>
    <w:p w14:paraId="05725C77" w14:textId="77777777" w:rsidR="00DC065C" w:rsidRPr="005E1DF8" w:rsidRDefault="00546F8A" w:rsidP="00DB5A5A">
      <w:pPr>
        <w:pStyle w:val="ListNumber"/>
        <w:jc w:val="both"/>
        <w:rPr>
          <w:rFonts w:ascii="Times New Roman" w:hAnsi="Times New Roman" w:cs="Times New Roman"/>
        </w:rPr>
      </w:pPr>
      <w:r w:rsidRPr="005E1DF8">
        <w:rPr>
          <w:rFonts w:ascii="Times New Roman" w:hAnsi="Times New Roman" w:cs="Times New Roman"/>
        </w:rPr>
        <w:t>Descriptive analysis: summarize workforce size, attrition, compensation, demographics and experience.</w:t>
      </w:r>
    </w:p>
    <w:p w14:paraId="0F51F469" w14:textId="77777777" w:rsidR="00DC065C" w:rsidRPr="005E1DF8" w:rsidRDefault="00546F8A" w:rsidP="00DB5A5A">
      <w:pPr>
        <w:pStyle w:val="ListNumber"/>
        <w:jc w:val="both"/>
        <w:rPr>
          <w:rFonts w:ascii="Times New Roman" w:hAnsi="Times New Roman" w:cs="Times New Roman"/>
        </w:rPr>
      </w:pPr>
      <w:r w:rsidRPr="005E1DF8">
        <w:rPr>
          <w:rFonts w:ascii="Times New Roman" w:hAnsi="Times New Roman" w:cs="Times New Roman"/>
        </w:rPr>
        <w:t>Diagnostic analysis: compare attrition and satisfaction across departments, roles and employee groups.</w:t>
      </w:r>
    </w:p>
    <w:p w14:paraId="561A15F1" w14:textId="77777777" w:rsidR="00DC065C" w:rsidRPr="005E1DF8" w:rsidRDefault="00546F8A" w:rsidP="00DB5A5A">
      <w:pPr>
        <w:pStyle w:val="ListNumber"/>
        <w:jc w:val="both"/>
        <w:rPr>
          <w:rFonts w:ascii="Times New Roman" w:hAnsi="Times New Roman" w:cs="Times New Roman"/>
        </w:rPr>
      </w:pPr>
      <w:r w:rsidRPr="005E1DF8">
        <w:rPr>
          <w:rFonts w:ascii="Times New Roman" w:hAnsi="Times New Roman" w:cs="Times New Roman"/>
        </w:rPr>
        <w:t>Risk modelling: calculate a transparent rule-based Risk Score from selected employee conditions.</w:t>
      </w:r>
    </w:p>
    <w:p w14:paraId="41C8A86D" w14:textId="77777777" w:rsidR="00DC065C" w:rsidRPr="005E1DF8" w:rsidRDefault="00546F8A" w:rsidP="00DB5A5A">
      <w:pPr>
        <w:pStyle w:val="ListNumber"/>
        <w:jc w:val="both"/>
        <w:rPr>
          <w:rFonts w:ascii="Times New Roman" w:hAnsi="Times New Roman" w:cs="Times New Roman"/>
        </w:rPr>
      </w:pPr>
      <w:r w:rsidRPr="005E1DF8">
        <w:rPr>
          <w:rFonts w:ascii="Times New Roman" w:hAnsi="Times New Roman" w:cs="Times New Roman"/>
        </w:rPr>
        <w:t>Decision support: translate risk patterns into retention actions and monitoring priorities.</w:t>
      </w:r>
    </w:p>
    <w:p w14:paraId="49F22A53"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This methodology is deliberately transparent. The risk model is not presented as a clinically or statistically validated prediction of resignation. It is a management prioritization score based on defined HR indicators. A future version can be statistically validated against historical attrition outcomes.</w:t>
      </w:r>
    </w:p>
    <w:p w14:paraId="6A4E8BFD" w14:textId="77777777" w:rsidR="00DC065C" w:rsidRPr="005E1DF8" w:rsidRDefault="00546F8A" w:rsidP="005E1DF8">
      <w:pPr>
        <w:pStyle w:val="Heading1"/>
        <w:jc w:val="center"/>
        <w:rPr>
          <w:rFonts w:ascii="Times New Roman" w:hAnsi="Times New Roman" w:cs="Times New Roman"/>
        </w:rPr>
      </w:pPr>
      <w:r w:rsidRPr="005E1DF8">
        <w:rPr>
          <w:rFonts w:ascii="Times New Roman" w:hAnsi="Times New Roman" w:cs="Times New Roman"/>
        </w:rPr>
        <w:t>8. Dashboard Architecture</w:t>
      </w:r>
    </w:p>
    <w:p w14:paraId="625D60F2" w14:textId="77777777" w:rsidR="00DC065C" w:rsidRPr="005E1DF8" w:rsidRDefault="00546F8A" w:rsidP="00DB5A5A">
      <w:pPr>
        <w:pStyle w:val="Heading2"/>
        <w:jc w:val="both"/>
        <w:rPr>
          <w:rFonts w:ascii="Times New Roman" w:hAnsi="Times New Roman" w:cs="Times New Roman"/>
        </w:rPr>
      </w:pPr>
      <w:r w:rsidRPr="005E1DF8">
        <w:rPr>
          <w:rFonts w:ascii="Times New Roman" w:hAnsi="Times New Roman" w:cs="Times New Roman"/>
        </w:rPr>
        <w:t>8.1 Page 1 – Executive Dashboard</w:t>
      </w:r>
    </w:p>
    <w:p w14:paraId="335CFD4E"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The Executive Dashboard provides the management-level overview. Core KPIs include Total Employees, Attrition Rate, Active Employees, Average Salary, Average Age and Average Satisfaction. Visual analyses cover attrition by department, gender, age group and job role, together with an attrition trend where the available data supports time-based analysis.</w:t>
      </w:r>
    </w:p>
    <w:p w14:paraId="116E6790"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This page is designed to answer: What is the current workforce situation, where is attrition concentrated, and which broad employee groups require attention? It is the first layer of the analytical hierarchy.</w:t>
      </w:r>
    </w:p>
    <w:p w14:paraId="5387CB10" w14:textId="77777777" w:rsidR="00DC065C" w:rsidRPr="005E1DF8" w:rsidRDefault="00546F8A" w:rsidP="00DB5A5A">
      <w:pPr>
        <w:pStyle w:val="Heading2"/>
        <w:jc w:val="both"/>
        <w:rPr>
          <w:rFonts w:ascii="Times New Roman" w:hAnsi="Times New Roman" w:cs="Times New Roman"/>
        </w:rPr>
      </w:pPr>
      <w:r w:rsidRPr="005E1DF8">
        <w:rPr>
          <w:rFonts w:ascii="Times New Roman" w:hAnsi="Times New Roman" w:cs="Times New Roman"/>
        </w:rPr>
        <w:t>8.2 Page 2 – Employee Analysis</w:t>
      </w:r>
    </w:p>
    <w:p w14:paraId="1B861728"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The Employee Analysis page provides deeper workforce segmentation. Salary distribution, experience distribution, years at company, promotion delay, job level, income band, education field and marital-status dimensions help explain workforce composition.</w:t>
      </w:r>
    </w:p>
    <w:p w14:paraId="0233140E"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These variables are important because employee retention is influenced by career stage, compensation position, organizational tenure and perceived career progression. A workforce with long promotion delays, for example, may require a different retention response from a workforce primarily affected by workload.</w:t>
      </w:r>
    </w:p>
    <w:p w14:paraId="7C950B3D" w14:textId="77777777" w:rsidR="00DC065C" w:rsidRPr="005E1DF8" w:rsidRDefault="00546F8A" w:rsidP="00DB5A5A">
      <w:pPr>
        <w:pStyle w:val="Heading2"/>
        <w:jc w:val="both"/>
        <w:rPr>
          <w:rFonts w:ascii="Times New Roman" w:hAnsi="Times New Roman" w:cs="Times New Roman"/>
        </w:rPr>
      </w:pPr>
      <w:r w:rsidRPr="005E1DF8">
        <w:rPr>
          <w:rFonts w:ascii="Times New Roman" w:hAnsi="Times New Roman" w:cs="Times New Roman"/>
        </w:rPr>
        <w:t>8.3 Page 3 – Workload and Satisfaction</w:t>
      </w:r>
    </w:p>
    <w:p w14:paraId="7CDD1F2A"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The Workload and Satisfaction page focuses on employee experience. It examines Job Satisfaction, Environment Satisfaction, Relationship Satisfaction, Work-Life Balance, Job Involvement and Overtime. A department-versus-satisfaction heatmap provides a compact way to identify areas where unfavorable employee-experience indicators may cluster.</w:t>
      </w:r>
    </w:p>
    <w:p w14:paraId="4A0196B4"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This page is central to the burnout-diagnostic objective. Burnout should not be inferred from a single variable; instead, multiple workload and experience signals should be considered together.</w:t>
      </w:r>
    </w:p>
    <w:p w14:paraId="39FF4864" w14:textId="77777777" w:rsidR="00DC065C" w:rsidRPr="005E1DF8" w:rsidRDefault="00546F8A" w:rsidP="00DB5A5A">
      <w:pPr>
        <w:pStyle w:val="Heading2"/>
        <w:jc w:val="both"/>
        <w:rPr>
          <w:rFonts w:ascii="Times New Roman" w:hAnsi="Times New Roman" w:cs="Times New Roman"/>
        </w:rPr>
      </w:pPr>
      <w:r w:rsidRPr="005E1DF8">
        <w:rPr>
          <w:rFonts w:ascii="Times New Roman" w:hAnsi="Times New Roman" w:cs="Times New Roman"/>
        </w:rPr>
        <w:t>8.4 Page 4 – Predictive Attrition Dashboard</w:t>
      </w:r>
    </w:p>
    <w:p w14:paraId="1188E55E"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The Predictive Attrition Dashboard introduces High Risk, Medium Risk and Low Risk employee categories, together with an Average Risk Score. Visuals include risk category distribution, risk by department, risk by job role, monthly income versus risk score, risk-score distribution, high-risk employee identification and promotion delay versus risk.</w:t>
      </w:r>
    </w:p>
    <w:p w14:paraId="4BD41419"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Department, risk-category and job-role slicers allow HR users to move from organization-wide risk to a specific employee population. This supports targeted intervention rather than one-size-fits-all retention programs.</w:t>
      </w:r>
    </w:p>
    <w:p w14:paraId="2213F1D4" w14:textId="77777777" w:rsidR="00DC065C" w:rsidRPr="005E1DF8" w:rsidRDefault="00546F8A" w:rsidP="00DB5A5A">
      <w:pPr>
        <w:pStyle w:val="Heading2"/>
        <w:jc w:val="both"/>
        <w:rPr>
          <w:rFonts w:ascii="Times New Roman" w:hAnsi="Times New Roman" w:cs="Times New Roman"/>
        </w:rPr>
      </w:pPr>
      <w:r w:rsidRPr="005E1DF8">
        <w:rPr>
          <w:rFonts w:ascii="Times New Roman" w:hAnsi="Times New Roman" w:cs="Times New Roman"/>
        </w:rPr>
        <w:t>8.5 Page 5 – Consolidated Analytical View</w:t>
      </w:r>
    </w:p>
    <w:p w14:paraId="72311752"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The fifth dashboard layer provides an additional analytical perspective combining attrition and risk-related indicators. It can be used to compare risk patterns, inspect relationships between employee characteristics and attrition, and support management discussion around the highest-priority workforce segments.</w:t>
      </w:r>
    </w:p>
    <w:p w14:paraId="6C2FEB22" w14:textId="77777777" w:rsidR="005231F0" w:rsidRDefault="005231F0" w:rsidP="005E1DF8">
      <w:pPr>
        <w:pStyle w:val="Heading1"/>
        <w:jc w:val="center"/>
        <w:rPr>
          <w:rFonts w:ascii="Times New Roman" w:hAnsi="Times New Roman" w:cs="Times New Roman"/>
        </w:rPr>
        <w:sectPr w:rsidR="005231F0" w:rsidSect="00034616">
          <w:pgSz w:w="12240" w:h="15840"/>
          <w:pgMar w:top="1080" w:right="1224" w:bottom="1080" w:left="1224" w:header="720" w:footer="720" w:gutter="0"/>
          <w:cols w:space="720"/>
          <w:docGrid w:linePitch="360"/>
        </w:sectPr>
      </w:pPr>
    </w:p>
    <w:p w14:paraId="6058A5AA" w14:textId="77777777" w:rsidR="00DC065C" w:rsidRPr="005E1DF8" w:rsidRDefault="00546F8A" w:rsidP="005E1DF8">
      <w:pPr>
        <w:pStyle w:val="Heading1"/>
        <w:jc w:val="center"/>
        <w:rPr>
          <w:rFonts w:ascii="Times New Roman" w:hAnsi="Times New Roman" w:cs="Times New Roman"/>
        </w:rPr>
      </w:pPr>
      <w:r w:rsidRPr="005E1DF8">
        <w:rPr>
          <w:rFonts w:ascii="Times New Roman" w:hAnsi="Times New Roman" w:cs="Times New Roman"/>
        </w:rPr>
        <w:t>9. Dashboard-Based Analysis</w:t>
      </w:r>
    </w:p>
    <w:p w14:paraId="43D854C8" w14:textId="77777777" w:rsidR="00DC065C" w:rsidRPr="005E1DF8" w:rsidRDefault="00546F8A" w:rsidP="00DB5A5A">
      <w:pPr>
        <w:pStyle w:val="Heading2"/>
        <w:jc w:val="both"/>
        <w:rPr>
          <w:rFonts w:ascii="Times New Roman" w:hAnsi="Times New Roman" w:cs="Times New Roman"/>
        </w:rPr>
      </w:pPr>
      <w:r w:rsidRPr="005E1DF8">
        <w:rPr>
          <w:rFonts w:ascii="Times New Roman" w:hAnsi="Times New Roman" w:cs="Times New Roman"/>
        </w:rPr>
        <w:t>9.1 Workforce and Attrition Analysis</w:t>
      </w:r>
    </w:p>
    <w:p w14:paraId="5D395751"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The Executive Dashboard establishes the baseline workforce picture. Total employee count and active employee measures define the size of the workforce, while attrition rate provides a high-level retention indicator. However, the analytical value comes from segmentation: attrition should be examined by department, role, age group and other workforce characteristics rather than considered as a single organization-wide percentage.</w:t>
      </w:r>
    </w:p>
    <w:p w14:paraId="7BD7B662"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Department-level analysis is especially important because workload, management practices, skill scarcity and role expectations can vary significantly between functions. Job-role analysis can reveal whether risk is concentrated in specific specialist or operational roles. Demographic segmentation can provide additional context, but demographic variables should be interpreted carefully and should not be used as automatic explanations for employee behavior.</w:t>
      </w:r>
    </w:p>
    <w:p w14:paraId="1D7CC663" w14:textId="77777777" w:rsidR="00DC065C" w:rsidRPr="005E1DF8" w:rsidRDefault="00546F8A" w:rsidP="00DB5A5A">
      <w:pPr>
        <w:pStyle w:val="Heading2"/>
        <w:jc w:val="both"/>
        <w:rPr>
          <w:rFonts w:ascii="Times New Roman" w:hAnsi="Times New Roman" w:cs="Times New Roman"/>
        </w:rPr>
      </w:pPr>
      <w:r w:rsidRPr="005E1DF8">
        <w:rPr>
          <w:rFonts w:ascii="Times New Roman" w:hAnsi="Times New Roman" w:cs="Times New Roman"/>
        </w:rPr>
        <w:t>9.2 Employee Profile and Career Progression</w:t>
      </w:r>
    </w:p>
    <w:p w14:paraId="56D3964F"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Salary distribution and income bands provide context for compensation positioning, while years at company and experience distributions describe career stage. Job level and promotion delay help identify potential career-development issues.</w:t>
      </w:r>
    </w:p>
    <w:p w14:paraId="0E3A4672"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Promotion delay is particularly relevant to retention because employees may interpret prolonged periods without advancement as limited career opportunity. The dashboard therefore connects YearsSinceLastPromotion with risk analysis. This does not imply that every employee with a long promotion interval is likely to leave; rather, it identifies a condition that may warrant a career-development conversation when combined with other risk indicators.</w:t>
      </w:r>
    </w:p>
    <w:p w14:paraId="6CAD2C8C" w14:textId="77777777" w:rsidR="00DC065C" w:rsidRPr="005E1DF8" w:rsidRDefault="00546F8A" w:rsidP="00DB5A5A">
      <w:pPr>
        <w:pStyle w:val="Heading2"/>
        <w:jc w:val="both"/>
        <w:rPr>
          <w:rFonts w:ascii="Times New Roman" w:hAnsi="Times New Roman" w:cs="Times New Roman"/>
        </w:rPr>
      </w:pPr>
      <w:r w:rsidRPr="005E1DF8">
        <w:rPr>
          <w:rFonts w:ascii="Times New Roman" w:hAnsi="Times New Roman" w:cs="Times New Roman"/>
        </w:rPr>
        <w:t>9.3 Workload and Satisfaction</w:t>
      </w:r>
    </w:p>
    <w:p w14:paraId="4A92EC59"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The satisfaction page brings together multiple employee-experience dimensions. Job satisfaction reflects the employee's evaluation of the job itself, environment satisfaction relates to the workplace context, relationship satisfaction captures interpersonal experience, and work-life balance reflects the employee's ability to manage work and non-work demands.</w:t>
      </w:r>
    </w:p>
    <w:p w14:paraId="0181E4FB"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Overtime is treated as a workload signal. When overtime is combined with low satisfaction or weak work-life balance, the dashboard can highlight employee populations where workload-related intervention may be appropriate. The correct managerial response should focus on understanding the underlying cause rather than assuming overtime alone causes attrition.</w:t>
      </w:r>
    </w:p>
    <w:p w14:paraId="6F3A3212" w14:textId="77777777" w:rsidR="00DC065C" w:rsidRPr="005E1DF8" w:rsidRDefault="00546F8A" w:rsidP="00DB5A5A">
      <w:pPr>
        <w:pStyle w:val="Heading2"/>
        <w:jc w:val="both"/>
        <w:rPr>
          <w:rFonts w:ascii="Times New Roman" w:hAnsi="Times New Roman" w:cs="Times New Roman"/>
        </w:rPr>
      </w:pPr>
      <w:r w:rsidRPr="005E1DF8">
        <w:rPr>
          <w:rFonts w:ascii="Times New Roman" w:hAnsi="Times New Roman" w:cs="Times New Roman"/>
        </w:rPr>
        <w:t>9.4 Attrition Risk Analysis</w:t>
      </w:r>
    </w:p>
    <w:p w14:paraId="269FC1EC"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The risk dashboard translates multiple indicators into a single score that can be used for prioritization. This is useful because HR teams cannot investigate every employee with equal intensity. A risk category enables the organization to focus first on employees whose combination of conditions produces a higher score.</w:t>
      </w:r>
    </w:p>
    <w:p w14:paraId="59DF309B"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Risk should be interpreted as an alert for investigation, not as a certainty. An employee classified as high risk should not automatically be labeled as a future leaver. Instead, the score should trigger a structured review involving workload, satisfaction, career development, manager support and employee preferences.</w:t>
      </w:r>
    </w:p>
    <w:p w14:paraId="3111B351" w14:textId="77777777" w:rsidR="004F03E2" w:rsidRDefault="004F03E2" w:rsidP="005E1DF8">
      <w:pPr>
        <w:pStyle w:val="Heading1"/>
        <w:jc w:val="center"/>
        <w:rPr>
          <w:rFonts w:ascii="Times New Roman" w:hAnsi="Times New Roman" w:cs="Times New Roman"/>
        </w:rPr>
        <w:sectPr w:rsidR="004F03E2" w:rsidSect="00034616">
          <w:pgSz w:w="12240" w:h="15840"/>
          <w:pgMar w:top="1080" w:right="1224" w:bottom="1080" w:left="1224" w:header="720" w:footer="720" w:gutter="0"/>
          <w:cols w:space="720"/>
          <w:docGrid w:linePitch="360"/>
        </w:sectPr>
      </w:pPr>
    </w:p>
    <w:p w14:paraId="62589B26" w14:textId="77777777" w:rsidR="00DC065C" w:rsidRPr="005E1DF8" w:rsidRDefault="00546F8A" w:rsidP="005E1DF8">
      <w:pPr>
        <w:pStyle w:val="Heading1"/>
        <w:jc w:val="center"/>
        <w:rPr>
          <w:rFonts w:ascii="Times New Roman" w:hAnsi="Times New Roman" w:cs="Times New Roman"/>
        </w:rPr>
      </w:pPr>
      <w:r w:rsidRPr="005E1DF8">
        <w:rPr>
          <w:rFonts w:ascii="Times New Roman" w:hAnsi="Times New Roman" w:cs="Times New Roman"/>
        </w:rPr>
        <w:t>10. Attrition Risk Scoring Framework</w:t>
      </w:r>
    </w:p>
    <w:p w14:paraId="7C44EFC5"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The project uses a weighted rule-based score. The scoring logic assigns points when selected conditions are present:</w:t>
      </w:r>
    </w:p>
    <w:p w14:paraId="7BAF5924" w14:textId="77777777" w:rsidR="00DC065C" w:rsidRPr="005E1DF8" w:rsidRDefault="00546F8A" w:rsidP="00DB5A5A">
      <w:pPr>
        <w:pStyle w:val="ListBullet"/>
        <w:jc w:val="both"/>
        <w:rPr>
          <w:rFonts w:ascii="Times New Roman" w:hAnsi="Times New Roman" w:cs="Times New Roman"/>
        </w:rPr>
      </w:pPr>
      <w:r w:rsidRPr="005E1DF8">
        <w:rPr>
          <w:rFonts w:ascii="Times New Roman" w:hAnsi="Times New Roman" w:cs="Times New Roman"/>
        </w:rPr>
        <w:t>OverTime = Yes: +25 points.</w:t>
      </w:r>
    </w:p>
    <w:p w14:paraId="10FBAE98" w14:textId="77777777" w:rsidR="00DC065C" w:rsidRPr="005E1DF8" w:rsidRDefault="00546F8A" w:rsidP="00DB5A5A">
      <w:pPr>
        <w:pStyle w:val="ListBullet"/>
        <w:jc w:val="both"/>
        <w:rPr>
          <w:rFonts w:ascii="Times New Roman" w:hAnsi="Times New Roman" w:cs="Times New Roman"/>
        </w:rPr>
      </w:pPr>
      <w:r w:rsidRPr="005E1DF8">
        <w:rPr>
          <w:rFonts w:ascii="Times New Roman" w:hAnsi="Times New Roman" w:cs="Times New Roman"/>
        </w:rPr>
        <w:t>JobSatisfaction ≤ 2: +20 points.</w:t>
      </w:r>
    </w:p>
    <w:p w14:paraId="2265C214" w14:textId="77777777" w:rsidR="00DC065C" w:rsidRPr="005E1DF8" w:rsidRDefault="00546F8A" w:rsidP="00DB5A5A">
      <w:pPr>
        <w:pStyle w:val="ListBullet"/>
        <w:jc w:val="both"/>
        <w:rPr>
          <w:rFonts w:ascii="Times New Roman" w:hAnsi="Times New Roman" w:cs="Times New Roman"/>
        </w:rPr>
      </w:pPr>
      <w:r w:rsidRPr="005E1DF8">
        <w:rPr>
          <w:rFonts w:ascii="Times New Roman" w:hAnsi="Times New Roman" w:cs="Times New Roman"/>
        </w:rPr>
        <w:t>EnvironmentSatisfaction ≤ 2: +15 points.</w:t>
      </w:r>
    </w:p>
    <w:p w14:paraId="34D35055" w14:textId="77777777" w:rsidR="00DC065C" w:rsidRPr="005E1DF8" w:rsidRDefault="00546F8A" w:rsidP="00DB5A5A">
      <w:pPr>
        <w:pStyle w:val="ListBullet"/>
        <w:jc w:val="both"/>
        <w:rPr>
          <w:rFonts w:ascii="Times New Roman" w:hAnsi="Times New Roman" w:cs="Times New Roman"/>
        </w:rPr>
      </w:pPr>
      <w:r w:rsidRPr="005E1DF8">
        <w:rPr>
          <w:rFonts w:ascii="Times New Roman" w:hAnsi="Times New Roman" w:cs="Times New Roman"/>
        </w:rPr>
        <w:t>WorkLifeBalance ≤ 2: +15 points.</w:t>
      </w:r>
    </w:p>
    <w:p w14:paraId="29BDA944" w14:textId="77777777" w:rsidR="00DC065C" w:rsidRPr="005E1DF8" w:rsidRDefault="00546F8A" w:rsidP="00DB5A5A">
      <w:pPr>
        <w:pStyle w:val="ListBullet"/>
        <w:jc w:val="both"/>
        <w:rPr>
          <w:rFonts w:ascii="Times New Roman" w:hAnsi="Times New Roman" w:cs="Times New Roman"/>
        </w:rPr>
      </w:pPr>
      <w:r w:rsidRPr="005E1DF8">
        <w:rPr>
          <w:rFonts w:ascii="Times New Roman" w:hAnsi="Times New Roman" w:cs="Times New Roman"/>
        </w:rPr>
        <w:t>YearsSinceLastPromotion ≥ 5: +10 points.</w:t>
      </w:r>
    </w:p>
    <w:p w14:paraId="6C136E1E" w14:textId="77777777" w:rsidR="00DC065C" w:rsidRPr="005E1DF8" w:rsidRDefault="00546F8A" w:rsidP="00DB5A5A">
      <w:pPr>
        <w:pStyle w:val="ListBullet"/>
        <w:jc w:val="both"/>
        <w:rPr>
          <w:rFonts w:ascii="Times New Roman" w:hAnsi="Times New Roman" w:cs="Times New Roman"/>
        </w:rPr>
      </w:pPr>
      <w:r w:rsidRPr="005E1DF8">
        <w:rPr>
          <w:rFonts w:ascii="Times New Roman" w:hAnsi="Times New Roman" w:cs="Times New Roman"/>
        </w:rPr>
        <w:t>DistanceFromHome ≥ 20: +5 points.</w:t>
      </w:r>
    </w:p>
    <w:p w14:paraId="40745BA0" w14:textId="77777777" w:rsidR="00DC065C" w:rsidRPr="005E1DF8" w:rsidRDefault="00546F8A" w:rsidP="00DB5A5A">
      <w:pPr>
        <w:pStyle w:val="ListBullet"/>
        <w:jc w:val="both"/>
        <w:rPr>
          <w:rFonts w:ascii="Times New Roman" w:hAnsi="Times New Roman" w:cs="Times New Roman"/>
        </w:rPr>
      </w:pPr>
      <w:r w:rsidRPr="005E1DF8">
        <w:rPr>
          <w:rFonts w:ascii="Times New Roman" w:hAnsi="Times New Roman" w:cs="Times New Roman"/>
        </w:rPr>
        <w:t>BusinessTravel = Travel Frequently: +10 points.</w:t>
      </w:r>
    </w:p>
    <w:p w14:paraId="4AEBE42A"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The maximum theoretical score under these rules is 100 points. The design intentionally gives greater weight to overtime and low job satisfaction because these variables are treated as stronger operational warning signals within the project's business logic.</w:t>
      </w:r>
    </w:p>
    <w:p w14:paraId="569CED55" w14:textId="77777777" w:rsidR="00DC065C" w:rsidRPr="005E1DF8" w:rsidRDefault="00546F8A" w:rsidP="00DB5A5A">
      <w:pPr>
        <w:pStyle w:val="Heading2"/>
        <w:jc w:val="both"/>
        <w:rPr>
          <w:rFonts w:ascii="Times New Roman" w:hAnsi="Times New Roman" w:cs="Times New Roman"/>
        </w:rPr>
      </w:pPr>
      <w:r w:rsidRPr="005E1DF8">
        <w:rPr>
          <w:rFonts w:ascii="Times New Roman" w:hAnsi="Times New Roman" w:cs="Times New Roman"/>
        </w:rPr>
        <w:t>10.1 Risk Category Interpretation</w:t>
      </w:r>
    </w:p>
    <w:p w14:paraId="5D49BA0E"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A practical implementation can divide the score into Low, Medium and High Risk bands. The exact thresholds should be documented in the Power BI model and validated against historical attrition before the score is used for high-stakes workforce decisions.</w:t>
      </w:r>
    </w:p>
    <w:p w14:paraId="7073A5AA"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A transparent risk score has an important governance advantage: HR stakeholders can explain why an employee appears in a risk group. This is preferable to an opaque score that cannot be interpreted. Nevertheless, the score should be periodically tested for predictive accuracy, stability and unintended bias.</w:t>
      </w:r>
    </w:p>
    <w:p w14:paraId="1FA77142" w14:textId="77777777" w:rsidR="00DC065C" w:rsidRPr="005E1DF8" w:rsidRDefault="00546F8A" w:rsidP="005E1DF8">
      <w:pPr>
        <w:pStyle w:val="Heading1"/>
        <w:jc w:val="center"/>
        <w:rPr>
          <w:rFonts w:ascii="Times New Roman" w:hAnsi="Times New Roman" w:cs="Times New Roman"/>
        </w:rPr>
      </w:pPr>
      <w:r w:rsidRPr="005E1DF8">
        <w:rPr>
          <w:rFonts w:ascii="Times New Roman" w:hAnsi="Times New Roman" w:cs="Times New Roman"/>
        </w:rPr>
        <w:t>11. Findings and Interpretation</w:t>
      </w:r>
    </w:p>
    <w:p w14:paraId="75B0A63F" w14:textId="77777777" w:rsidR="00DC065C" w:rsidRPr="005E1DF8" w:rsidRDefault="00546F8A" w:rsidP="00DB5A5A">
      <w:pPr>
        <w:pStyle w:val="Heading2"/>
        <w:jc w:val="both"/>
        <w:rPr>
          <w:rFonts w:ascii="Times New Roman" w:hAnsi="Times New Roman" w:cs="Times New Roman"/>
        </w:rPr>
      </w:pPr>
      <w:r w:rsidRPr="005E1DF8">
        <w:rPr>
          <w:rFonts w:ascii="Times New Roman" w:hAnsi="Times New Roman" w:cs="Times New Roman"/>
        </w:rPr>
        <w:t>11.1 Key Analytical Findings</w:t>
      </w:r>
    </w:p>
    <w:p w14:paraId="14E6C4B6"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The dashboard demonstrates that attrition should be investigated as a multi-factor workforce phenomenon. No single KPI is sufficient to explain retention. The combination of employee satisfaction, workload, career progression, travel and organizational context provides a more useful diagnostic picture.</w:t>
      </w:r>
    </w:p>
    <w:p w14:paraId="74153D7A"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The analysis also demonstrates the value of moving between dashboard levels. An executive user can begin with attrition by department, move to a department with elevated concern, examine its satisfaction profile, inspect role-level risk and finally review individual high-risk employees. This drill-down sequence converts a static report into a decision workflow.</w:t>
      </w:r>
    </w:p>
    <w:p w14:paraId="6DE45679"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The risk framework highlights the importance of interaction among conditions. For example, overtime becomes more meaningful when accompanied by low work-life balance or low job satisfaction. Similarly, promotion delay may become more important when an employee also shows low satisfaction. These combinations support a more nuanced retention conversation.</w:t>
      </w:r>
    </w:p>
    <w:p w14:paraId="0F190ADD" w14:textId="77777777" w:rsidR="004F03E2" w:rsidRDefault="004F03E2" w:rsidP="00DB5A5A">
      <w:pPr>
        <w:pStyle w:val="Heading2"/>
        <w:jc w:val="both"/>
        <w:rPr>
          <w:rFonts w:ascii="Times New Roman" w:hAnsi="Times New Roman" w:cs="Times New Roman"/>
        </w:rPr>
        <w:sectPr w:rsidR="004F03E2" w:rsidSect="00034616">
          <w:pgSz w:w="12240" w:h="15840"/>
          <w:pgMar w:top="1080" w:right="1224" w:bottom="1080" w:left="1224" w:header="720" w:footer="720" w:gutter="0"/>
          <w:cols w:space="720"/>
          <w:docGrid w:linePitch="360"/>
        </w:sectPr>
      </w:pPr>
    </w:p>
    <w:p w14:paraId="6BD64230" w14:textId="77777777" w:rsidR="00DC065C" w:rsidRPr="005E1DF8" w:rsidRDefault="00546F8A" w:rsidP="00DB5A5A">
      <w:pPr>
        <w:pStyle w:val="Heading2"/>
        <w:jc w:val="both"/>
        <w:rPr>
          <w:rFonts w:ascii="Times New Roman" w:hAnsi="Times New Roman" w:cs="Times New Roman"/>
        </w:rPr>
      </w:pPr>
      <w:r w:rsidRPr="005E1DF8">
        <w:rPr>
          <w:rFonts w:ascii="Times New Roman" w:hAnsi="Times New Roman" w:cs="Times New Roman"/>
        </w:rPr>
        <w:t>11.2 Management Interpretation</w:t>
      </w:r>
    </w:p>
    <w:p w14:paraId="15B60A60"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The appropriate response to a high-risk employee is not an automatic counter-offer. Instead, HR should identify the dominant risk drivers. If overtime is the primary driver, workload and staffing should be reviewed. If satisfaction is low, managers should conduct structured listening conversations. If promotion delay is prominent, career-path options should be evaluated. If travel contributes materially, travel expectations and flexibility should be discussed.</w:t>
      </w:r>
    </w:p>
    <w:p w14:paraId="03B8BDC0"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This driver-based approach reduces the risk of treating all high-risk employees identically and improves the connection between analytics and employee experience.</w:t>
      </w:r>
    </w:p>
    <w:p w14:paraId="61541D0E" w14:textId="77777777" w:rsidR="00DC065C" w:rsidRPr="005E1DF8" w:rsidRDefault="00546F8A" w:rsidP="005E1DF8">
      <w:pPr>
        <w:pStyle w:val="Heading1"/>
        <w:jc w:val="center"/>
        <w:rPr>
          <w:rFonts w:ascii="Times New Roman" w:hAnsi="Times New Roman" w:cs="Times New Roman"/>
        </w:rPr>
      </w:pPr>
      <w:r w:rsidRPr="005E1DF8">
        <w:rPr>
          <w:rFonts w:ascii="Times New Roman" w:hAnsi="Times New Roman" w:cs="Times New Roman"/>
        </w:rPr>
        <w:t>12. Recommendations</w:t>
      </w:r>
    </w:p>
    <w:p w14:paraId="72EB85AA" w14:textId="77777777" w:rsidR="00DC065C" w:rsidRPr="005E1DF8" w:rsidRDefault="00546F8A" w:rsidP="00DB5A5A">
      <w:pPr>
        <w:pStyle w:val="Heading2"/>
        <w:jc w:val="both"/>
        <w:rPr>
          <w:rFonts w:ascii="Times New Roman" w:hAnsi="Times New Roman" w:cs="Times New Roman"/>
        </w:rPr>
      </w:pPr>
      <w:r w:rsidRPr="005E1DF8">
        <w:rPr>
          <w:rFonts w:ascii="Times New Roman" w:hAnsi="Times New Roman" w:cs="Times New Roman"/>
        </w:rPr>
        <w:t>12.1 Establish a Monthly Attrition-Risk Review</w:t>
      </w:r>
    </w:p>
    <w:p w14:paraId="5073B3F5"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HR should review the risk dashboard on a recurring schedule. The purpose should be to identify emerging patterns, not to create surveillance pressure on employees. Trends should be compared across departments and roles, with changes in risk levels monitored over time.</w:t>
      </w:r>
    </w:p>
    <w:p w14:paraId="01CB98BF" w14:textId="77777777" w:rsidR="00DC065C" w:rsidRPr="005E1DF8" w:rsidRDefault="00546F8A" w:rsidP="00DB5A5A">
      <w:pPr>
        <w:pStyle w:val="Heading2"/>
        <w:jc w:val="both"/>
        <w:rPr>
          <w:rFonts w:ascii="Times New Roman" w:hAnsi="Times New Roman" w:cs="Times New Roman"/>
        </w:rPr>
      </w:pPr>
      <w:r w:rsidRPr="005E1DF8">
        <w:rPr>
          <w:rFonts w:ascii="Times New Roman" w:hAnsi="Times New Roman" w:cs="Times New Roman"/>
        </w:rPr>
        <w:t>12.2 Introduce Targeted Workload Interventions</w:t>
      </w:r>
    </w:p>
    <w:p w14:paraId="7AAF8996"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Where overtime and weak work-life balance cluster, managers should examine staffing levels, project allocation, deadlines, shift patterns and workload distribution. Interventions should address root causes rather than simply asking employees to work more efficiently.</w:t>
      </w:r>
    </w:p>
    <w:p w14:paraId="3B3E3429" w14:textId="77777777" w:rsidR="00DC065C" w:rsidRPr="005E1DF8" w:rsidRDefault="00546F8A" w:rsidP="00DB5A5A">
      <w:pPr>
        <w:pStyle w:val="Heading2"/>
        <w:jc w:val="both"/>
        <w:rPr>
          <w:rFonts w:ascii="Times New Roman" w:hAnsi="Times New Roman" w:cs="Times New Roman"/>
        </w:rPr>
      </w:pPr>
      <w:r w:rsidRPr="005E1DF8">
        <w:rPr>
          <w:rFonts w:ascii="Times New Roman" w:hAnsi="Times New Roman" w:cs="Times New Roman"/>
        </w:rPr>
        <w:t>12.3 Strengthen Career Development</w:t>
      </w:r>
    </w:p>
    <w:p w14:paraId="5C63CC41"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Employees with long promotion delays should receive clearer career-path discussions, skill-development opportunities and transparent advancement criteria. Career development should be monitored alongside satisfaction and risk indicators.</w:t>
      </w:r>
    </w:p>
    <w:p w14:paraId="7B9FBEC3" w14:textId="77777777" w:rsidR="00DC065C" w:rsidRPr="005E1DF8" w:rsidRDefault="00546F8A" w:rsidP="00DB5A5A">
      <w:pPr>
        <w:pStyle w:val="Heading2"/>
        <w:jc w:val="both"/>
        <w:rPr>
          <w:rFonts w:ascii="Times New Roman" w:hAnsi="Times New Roman" w:cs="Times New Roman"/>
        </w:rPr>
      </w:pPr>
      <w:r w:rsidRPr="005E1DF8">
        <w:rPr>
          <w:rFonts w:ascii="Times New Roman" w:hAnsi="Times New Roman" w:cs="Times New Roman"/>
        </w:rPr>
        <w:t>12.4 Improve Managerial Listening</w:t>
      </w:r>
    </w:p>
    <w:p w14:paraId="3A664749"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HR analytics should be paired with human conversation. Managers and HR business partners should use risk indicators as prompts for listening rather than as labels. The objective is to understand employee needs and remove avoidable organizational barriers.</w:t>
      </w:r>
    </w:p>
    <w:p w14:paraId="00C98C85" w14:textId="77777777" w:rsidR="00DC065C" w:rsidRPr="005E1DF8" w:rsidRDefault="00546F8A" w:rsidP="00DB5A5A">
      <w:pPr>
        <w:pStyle w:val="Heading2"/>
        <w:jc w:val="both"/>
        <w:rPr>
          <w:rFonts w:ascii="Times New Roman" w:hAnsi="Times New Roman" w:cs="Times New Roman"/>
        </w:rPr>
      </w:pPr>
      <w:r w:rsidRPr="005E1DF8">
        <w:rPr>
          <w:rFonts w:ascii="Times New Roman" w:hAnsi="Times New Roman" w:cs="Times New Roman"/>
        </w:rPr>
        <w:t>12.5 Monitor Satisfaction by Department</w:t>
      </w:r>
    </w:p>
    <w:p w14:paraId="4F208B5B"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The department-versus-satisfaction heatmap should be used to identify persistent differences. Departments showing consistently lower satisfaction should receive deeper qualitative investigation into management practices, workload, team relationships and work environment.</w:t>
      </w:r>
    </w:p>
    <w:p w14:paraId="2E8EEF03" w14:textId="77777777" w:rsidR="00DC065C" w:rsidRPr="005E1DF8" w:rsidRDefault="00546F8A" w:rsidP="00DB5A5A">
      <w:pPr>
        <w:pStyle w:val="Heading2"/>
        <w:jc w:val="both"/>
        <w:rPr>
          <w:rFonts w:ascii="Times New Roman" w:hAnsi="Times New Roman" w:cs="Times New Roman"/>
        </w:rPr>
      </w:pPr>
      <w:r w:rsidRPr="005E1DF8">
        <w:rPr>
          <w:rFonts w:ascii="Times New Roman" w:hAnsi="Times New Roman" w:cs="Times New Roman"/>
        </w:rPr>
        <w:t>12.6 Validate the Risk Model</w:t>
      </w:r>
    </w:p>
    <w:p w14:paraId="3C7419EF"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The rule-based score should be evaluated against historical attrition outcomes. Precision, recall, false-positive rates and stability across employee groups should be assessed before the model is positioned as a predictive system. Thresholds should be adjusted based on evidence rather than convenience.</w:t>
      </w:r>
    </w:p>
    <w:p w14:paraId="4D13C97A" w14:textId="77777777" w:rsidR="00DC065C" w:rsidRPr="005E1DF8" w:rsidRDefault="00546F8A" w:rsidP="00DB5A5A">
      <w:pPr>
        <w:pStyle w:val="Heading2"/>
        <w:jc w:val="both"/>
        <w:rPr>
          <w:rFonts w:ascii="Times New Roman" w:hAnsi="Times New Roman" w:cs="Times New Roman"/>
        </w:rPr>
      </w:pPr>
      <w:r w:rsidRPr="005E1DF8">
        <w:rPr>
          <w:rFonts w:ascii="Times New Roman" w:hAnsi="Times New Roman" w:cs="Times New Roman"/>
        </w:rPr>
        <w:t>12.7 Protect Employee Privacy and Fairness</w:t>
      </w:r>
    </w:p>
    <w:p w14:paraId="0B253D7E"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Employee risk analytics should follow principles of purpose limitation, minimum necessary access, transparency and responsible use. Risk scores should not be used as automatic grounds for disciplinary action, compensation decisions or adverse employment decisions. The score is most appropriate as a retention-support and workforce-planning indicator.</w:t>
      </w:r>
    </w:p>
    <w:p w14:paraId="2EB4BB07" w14:textId="77777777" w:rsidR="00DC065C" w:rsidRPr="005E1DF8" w:rsidRDefault="00546F8A" w:rsidP="005E1DF8">
      <w:pPr>
        <w:pStyle w:val="Heading1"/>
        <w:jc w:val="center"/>
        <w:rPr>
          <w:rFonts w:ascii="Times New Roman" w:hAnsi="Times New Roman" w:cs="Times New Roman"/>
        </w:rPr>
      </w:pPr>
      <w:r w:rsidRPr="005E1DF8">
        <w:rPr>
          <w:rFonts w:ascii="Times New Roman" w:hAnsi="Times New Roman" w:cs="Times New Roman"/>
        </w:rPr>
        <w:t>13. Limitations</w:t>
      </w:r>
    </w:p>
    <w:p w14:paraId="6677D47B"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First, the dashboard is primarily descriptive and diagnostic, while the Risk Score is rule-based. It should not be described as a statistically validated prediction model without historical validation.</w:t>
      </w:r>
    </w:p>
    <w:p w14:paraId="1E1F63D4"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Second, cross-sectional employee data can reveal associations but cannot by itself establish causality. For example, an association between overtime and attrition does not prove that overtime alone caused an employee to leave.</w:t>
      </w:r>
    </w:p>
    <w:p w14:paraId="35457A22"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Third, some important drivers of attrition may not be captured in structured HR data. Leadership quality, manager-employee relationships, psychological safety, compensation competitiveness, external labor-market opportunities and personal circumstances can affect employee decisions but may not be represented in the dataset.</w:t>
      </w:r>
    </w:p>
    <w:p w14:paraId="456B3415"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Fourth, risk thresholds can influence the number of employees classified as high, medium or low risk. Thresholds therefore need periodic review and should be evaluated against real outcomes.</w:t>
      </w:r>
    </w:p>
    <w:p w14:paraId="3CB9D947"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Finally, the dataset and dashboard represent a specific analytical context. Results should not automatically be generalized to all Palo Alto Networks employees, all cybersecurity organizations or all technology companies without additional validation.</w:t>
      </w:r>
    </w:p>
    <w:p w14:paraId="40D155DB" w14:textId="77777777" w:rsidR="00DC065C" w:rsidRPr="005E1DF8" w:rsidRDefault="00546F8A" w:rsidP="005E1DF8">
      <w:pPr>
        <w:pStyle w:val="Heading1"/>
        <w:jc w:val="center"/>
        <w:rPr>
          <w:rFonts w:ascii="Times New Roman" w:hAnsi="Times New Roman" w:cs="Times New Roman"/>
        </w:rPr>
      </w:pPr>
      <w:r w:rsidRPr="005E1DF8">
        <w:rPr>
          <w:rFonts w:ascii="Times New Roman" w:hAnsi="Times New Roman" w:cs="Times New Roman"/>
        </w:rPr>
        <w:t>14. Future Scope</w:t>
      </w:r>
    </w:p>
    <w:p w14:paraId="39D77CF7"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Future research can extend the project from a rule-based diagnostic dashboard into a validated machine-learning attrition prediction system. Candidate models could include logistic regression, decision trees, random forests and gradient-boosting approaches. Model performance should be compared using appropriate classification metrics and cross-validation.</w:t>
      </w:r>
    </w:p>
    <w:p w14:paraId="1AE1D15F"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A time-series workforce model could also be developed if repeated employee snapshots become available. This would enable the organization to monitor changes in satisfaction, overtime and risk rather than relying on a single employee snapshot.</w:t>
      </w:r>
    </w:p>
    <w:p w14:paraId="6429E17B"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Another extension would be explainable AI. A machine-learning model could provide employee-level reason codes showing which variables contributed most strongly to predicted risk. Such explanations should remain understandable to HR stakeholders and should be accompanied by fairness and governance checks.</w:t>
      </w:r>
    </w:p>
    <w:p w14:paraId="34808BA3" w14:textId="343C84E8" w:rsidR="00325E98" w:rsidRPr="005E1DF8" w:rsidRDefault="00546F8A" w:rsidP="00DF7BF0">
      <w:pPr>
        <w:jc w:val="both"/>
        <w:rPr>
          <w:rFonts w:ascii="Times New Roman" w:hAnsi="Times New Roman" w:cs="Times New Roman"/>
        </w:rPr>
      </w:pPr>
      <w:r w:rsidRPr="005E1DF8">
        <w:rPr>
          <w:rFonts w:ascii="Times New Roman" w:hAnsi="Times New Roman" w:cs="Times New Roman"/>
        </w:rPr>
        <w:t>Finally, intervention effectiveness can be evaluated through before-and-after analysis. For example, if workload changes are introduced for a high-risk group, subsequent changes in satisfaction and attrition can be measured to determine whether the intervention produced meaningful improvement.</w:t>
      </w:r>
    </w:p>
    <w:p w14:paraId="6A9634C1" w14:textId="77777777" w:rsidR="00B2387E" w:rsidRDefault="00B2387E" w:rsidP="00401C4B">
      <w:pPr>
        <w:pStyle w:val="Heading1"/>
        <w:jc w:val="center"/>
        <w:rPr>
          <w:rFonts w:ascii="Times New Roman" w:hAnsi="Times New Roman" w:cs="Times New Roman"/>
        </w:rPr>
        <w:sectPr w:rsidR="00B2387E" w:rsidSect="00034616">
          <w:pgSz w:w="12240" w:h="15840"/>
          <w:pgMar w:top="1080" w:right="1224" w:bottom="1080" w:left="1224" w:header="720" w:footer="720" w:gutter="0"/>
          <w:cols w:space="720"/>
          <w:docGrid w:linePitch="360"/>
        </w:sectPr>
      </w:pPr>
    </w:p>
    <w:p w14:paraId="333D5CA4" w14:textId="77777777" w:rsidR="00401C4B" w:rsidRPr="005E1DF8" w:rsidRDefault="00401C4B" w:rsidP="00401C4B">
      <w:pPr>
        <w:pStyle w:val="Heading1"/>
        <w:jc w:val="center"/>
        <w:rPr>
          <w:rFonts w:ascii="Times New Roman" w:hAnsi="Times New Roman" w:cs="Times New Roman"/>
        </w:rPr>
      </w:pPr>
      <w:r w:rsidRPr="005E1DF8">
        <w:rPr>
          <w:rFonts w:ascii="Times New Roman" w:hAnsi="Times New Roman" w:cs="Times New Roman"/>
        </w:rPr>
        <w:t>15. Conclusion</w:t>
      </w:r>
    </w:p>
    <w:p w14:paraId="5417C795" w14:textId="77777777" w:rsidR="00401C4B" w:rsidRPr="005E1DF8" w:rsidRDefault="00401C4B" w:rsidP="00401C4B">
      <w:pPr>
        <w:jc w:val="both"/>
        <w:rPr>
          <w:rFonts w:ascii="Times New Roman" w:hAnsi="Times New Roman" w:cs="Times New Roman"/>
        </w:rPr>
      </w:pPr>
      <w:r w:rsidRPr="005E1DF8">
        <w:rPr>
          <w:rFonts w:ascii="Times New Roman" w:hAnsi="Times New Roman" w:cs="Times New Roman"/>
        </w:rPr>
        <w:t>This research demonstrates how HR data can be transformed into a structured workforce decision-support system through Power BI. The dashboard moves beyond simple employee counts and attrition percentages by combining workforce composition, satisfaction, workload, career progression and employee-level risk indicators.</w:t>
      </w:r>
    </w:p>
    <w:p w14:paraId="2F508E53" w14:textId="77777777" w:rsidR="00401C4B" w:rsidRPr="005E1DF8" w:rsidRDefault="00401C4B" w:rsidP="00401C4B">
      <w:pPr>
        <w:jc w:val="both"/>
        <w:rPr>
          <w:rFonts w:ascii="Times New Roman" w:hAnsi="Times New Roman" w:cs="Times New Roman"/>
        </w:rPr>
      </w:pPr>
      <w:r w:rsidRPr="005E1DF8">
        <w:rPr>
          <w:rFonts w:ascii="Times New Roman" w:hAnsi="Times New Roman" w:cs="Times New Roman"/>
        </w:rPr>
        <w:t>The most important contribution of the project is the integration of descriptive and diagnostic analytics. Executive KPIs provide a high-level view; employee analysis explains workforce composition; workload and satisfaction analysis investigates employee experience; and the risk dashboard prioritizes employees and groups that may require attention.</w:t>
      </w:r>
    </w:p>
    <w:p w14:paraId="4070CEE8" w14:textId="77777777" w:rsidR="00401C4B" w:rsidRPr="005E1DF8" w:rsidRDefault="00401C4B" w:rsidP="00401C4B">
      <w:pPr>
        <w:jc w:val="both"/>
        <w:rPr>
          <w:rFonts w:ascii="Times New Roman" w:hAnsi="Times New Roman" w:cs="Times New Roman"/>
        </w:rPr>
      </w:pPr>
      <w:r w:rsidRPr="005E1DF8">
        <w:rPr>
          <w:rFonts w:ascii="Times New Roman" w:hAnsi="Times New Roman" w:cs="Times New Roman"/>
        </w:rPr>
        <w:t>The Risk Score provides a transparent starting point for proactive retention. Its value lies not in predicting an employee's decision with certainty, but in helping HR identify combinations of conditions that deserve investigation. Overtime, low job satisfaction, low environment satisfaction, weak work-life balance, prolonged promotion gaps, frequent travel and long commuting distance can collectively create a meaningful risk signal within the project's framework.</w:t>
      </w:r>
    </w:p>
    <w:p w14:paraId="3BC53638"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For Palo Alto Networks, the strategic implication is that attrition management should become an ongoing workforce-health process rather than a reaction after resignation. HR leaders can use the dashboard to identify patterns, engage managers, investigate root causes and monitor whether interventions improve employee experience.</w:t>
      </w:r>
    </w:p>
    <w:p w14:paraId="17BDE88C"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In conclusion, the proposed dashboard-based HR analytics framework provides a practical foundation for evidence-based employee retention. With stronger longitudinal data, statistical validation and responsible governance, the framework can be extended into a more advanced predictive workforce analytics solution. The project therefore demonstrates both the analytical value of Power BI and the broader importance of integrating employee experience, business context and responsible data science in modern HR decision-making.</w:t>
      </w:r>
    </w:p>
    <w:p w14:paraId="1F72C262" w14:textId="77777777" w:rsidR="00B2387E" w:rsidRDefault="00B2387E" w:rsidP="005E1DF8">
      <w:pPr>
        <w:pStyle w:val="Heading1"/>
        <w:jc w:val="center"/>
        <w:rPr>
          <w:rFonts w:ascii="Times New Roman" w:hAnsi="Times New Roman" w:cs="Times New Roman"/>
        </w:rPr>
        <w:sectPr w:rsidR="00B2387E" w:rsidSect="00034616">
          <w:pgSz w:w="12240" w:h="15840"/>
          <w:pgMar w:top="1080" w:right="1224" w:bottom="1080" w:left="1224" w:header="720" w:footer="720" w:gutter="0"/>
          <w:cols w:space="720"/>
          <w:docGrid w:linePitch="360"/>
        </w:sectPr>
      </w:pPr>
    </w:p>
    <w:p w14:paraId="6B8F1368" w14:textId="77777777" w:rsidR="00DC065C" w:rsidRPr="005E1DF8" w:rsidRDefault="00546F8A" w:rsidP="005E1DF8">
      <w:pPr>
        <w:pStyle w:val="Heading1"/>
        <w:jc w:val="center"/>
        <w:rPr>
          <w:rFonts w:ascii="Times New Roman" w:hAnsi="Times New Roman" w:cs="Times New Roman"/>
        </w:rPr>
      </w:pPr>
      <w:r w:rsidRPr="005E1DF8">
        <w:rPr>
          <w:rFonts w:ascii="Times New Roman" w:hAnsi="Times New Roman" w:cs="Times New Roman"/>
        </w:rPr>
        <w:t>References</w:t>
      </w:r>
    </w:p>
    <w:p w14:paraId="6AE860BC"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The following references provide methodological and conceptual foundations for the project. They should be formatted according to the citation style required by the institution.</w:t>
      </w:r>
    </w:p>
    <w:p w14:paraId="6FD3F21F" w14:textId="77777777" w:rsidR="00DC065C" w:rsidRPr="005E1DF8" w:rsidRDefault="00546F8A" w:rsidP="00DB5A5A">
      <w:pPr>
        <w:pStyle w:val="ListBullet"/>
        <w:jc w:val="both"/>
        <w:rPr>
          <w:rFonts w:ascii="Times New Roman" w:hAnsi="Times New Roman" w:cs="Times New Roman"/>
        </w:rPr>
      </w:pPr>
      <w:r w:rsidRPr="005E1DF8">
        <w:rPr>
          <w:rFonts w:ascii="Times New Roman" w:hAnsi="Times New Roman" w:cs="Times New Roman"/>
        </w:rPr>
        <w:t>CIPD. People analytics: using people data to improve organizational decision-making. Chartered Institute of Personnel and Development.</w:t>
      </w:r>
    </w:p>
    <w:p w14:paraId="30FC89C5" w14:textId="77777777" w:rsidR="00DC065C" w:rsidRPr="005E1DF8" w:rsidRDefault="00546F8A" w:rsidP="00DB5A5A">
      <w:pPr>
        <w:pStyle w:val="ListBullet"/>
        <w:jc w:val="both"/>
        <w:rPr>
          <w:rFonts w:ascii="Times New Roman" w:hAnsi="Times New Roman" w:cs="Times New Roman"/>
        </w:rPr>
      </w:pPr>
      <w:r w:rsidRPr="005E1DF8">
        <w:rPr>
          <w:rFonts w:ascii="Times New Roman" w:hAnsi="Times New Roman" w:cs="Times New Roman"/>
        </w:rPr>
        <w:t>IBM. Employee Attrition / HR Analytics dataset documentation and common workforce-analytics use cases.</w:t>
      </w:r>
    </w:p>
    <w:p w14:paraId="633E23CE" w14:textId="77777777" w:rsidR="00DC065C" w:rsidRPr="005E1DF8" w:rsidRDefault="00546F8A" w:rsidP="00DB5A5A">
      <w:pPr>
        <w:pStyle w:val="ListBullet"/>
        <w:jc w:val="both"/>
        <w:rPr>
          <w:rFonts w:ascii="Times New Roman" w:hAnsi="Times New Roman" w:cs="Times New Roman"/>
        </w:rPr>
      </w:pPr>
      <w:r w:rsidRPr="005E1DF8">
        <w:rPr>
          <w:rFonts w:ascii="Times New Roman" w:hAnsi="Times New Roman" w:cs="Times New Roman"/>
        </w:rPr>
        <w:t>Microsoft. Power BI documentation: data modeling, DAX measures, visualization and dashboard design.</w:t>
      </w:r>
    </w:p>
    <w:p w14:paraId="61F07C7C" w14:textId="77777777" w:rsidR="00DC065C" w:rsidRPr="005E1DF8" w:rsidRDefault="00546F8A" w:rsidP="00DB5A5A">
      <w:pPr>
        <w:pStyle w:val="ListBullet"/>
        <w:jc w:val="both"/>
        <w:rPr>
          <w:rFonts w:ascii="Times New Roman" w:hAnsi="Times New Roman" w:cs="Times New Roman"/>
        </w:rPr>
      </w:pPr>
      <w:r w:rsidRPr="005E1DF8">
        <w:rPr>
          <w:rFonts w:ascii="Times New Roman" w:hAnsi="Times New Roman" w:cs="Times New Roman"/>
        </w:rPr>
        <w:t>Provost, F., &amp; Fawcett, T. Data Science for Business. O'Reilly Media.</w:t>
      </w:r>
    </w:p>
    <w:p w14:paraId="61E49B67" w14:textId="77777777" w:rsidR="00DC065C" w:rsidRPr="005E1DF8" w:rsidRDefault="00546F8A" w:rsidP="00DB5A5A">
      <w:pPr>
        <w:pStyle w:val="ListBullet"/>
        <w:jc w:val="both"/>
        <w:rPr>
          <w:rFonts w:ascii="Times New Roman" w:hAnsi="Times New Roman" w:cs="Times New Roman"/>
        </w:rPr>
      </w:pPr>
      <w:r w:rsidRPr="005E1DF8">
        <w:rPr>
          <w:rFonts w:ascii="Times New Roman" w:hAnsi="Times New Roman" w:cs="Times New Roman"/>
        </w:rPr>
        <w:t>Shmueli, G., Bruce, P. C., Gedeck, P., &amp; Patel, N. R. Data Mining for Business Analytics. Wiley.</w:t>
      </w:r>
    </w:p>
    <w:p w14:paraId="1A2AB003" w14:textId="77777777" w:rsidR="00DC065C" w:rsidRPr="005E1DF8" w:rsidRDefault="00546F8A" w:rsidP="00DB5A5A">
      <w:pPr>
        <w:pStyle w:val="ListBullet"/>
        <w:jc w:val="both"/>
        <w:rPr>
          <w:rFonts w:ascii="Times New Roman" w:hAnsi="Times New Roman" w:cs="Times New Roman"/>
        </w:rPr>
      </w:pPr>
      <w:r w:rsidRPr="005E1DF8">
        <w:rPr>
          <w:rFonts w:ascii="Times New Roman" w:hAnsi="Times New Roman" w:cs="Times New Roman"/>
        </w:rPr>
        <w:t>World Economic Forum. Future of Jobs and workforce transformation research.</w:t>
      </w:r>
    </w:p>
    <w:p w14:paraId="72AF24A6" w14:textId="77777777" w:rsidR="00DC065C" w:rsidRPr="005E1DF8" w:rsidRDefault="00546F8A" w:rsidP="00DB5A5A">
      <w:pPr>
        <w:pStyle w:val="ListBullet"/>
        <w:jc w:val="both"/>
        <w:rPr>
          <w:rFonts w:ascii="Times New Roman" w:hAnsi="Times New Roman" w:cs="Times New Roman"/>
        </w:rPr>
      </w:pPr>
      <w:r w:rsidRPr="005E1DF8">
        <w:rPr>
          <w:rFonts w:ascii="Times New Roman" w:hAnsi="Times New Roman" w:cs="Times New Roman"/>
        </w:rPr>
        <w:t>Relevant organizational HR policies, workforce planning guidelines and employee-data governance standards should be added if available.</w:t>
      </w:r>
    </w:p>
    <w:p w14:paraId="759787F7" w14:textId="77777777" w:rsidR="00E8217A" w:rsidRDefault="00E8217A" w:rsidP="00DB5A5A">
      <w:pPr>
        <w:pStyle w:val="Heading1"/>
        <w:jc w:val="both"/>
        <w:rPr>
          <w:rFonts w:ascii="Times New Roman" w:hAnsi="Times New Roman" w:cs="Times New Roman"/>
        </w:rPr>
        <w:sectPr w:rsidR="00E8217A" w:rsidSect="00034616">
          <w:pgSz w:w="12240" w:h="15840"/>
          <w:pgMar w:top="1080" w:right="1224" w:bottom="1080" w:left="1224" w:header="720" w:footer="720" w:gutter="0"/>
          <w:cols w:space="720"/>
          <w:docGrid w:linePitch="360"/>
        </w:sectPr>
      </w:pPr>
    </w:p>
    <w:p w14:paraId="441DF209" w14:textId="77777777" w:rsidR="00DC065C" w:rsidRPr="005E1DF8" w:rsidRDefault="00546F8A" w:rsidP="00DB5A5A">
      <w:pPr>
        <w:pStyle w:val="Heading1"/>
        <w:jc w:val="both"/>
        <w:rPr>
          <w:rFonts w:ascii="Times New Roman" w:hAnsi="Times New Roman" w:cs="Times New Roman"/>
        </w:rPr>
      </w:pPr>
      <w:r w:rsidRPr="005E1DF8">
        <w:rPr>
          <w:rFonts w:ascii="Times New Roman" w:hAnsi="Times New Roman" w:cs="Times New Roman"/>
        </w:rPr>
        <w:t>Appendix A – Dashboard-to-Research Mapping</w:t>
      </w:r>
    </w:p>
    <w:tbl>
      <w:tblPr>
        <w:tblStyle w:val="TableGrid"/>
        <w:tblW w:w="0" w:type="auto"/>
        <w:jc w:val="center"/>
        <w:tblLook w:val="04A0" w:firstRow="1" w:lastRow="0" w:firstColumn="1" w:lastColumn="0" w:noHBand="0" w:noVBand="1"/>
      </w:tblPr>
      <w:tblGrid>
        <w:gridCol w:w="3261"/>
        <w:gridCol w:w="3260"/>
        <w:gridCol w:w="3261"/>
      </w:tblGrid>
      <w:tr w:rsidR="00DC065C" w:rsidRPr="005E1DF8" w14:paraId="7746180E" w14:textId="77777777">
        <w:trPr>
          <w:jc w:val="center"/>
        </w:trPr>
        <w:tc>
          <w:tcPr>
            <w:tcW w:w="3264" w:type="dxa"/>
            <w:vAlign w:val="center"/>
          </w:tcPr>
          <w:p w14:paraId="4BDB1551"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Dashboard Page</w:t>
            </w:r>
          </w:p>
        </w:tc>
        <w:tc>
          <w:tcPr>
            <w:tcW w:w="3264" w:type="dxa"/>
            <w:vAlign w:val="center"/>
          </w:tcPr>
          <w:p w14:paraId="2ECD9A4C"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Primary Analytical Purpose</w:t>
            </w:r>
          </w:p>
        </w:tc>
        <w:tc>
          <w:tcPr>
            <w:tcW w:w="3264" w:type="dxa"/>
            <w:vAlign w:val="center"/>
          </w:tcPr>
          <w:p w14:paraId="20A50F3B"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Research Questions Supported</w:t>
            </w:r>
          </w:p>
        </w:tc>
      </w:tr>
      <w:tr w:rsidR="00DC065C" w:rsidRPr="005E1DF8" w14:paraId="2ACD5EBE" w14:textId="77777777">
        <w:trPr>
          <w:jc w:val="center"/>
        </w:trPr>
        <w:tc>
          <w:tcPr>
            <w:tcW w:w="3264" w:type="dxa"/>
            <w:vAlign w:val="center"/>
          </w:tcPr>
          <w:p w14:paraId="5715D82E"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Executive Dashboard</w:t>
            </w:r>
          </w:p>
        </w:tc>
        <w:tc>
          <w:tcPr>
            <w:tcW w:w="3264" w:type="dxa"/>
            <w:vAlign w:val="center"/>
          </w:tcPr>
          <w:p w14:paraId="7C1349BA"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Workforce and attrition overview</w:t>
            </w:r>
          </w:p>
        </w:tc>
        <w:tc>
          <w:tcPr>
            <w:tcW w:w="3264" w:type="dxa"/>
            <w:vAlign w:val="center"/>
          </w:tcPr>
          <w:p w14:paraId="0B006FCA"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Where is attrition concentrated? What is the overall workforce situation?</w:t>
            </w:r>
          </w:p>
        </w:tc>
      </w:tr>
      <w:tr w:rsidR="00DC065C" w:rsidRPr="005E1DF8" w14:paraId="3B48C24B" w14:textId="77777777">
        <w:trPr>
          <w:jc w:val="center"/>
        </w:trPr>
        <w:tc>
          <w:tcPr>
            <w:tcW w:w="3264" w:type="dxa"/>
            <w:vAlign w:val="center"/>
          </w:tcPr>
          <w:p w14:paraId="23B86801"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Employee Analysis</w:t>
            </w:r>
          </w:p>
        </w:tc>
        <w:tc>
          <w:tcPr>
            <w:tcW w:w="3264" w:type="dxa"/>
            <w:vAlign w:val="center"/>
          </w:tcPr>
          <w:p w14:paraId="747AC50D"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Workforce composition and career profile</w:t>
            </w:r>
          </w:p>
        </w:tc>
        <w:tc>
          <w:tcPr>
            <w:tcW w:w="3264" w:type="dxa"/>
            <w:vAlign w:val="center"/>
          </w:tcPr>
          <w:p w14:paraId="24E689FF"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How do experience, income, job level and promotion relate to workforce risk?</w:t>
            </w:r>
          </w:p>
        </w:tc>
      </w:tr>
      <w:tr w:rsidR="00DC065C" w:rsidRPr="005E1DF8" w14:paraId="101A2EB6" w14:textId="77777777">
        <w:trPr>
          <w:jc w:val="center"/>
        </w:trPr>
        <w:tc>
          <w:tcPr>
            <w:tcW w:w="3264" w:type="dxa"/>
            <w:vAlign w:val="center"/>
          </w:tcPr>
          <w:p w14:paraId="71529C19"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Workload &amp; Satisfaction</w:t>
            </w:r>
          </w:p>
        </w:tc>
        <w:tc>
          <w:tcPr>
            <w:tcW w:w="3264" w:type="dxa"/>
            <w:vAlign w:val="center"/>
          </w:tcPr>
          <w:p w14:paraId="093B57A8"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Employee experience diagnostics</w:t>
            </w:r>
          </w:p>
        </w:tc>
        <w:tc>
          <w:tcPr>
            <w:tcW w:w="3264" w:type="dxa"/>
            <w:vAlign w:val="center"/>
          </w:tcPr>
          <w:p w14:paraId="449E8326"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Which satisfaction and workload conditions require attention?</w:t>
            </w:r>
          </w:p>
        </w:tc>
      </w:tr>
      <w:tr w:rsidR="00DC065C" w:rsidRPr="005E1DF8" w14:paraId="13E26CD1" w14:textId="77777777">
        <w:trPr>
          <w:jc w:val="center"/>
        </w:trPr>
        <w:tc>
          <w:tcPr>
            <w:tcW w:w="3264" w:type="dxa"/>
            <w:vAlign w:val="center"/>
          </w:tcPr>
          <w:p w14:paraId="577EB0CA"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Predictive Attrition</w:t>
            </w:r>
          </w:p>
        </w:tc>
        <w:tc>
          <w:tcPr>
            <w:tcW w:w="3264" w:type="dxa"/>
            <w:vAlign w:val="center"/>
          </w:tcPr>
          <w:p w14:paraId="325129D3"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Risk prioritization</w:t>
            </w:r>
          </w:p>
        </w:tc>
        <w:tc>
          <w:tcPr>
            <w:tcW w:w="3264" w:type="dxa"/>
            <w:vAlign w:val="center"/>
          </w:tcPr>
          <w:p w14:paraId="6EBE4177"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Which employees/groups show higher combined risk signals?</w:t>
            </w:r>
          </w:p>
        </w:tc>
      </w:tr>
      <w:tr w:rsidR="00DC065C" w:rsidRPr="005E1DF8" w14:paraId="74850B62" w14:textId="77777777">
        <w:trPr>
          <w:jc w:val="center"/>
        </w:trPr>
        <w:tc>
          <w:tcPr>
            <w:tcW w:w="3264" w:type="dxa"/>
            <w:vAlign w:val="center"/>
          </w:tcPr>
          <w:p w14:paraId="707547B1"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Consolidated Analysis</w:t>
            </w:r>
          </w:p>
        </w:tc>
        <w:tc>
          <w:tcPr>
            <w:tcW w:w="3264" w:type="dxa"/>
            <w:vAlign w:val="center"/>
          </w:tcPr>
          <w:p w14:paraId="5E4C533A"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Integrated decision support</w:t>
            </w:r>
          </w:p>
        </w:tc>
        <w:tc>
          <w:tcPr>
            <w:tcW w:w="3264" w:type="dxa"/>
            <w:vAlign w:val="center"/>
          </w:tcPr>
          <w:p w14:paraId="3121B0B6"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How do attrition, risk and workforce factors connect?</w:t>
            </w:r>
          </w:p>
        </w:tc>
      </w:tr>
    </w:tbl>
    <w:p w14:paraId="2F12A391" w14:textId="77777777" w:rsidR="00DC065C" w:rsidRPr="005E1DF8" w:rsidRDefault="00546F8A" w:rsidP="00DB5A5A">
      <w:pPr>
        <w:pStyle w:val="Heading1"/>
        <w:jc w:val="both"/>
        <w:rPr>
          <w:rFonts w:ascii="Times New Roman" w:hAnsi="Times New Roman" w:cs="Times New Roman"/>
        </w:rPr>
      </w:pPr>
      <w:r w:rsidRPr="005E1DF8">
        <w:rPr>
          <w:rFonts w:ascii="Times New Roman" w:hAnsi="Times New Roman" w:cs="Times New Roman"/>
        </w:rPr>
        <w:t>Appendix B – Risk Score Specification</w:t>
      </w:r>
    </w:p>
    <w:tbl>
      <w:tblPr>
        <w:tblStyle w:val="TableGrid"/>
        <w:tblW w:w="0" w:type="auto"/>
        <w:jc w:val="center"/>
        <w:tblLook w:val="04A0" w:firstRow="1" w:lastRow="0" w:firstColumn="1" w:lastColumn="0" w:noHBand="0" w:noVBand="1"/>
      </w:tblPr>
      <w:tblGrid>
        <w:gridCol w:w="3261"/>
        <w:gridCol w:w="3261"/>
        <w:gridCol w:w="3260"/>
      </w:tblGrid>
      <w:tr w:rsidR="00DC065C" w:rsidRPr="005E1DF8" w14:paraId="44B805CE" w14:textId="77777777">
        <w:trPr>
          <w:jc w:val="center"/>
        </w:trPr>
        <w:tc>
          <w:tcPr>
            <w:tcW w:w="3264" w:type="dxa"/>
          </w:tcPr>
          <w:p w14:paraId="7919B9FA"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Risk Indicator</w:t>
            </w:r>
          </w:p>
        </w:tc>
        <w:tc>
          <w:tcPr>
            <w:tcW w:w="3264" w:type="dxa"/>
          </w:tcPr>
          <w:p w14:paraId="6B00B6E3"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Condition</w:t>
            </w:r>
          </w:p>
        </w:tc>
        <w:tc>
          <w:tcPr>
            <w:tcW w:w="3264" w:type="dxa"/>
          </w:tcPr>
          <w:p w14:paraId="1575011A"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Points</w:t>
            </w:r>
          </w:p>
        </w:tc>
      </w:tr>
      <w:tr w:rsidR="00DC065C" w:rsidRPr="005E1DF8" w14:paraId="0F28629A" w14:textId="77777777">
        <w:trPr>
          <w:jc w:val="center"/>
        </w:trPr>
        <w:tc>
          <w:tcPr>
            <w:tcW w:w="3264" w:type="dxa"/>
          </w:tcPr>
          <w:p w14:paraId="62C394FD"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Overtime</w:t>
            </w:r>
          </w:p>
        </w:tc>
        <w:tc>
          <w:tcPr>
            <w:tcW w:w="3264" w:type="dxa"/>
          </w:tcPr>
          <w:p w14:paraId="04378FFF"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Yes</w:t>
            </w:r>
          </w:p>
        </w:tc>
        <w:tc>
          <w:tcPr>
            <w:tcW w:w="3264" w:type="dxa"/>
          </w:tcPr>
          <w:p w14:paraId="629BD432"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+25</w:t>
            </w:r>
          </w:p>
        </w:tc>
      </w:tr>
      <w:tr w:rsidR="00DC065C" w:rsidRPr="005E1DF8" w14:paraId="1D35DAFD" w14:textId="77777777">
        <w:trPr>
          <w:jc w:val="center"/>
        </w:trPr>
        <w:tc>
          <w:tcPr>
            <w:tcW w:w="3264" w:type="dxa"/>
          </w:tcPr>
          <w:p w14:paraId="1B5B58A8"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Job Satisfaction</w:t>
            </w:r>
          </w:p>
        </w:tc>
        <w:tc>
          <w:tcPr>
            <w:tcW w:w="3264" w:type="dxa"/>
          </w:tcPr>
          <w:p w14:paraId="1A64ED0A"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 2</w:t>
            </w:r>
          </w:p>
        </w:tc>
        <w:tc>
          <w:tcPr>
            <w:tcW w:w="3264" w:type="dxa"/>
          </w:tcPr>
          <w:p w14:paraId="2CE66177"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+20</w:t>
            </w:r>
          </w:p>
        </w:tc>
      </w:tr>
      <w:tr w:rsidR="00DC065C" w:rsidRPr="005E1DF8" w14:paraId="7F557742" w14:textId="77777777">
        <w:trPr>
          <w:jc w:val="center"/>
        </w:trPr>
        <w:tc>
          <w:tcPr>
            <w:tcW w:w="3264" w:type="dxa"/>
          </w:tcPr>
          <w:p w14:paraId="361EDDB3"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Environment Satisfaction</w:t>
            </w:r>
          </w:p>
        </w:tc>
        <w:tc>
          <w:tcPr>
            <w:tcW w:w="3264" w:type="dxa"/>
          </w:tcPr>
          <w:p w14:paraId="592BE1EF"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 2</w:t>
            </w:r>
          </w:p>
        </w:tc>
        <w:tc>
          <w:tcPr>
            <w:tcW w:w="3264" w:type="dxa"/>
          </w:tcPr>
          <w:p w14:paraId="038779BA"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+15</w:t>
            </w:r>
          </w:p>
        </w:tc>
      </w:tr>
      <w:tr w:rsidR="00DC065C" w:rsidRPr="005E1DF8" w14:paraId="3635959F" w14:textId="77777777">
        <w:trPr>
          <w:jc w:val="center"/>
        </w:trPr>
        <w:tc>
          <w:tcPr>
            <w:tcW w:w="3264" w:type="dxa"/>
          </w:tcPr>
          <w:p w14:paraId="0CCD2301"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Work-Life Balance</w:t>
            </w:r>
          </w:p>
        </w:tc>
        <w:tc>
          <w:tcPr>
            <w:tcW w:w="3264" w:type="dxa"/>
          </w:tcPr>
          <w:p w14:paraId="34C492F0"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 2</w:t>
            </w:r>
          </w:p>
        </w:tc>
        <w:tc>
          <w:tcPr>
            <w:tcW w:w="3264" w:type="dxa"/>
          </w:tcPr>
          <w:p w14:paraId="7445D627"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+15</w:t>
            </w:r>
          </w:p>
        </w:tc>
      </w:tr>
      <w:tr w:rsidR="00DC065C" w:rsidRPr="005E1DF8" w14:paraId="15F831C6" w14:textId="77777777">
        <w:trPr>
          <w:jc w:val="center"/>
        </w:trPr>
        <w:tc>
          <w:tcPr>
            <w:tcW w:w="3264" w:type="dxa"/>
          </w:tcPr>
          <w:p w14:paraId="40B9CD8D"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Years Since Last Promotion</w:t>
            </w:r>
          </w:p>
        </w:tc>
        <w:tc>
          <w:tcPr>
            <w:tcW w:w="3264" w:type="dxa"/>
          </w:tcPr>
          <w:p w14:paraId="330F7D6E"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 5</w:t>
            </w:r>
          </w:p>
        </w:tc>
        <w:tc>
          <w:tcPr>
            <w:tcW w:w="3264" w:type="dxa"/>
          </w:tcPr>
          <w:p w14:paraId="744BAB51"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+10</w:t>
            </w:r>
          </w:p>
        </w:tc>
      </w:tr>
      <w:tr w:rsidR="00DC065C" w:rsidRPr="005E1DF8" w14:paraId="62B29143" w14:textId="77777777">
        <w:trPr>
          <w:jc w:val="center"/>
        </w:trPr>
        <w:tc>
          <w:tcPr>
            <w:tcW w:w="3264" w:type="dxa"/>
          </w:tcPr>
          <w:p w14:paraId="6D9A2968"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Distance From Home</w:t>
            </w:r>
          </w:p>
        </w:tc>
        <w:tc>
          <w:tcPr>
            <w:tcW w:w="3264" w:type="dxa"/>
          </w:tcPr>
          <w:p w14:paraId="4E3368A0"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 20</w:t>
            </w:r>
          </w:p>
        </w:tc>
        <w:tc>
          <w:tcPr>
            <w:tcW w:w="3264" w:type="dxa"/>
          </w:tcPr>
          <w:p w14:paraId="2541A70E"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+5</w:t>
            </w:r>
          </w:p>
        </w:tc>
      </w:tr>
      <w:tr w:rsidR="00DC065C" w:rsidRPr="005E1DF8" w14:paraId="1DA36AD4" w14:textId="77777777">
        <w:trPr>
          <w:jc w:val="center"/>
        </w:trPr>
        <w:tc>
          <w:tcPr>
            <w:tcW w:w="3264" w:type="dxa"/>
          </w:tcPr>
          <w:p w14:paraId="777B949F"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Business Travel</w:t>
            </w:r>
          </w:p>
        </w:tc>
        <w:tc>
          <w:tcPr>
            <w:tcW w:w="3264" w:type="dxa"/>
          </w:tcPr>
          <w:p w14:paraId="5B019D6F"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Travel Frequently</w:t>
            </w:r>
          </w:p>
        </w:tc>
        <w:tc>
          <w:tcPr>
            <w:tcW w:w="3264" w:type="dxa"/>
          </w:tcPr>
          <w:p w14:paraId="680186F6" w14:textId="77777777" w:rsidR="00DC065C" w:rsidRPr="005E1DF8" w:rsidRDefault="00546F8A" w:rsidP="00DB5A5A">
            <w:pPr>
              <w:jc w:val="both"/>
              <w:rPr>
                <w:rFonts w:ascii="Times New Roman" w:hAnsi="Times New Roman" w:cs="Times New Roman"/>
              </w:rPr>
            </w:pPr>
            <w:r w:rsidRPr="005E1DF8">
              <w:rPr>
                <w:rFonts w:ascii="Times New Roman" w:hAnsi="Times New Roman" w:cs="Times New Roman"/>
              </w:rPr>
              <w:t>+10</w:t>
            </w:r>
          </w:p>
        </w:tc>
      </w:tr>
    </w:tbl>
    <w:p w14:paraId="21460A3A" w14:textId="77777777" w:rsidR="00DC065C" w:rsidRDefault="00546F8A" w:rsidP="00DB5A5A">
      <w:pPr>
        <w:jc w:val="both"/>
        <w:rPr>
          <w:rFonts w:ascii="Times New Roman" w:hAnsi="Times New Roman" w:cs="Times New Roman"/>
        </w:rPr>
      </w:pPr>
      <w:r w:rsidRPr="005E1DF8">
        <w:rPr>
          <w:rFonts w:ascii="Times New Roman" w:hAnsi="Times New Roman" w:cs="Times New Roman"/>
        </w:rPr>
        <w:t>Interpretation: the score is a transparent diagnostic prioritization mechanism. Final Low/Medium/High thresholds should be explicitly documented in the Power BI model and empirically validated against historical outcomes before operational deployment.</w:t>
      </w:r>
    </w:p>
    <w:p w14:paraId="193C5CFE" w14:textId="77777777" w:rsidR="00BC317F" w:rsidRDefault="00BC317F" w:rsidP="00DB5A5A">
      <w:pPr>
        <w:jc w:val="both"/>
        <w:rPr>
          <w:rFonts w:ascii="Times New Roman" w:hAnsi="Times New Roman" w:cs="Times New Roman"/>
        </w:rPr>
      </w:pPr>
    </w:p>
    <w:p w14:paraId="0E0CDA30" w14:textId="6D732060" w:rsidR="00BC317F" w:rsidRPr="005E1DF8" w:rsidRDefault="00B2387E" w:rsidP="00DB5A5A">
      <w:pPr>
        <w:jc w:val="both"/>
        <w:rPr>
          <w:rFonts w:ascii="Times New Roman" w:hAnsi="Times New Roman" w:cs="Times New Roman"/>
        </w:rPr>
      </w:pPr>
      <w:r>
        <w:rPr>
          <w:rFonts w:ascii="Times New Roman" w:hAnsi="Times New Roman" w:cs="Times New Roman"/>
          <w:noProof/>
        </w:rPr>
        <w:drawing>
          <wp:inline distT="0" distB="0" distL="0" distR="0" wp14:anchorId="74ADF85C" wp14:editId="6A6DC5AE">
            <wp:extent cx="6217920" cy="3436620"/>
            <wp:effectExtent l="0" t="0" r="0" b="0"/>
            <wp:docPr id="264670606" name="Picture 1">
              <a:extLst xmlns:a="http://schemas.openxmlformats.org/drawingml/2006/main">
                <a:ext uri="{FF2B5EF4-FFF2-40B4-BE49-F238E27FC236}">
                  <a16:creationId xmlns:a16="http://schemas.microsoft.com/office/drawing/2014/main" id="{C1BE1B38-ACB7-4E59-B6B8-CE2112A2B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70606" name="Picture 264670606"/>
                    <pic:cNvPicPr/>
                  </pic:nvPicPr>
                  <pic:blipFill>
                    <a:blip r:embed="rId8"/>
                    <a:stretch>
                      <a:fillRect/>
                    </a:stretch>
                  </pic:blipFill>
                  <pic:spPr>
                    <a:xfrm>
                      <a:off x="0" y="0"/>
                      <a:ext cx="6217920" cy="3436620"/>
                    </a:xfrm>
                    <a:prstGeom prst="rect">
                      <a:avLst/>
                    </a:prstGeom>
                  </pic:spPr>
                </pic:pic>
              </a:graphicData>
            </a:graphic>
          </wp:inline>
        </w:drawing>
      </w:r>
    </w:p>
    <w:sectPr w:rsidR="00BC317F" w:rsidRPr="005E1DF8" w:rsidSect="00034616">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0525C" w14:textId="77777777" w:rsidR="006E4470" w:rsidRDefault="006E4470">
      <w:pPr>
        <w:spacing w:after="0" w:line="240" w:lineRule="auto"/>
      </w:pPr>
      <w:r>
        <w:separator/>
      </w:r>
    </w:p>
  </w:endnote>
  <w:endnote w:type="continuationSeparator" w:id="0">
    <w:p w14:paraId="436790D5" w14:textId="77777777" w:rsidR="006E4470" w:rsidRDefault="006E44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5261D" w14:textId="77777777" w:rsidR="00DC065C" w:rsidRDefault="00546F8A">
    <w:pPr>
      <w:pStyle w:val="Footer"/>
      <w:jc w:val="center"/>
    </w:pPr>
    <w:r>
      <w:t xml:space="preserve">Page </w:t>
    </w:r>
    <w:r>
      <w:fldChar w:fldCharType="begin"/>
    </w:r>
    <w:r>
      <w:instrText>PAGE</w:instrText>
    </w:r>
    <w:r>
      <w:fldChar w:fldCharType="separate"/>
    </w:r>
    <w:r w:rsidR="00DB5A5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64598" w14:textId="77777777" w:rsidR="006E4470" w:rsidRDefault="006E4470">
      <w:pPr>
        <w:spacing w:after="0" w:line="240" w:lineRule="auto"/>
      </w:pPr>
      <w:r>
        <w:separator/>
      </w:r>
    </w:p>
  </w:footnote>
  <w:footnote w:type="continuationSeparator" w:id="0">
    <w:p w14:paraId="1222F847" w14:textId="77777777" w:rsidR="006E4470" w:rsidRDefault="006E44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53A3CD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15AD45A"/>
    <w:lvl w:ilvl="0">
      <w:start w:val="1"/>
      <w:numFmt w:val="bullet"/>
      <w:pStyle w:val="ListBullet"/>
      <w:lvlText w:val=""/>
      <w:lvlJc w:val="left"/>
      <w:pPr>
        <w:tabs>
          <w:tab w:val="num" w:pos="360"/>
        </w:tabs>
        <w:ind w:left="360" w:hanging="360"/>
      </w:pPr>
      <w:rPr>
        <w:rFonts w:ascii="Symbol" w:hAnsi="Symbol" w:hint="default"/>
      </w:rPr>
    </w:lvl>
  </w:abstractNum>
  <w:num w:numId="1" w16cid:durableId="109278844">
    <w:abstractNumId w:val="7"/>
  </w:num>
  <w:num w:numId="2" w16cid:durableId="1127164098">
    <w:abstractNumId w:val="8"/>
  </w:num>
  <w:num w:numId="3" w16cid:durableId="1239513382">
    <w:abstractNumId w:val="6"/>
  </w:num>
  <w:num w:numId="4" w16cid:durableId="1603758610">
    <w:abstractNumId w:val="5"/>
  </w:num>
  <w:num w:numId="5" w16cid:durableId="1805997809">
    <w:abstractNumId w:val="4"/>
  </w:num>
  <w:num w:numId="6" w16cid:durableId="239222450">
    <w:abstractNumId w:val="0"/>
  </w:num>
  <w:num w:numId="7" w16cid:durableId="576671483">
    <w:abstractNumId w:val="2"/>
  </w:num>
  <w:num w:numId="8" w16cid:durableId="689448949">
    <w:abstractNumId w:val="7"/>
  </w:num>
  <w:num w:numId="9" w16cid:durableId="845440669">
    <w:abstractNumId w:val="7"/>
  </w:num>
  <w:num w:numId="10" w16cid:durableId="912204616">
    <w:abstractNumId w:val="1"/>
  </w:num>
  <w:num w:numId="11" w16cid:durableId="989135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9A8"/>
    <w:rsid w:val="00034616"/>
    <w:rsid w:val="0006063C"/>
    <w:rsid w:val="001215A4"/>
    <w:rsid w:val="00125D30"/>
    <w:rsid w:val="00130D86"/>
    <w:rsid w:val="00143B5A"/>
    <w:rsid w:val="0015074B"/>
    <w:rsid w:val="001A0216"/>
    <w:rsid w:val="001A651B"/>
    <w:rsid w:val="0029639D"/>
    <w:rsid w:val="002C38FC"/>
    <w:rsid w:val="002E79EF"/>
    <w:rsid w:val="00325E98"/>
    <w:rsid w:val="00326F90"/>
    <w:rsid w:val="00383CEB"/>
    <w:rsid w:val="003D7BA0"/>
    <w:rsid w:val="00401C4B"/>
    <w:rsid w:val="004F03E2"/>
    <w:rsid w:val="005126F3"/>
    <w:rsid w:val="005231F0"/>
    <w:rsid w:val="00546F8A"/>
    <w:rsid w:val="005A3A19"/>
    <w:rsid w:val="005B394C"/>
    <w:rsid w:val="005E0A57"/>
    <w:rsid w:val="005E1DF8"/>
    <w:rsid w:val="005E4E3F"/>
    <w:rsid w:val="00635819"/>
    <w:rsid w:val="00645E45"/>
    <w:rsid w:val="006A6F20"/>
    <w:rsid w:val="006D7149"/>
    <w:rsid w:val="006E4470"/>
    <w:rsid w:val="007C2DFE"/>
    <w:rsid w:val="007E644E"/>
    <w:rsid w:val="008356C1"/>
    <w:rsid w:val="0087044D"/>
    <w:rsid w:val="008714E5"/>
    <w:rsid w:val="008E3EA2"/>
    <w:rsid w:val="009468EA"/>
    <w:rsid w:val="0097616A"/>
    <w:rsid w:val="00A56327"/>
    <w:rsid w:val="00AA1D8D"/>
    <w:rsid w:val="00AC0165"/>
    <w:rsid w:val="00B2387E"/>
    <w:rsid w:val="00B47730"/>
    <w:rsid w:val="00BC317F"/>
    <w:rsid w:val="00BF0006"/>
    <w:rsid w:val="00C56647"/>
    <w:rsid w:val="00CB0664"/>
    <w:rsid w:val="00DB5A5A"/>
    <w:rsid w:val="00DC065C"/>
    <w:rsid w:val="00DD20DB"/>
    <w:rsid w:val="00DF4C39"/>
    <w:rsid w:val="00DF7BF0"/>
    <w:rsid w:val="00E50BD6"/>
    <w:rsid w:val="00E8217A"/>
    <w:rsid w:val="00F13C90"/>
    <w:rsid w:val="00F35F75"/>
    <w:rsid w:val="00F6337E"/>
    <w:rsid w:val="00F91DB2"/>
    <w:rsid w:val="00FA37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AF9B801"/>
  <w14:defaultImageDpi w14:val="300"/>
  <w15:docId w15:val="{D022764D-6BFE-48C8-8584-469ACF79F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BD6"/>
  </w:style>
  <w:style w:type="paragraph" w:styleId="Heading1">
    <w:name w:val="heading 1"/>
    <w:basedOn w:val="Normal"/>
    <w:next w:val="Normal"/>
    <w:link w:val="Heading1Char"/>
    <w:uiPriority w:val="9"/>
    <w:qFormat/>
    <w:rsid w:val="00E50BD6"/>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rsid w:val="00E50BD6"/>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E50BD6"/>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50BD6"/>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E50BD6"/>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E50BD6"/>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E50BD6"/>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E50BD6"/>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E50BD6"/>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E50BD6"/>
    <w:pPr>
      <w:spacing w:after="0" w:line="240" w:lineRule="auto"/>
    </w:pPr>
  </w:style>
  <w:style w:type="character" w:customStyle="1" w:styleId="Heading1Char">
    <w:name w:val="Heading 1 Char"/>
    <w:basedOn w:val="DefaultParagraphFont"/>
    <w:link w:val="Heading1"/>
    <w:uiPriority w:val="9"/>
    <w:rsid w:val="00E50BD6"/>
    <w:rPr>
      <w:rFonts w:asciiTheme="majorHAnsi" w:eastAsiaTheme="majorEastAsia" w:hAnsiTheme="majorHAnsi" w:cstheme="majorBidi"/>
      <w:color w:val="244061" w:themeColor="accent1" w:themeShade="80"/>
      <w:sz w:val="36"/>
      <w:szCs w:val="36"/>
    </w:rPr>
  </w:style>
  <w:style w:type="character" w:customStyle="1" w:styleId="Heading2Char">
    <w:name w:val="Heading 2 Char"/>
    <w:basedOn w:val="DefaultParagraphFont"/>
    <w:link w:val="Heading2"/>
    <w:uiPriority w:val="9"/>
    <w:rsid w:val="00E50BD6"/>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E50BD6"/>
    <w:rPr>
      <w:rFonts w:asciiTheme="majorHAnsi" w:eastAsiaTheme="majorEastAsia" w:hAnsiTheme="majorHAnsi" w:cstheme="majorBidi"/>
      <w:color w:val="365F91" w:themeColor="accent1" w:themeShade="BF"/>
      <w:sz w:val="28"/>
      <w:szCs w:val="28"/>
    </w:rPr>
  </w:style>
  <w:style w:type="paragraph" w:styleId="Title">
    <w:name w:val="Title"/>
    <w:basedOn w:val="Normal"/>
    <w:next w:val="Normal"/>
    <w:link w:val="TitleChar"/>
    <w:uiPriority w:val="10"/>
    <w:qFormat/>
    <w:rsid w:val="00E50BD6"/>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E50BD6"/>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E50BD6"/>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E50BD6"/>
    <w:rPr>
      <w:rFonts w:asciiTheme="majorHAnsi" w:eastAsiaTheme="majorEastAsia" w:hAnsiTheme="majorHAnsi" w:cstheme="majorBidi"/>
      <w:color w:val="4F81BD" w:themeColor="accent1"/>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3"/>
      </w:numPr>
      <w:contextualSpacing/>
    </w:pPr>
  </w:style>
  <w:style w:type="paragraph" w:styleId="ListBullet3">
    <w:name w:val="List Bullet 3"/>
    <w:basedOn w:val="Normal"/>
    <w:uiPriority w:val="99"/>
    <w:unhideWhenUsed/>
    <w:rsid w:val="00326F90"/>
    <w:pPr>
      <w:numPr>
        <w:numId w:val="4"/>
      </w:numPr>
      <w:contextualSpacing/>
    </w:pPr>
  </w:style>
  <w:style w:type="paragraph" w:styleId="ListNumber">
    <w:name w:val="List Number"/>
    <w:basedOn w:val="Normal"/>
    <w:uiPriority w:val="99"/>
    <w:unhideWhenUsed/>
    <w:rsid w:val="00326F90"/>
    <w:pPr>
      <w:numPr>
        <w:numId w:val="9"/>
      </w:numPr>
      <w:contextualSpacing/>
    </w:pPr>
  </w:style>
  <w:style w:type="paragraph" w:styleId="ListNumber2">
    <w:name w:val="List Number 2"/>
    <w:basedOn w:val="Normal"/>
    <w:uiPriority w:val="99"/>
    <w:unhideWhenUsed/>
    <w:rsid w:val="0029639D"/>
    <w:pPr>
      <w:numPr>
        <w:numId w:val="11"/>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50BD6"/>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E50BD6"/>
    <w:rPr>
      <w:color w:val="1F497D" w:themeColor="text2"/>
      <w:sz w:val="24"/>
      <w:szCs w:val="24"/>
    </w:rPr>
  </w:style>
  <w:style w:type="character" w:customStyle="1" w:styleId="Heading4Char">
    <w:name w:val="Heading 4 Char"/>
    <w:basedOn w:val="DefaultParagraphFont"/>
    <w:link w:val="Heading4"/>
    <w:uiPriority w:val="9"/>
    <w:semiHidden/>
    <w:rsid w:val="00E50BD6"/>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E50BD6"/>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E50BD6"/>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E50BD6"/>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E50BD6"/>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E50BD6"/>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E50BD6"/>
    <w:pPr>
      <w:spacing w:line="240" w:lineRule="auto"/>
    </w:pPr>
    <w:rPr>
      <w:b/>
      <w:bCs/>
      <w:smallCaps/>
      <w:color w:val="1F497D" w:themeColor="text2"/>
    </w:rPr>
  </w:style>
  <w:style w:type="character" w:styleId="Strong">
    <w:name w:val="Strong"/>
    <w:basedOn w:val="DefaultParagraphFont"/>
    <w:uiPriority w:val="22"/>
    <w:qFormat/>
    <w:rsid w:val="00E50BD6"/>
    <w:rPr>
      <w:b/>
      <w:bCs/>
    </w:rPr>
  </w:style>
  <w:style w:type="character" w:styleId="Emphasis">
    <w:name w:val="Emphasis"/>
    <w:basedOn w:val="DefaultParagraphFont"/>
    <w:uiPriority w:val="20"/>
    <w:qFormat/>
    <w:rsid w:val="00E50BD6"/>
    <w:rPr>
      <w:i/>
      <w:iCs/>
    </w:rPr>
  </w:style>
  <w:style w:type="paragraph" w:styleId="IntenseQuote">
    <w:name w:val="Intense Quote"/>
    <w:basedOn w:val="Normal"/>
    <w:next w:val="Normal"/>
    <w:link w:val="IntenseQuoteChar"/>
    <w:uiPriority w:val="30"/>
    <w:qFormat/>
    <w:rsid w:val="00E50BD6"/>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E50BD6"/>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E50BD6"/>
    <w:rPr>
      <w:i/>
      <w:iCs/>
      <w:color w:val="595959" w:themeColor="text1" w:themeTint="A6"/>
    </w:rPr>
  </w:style>
  <w:style w:type="character" w:styleId="IntenseEmphasis">
    <w:name w:val="Intense Emphasis"/>
    <w:basedOn w:val="DefaultParagraphFont"/>
    <w:uiPriority w:val="21"/>
    <w:qFormat/>
    <w:rsid w:val="00E50BD6"/>
    <w:rPr>
      <w:b/>
      <w:bCs/>
      <w:i/>
      <w:iCs/>
    </w:rPr>
  </w:style>
  <w:style w:type="character" w:styleId="SubtleReference">
    <w:name w:val="Subtle Reference"/>
    <w:basedOn w:val="DefaultParagraphFont"/>
    <w:uiPriority w:val="31"/>
    <w:qFormat/>
    <w:rsid w:val="00E50BD6"/>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E50BD6"/>
    <w:rPr>
      <w:b/>
      <w:bCs/>
      <w:smallCaps/>
      <w:color w:val="1F497D" w:themeColor="text2"/>
      <w:u w:val="single"/>
    </w:rPr>
  </w:style>
  <w:style w:type="character" w:styleId="BookTitle">
    <w:name w:val="Book Title"/>
    <w:basedOn w:val="DefaultParagraphFont"/>
    <w:uiPriority w:val="33"/>
    <w:qFormat/>
    <w:rsid w:val="00E50BD6"/>
    <w:rPr>
      <w:b/>
      <w:bCs/>
      <w:smallCaps/>
      <w:spacing w:val="10"/>
    </w:rPr>
  </w:style>
  <w:style w:type="paragraph" w:styleId="TOCHeading">
    <w:name w:val="TOC Heading"/>
    <w:basedOn w:val="Heading1"/>
    <w:next w:val="Normal"/>
    <w:uiPriority w:val="39"/>
    <w:semiHidden/>
    <w:unhideWhenUsed/>
    <w:qFormat/>
    <w:rsid w:val="00E50BD6"/>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Bhayani</cp:lastModifiedBy>
  <cp:revision>2</cp:revision>
  <dcterms:created xsi:type="dcterms:W3CDTF">2026-08-13T06:34:00Z</dcterms:created>
  <dcterms:modified xsi:type="dcterms:W3CDTF">2026-08-13T06:37:00Z</dcterms:modified>
  <cp:category/>
</cp:coreProperties>
</file>