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Pr>
        <w:jc w:val="center"/>
      </w:pPr>
      <w:r>
        <w:rPr>
          <w:b/>
          <w:color w:val="1F4E79"/>
          <w:sz w:val="28"/>
        </w:rPr>
        <w:t>SINGAPORE UNIVERSITY OF TECHNOLOGY AND DESIGN</w:t>
      </w:r>
    </w:p>
    <w:p>
      <w:pPr>
        <w:jc w:val="center"/>
      </w:pPr>
      <w:r>
        <w:rPr>
          <w:sz w:val="24"/>
        </w:rPr>
        <w:t>2026 May Term - 61.500 : MDAIE Studio</w:t>
      </w:r>
    </w:p>
    <w:p>
      <w:pPr>
        <w:pBdr>
          <w:bottom w:val="single" w:sz="6" w:space="1" w:color="1F4E79"/>
        </w:pBdr>
      </w:pPr>
    </w:p>
    <w:p/>
    <w:p/>
    <w:p/>
    <w:p/>
    <w:p>
      <w:pPr>
        <w:jc w:val="center"/>
      </w:pPr>
      <w:r>
        <w:rPr>
          <w:b/>
          <w:color w:val="1F4E79"/>
          <w:sz w:val="48"/>
        </w:rPr>
        <w:t>AI-Enabled OTP Dashboard Project</w:t>
      </w:r>
    </w:p>
    <w:p>
      <w:pPr>
        <w:jc w:val="center"/>
      </w:pPr>
      <w:r>
        <w:rPr>
          <w:b/>
          <w:color w:val="1F4E79"/>
          <w:sz w:val="28"/>
        </w:rPr>
        <w:t>PROGRESS UPDATE REPORT</w:t>
      </w:r>
    </w:p>
    <w:p/>
    <w:p/>
    <w:p>
      <w:pPr>
        <w:jc w:val="center"/>
      </w:pPr>
      <w:r>
        <w:rPr>
          <w:i/>
          <w:sz w:val="22"/>
        </w:rPr>
        <w:t>An update on work completed since the Final Term Report</w:t>
      </w:r>
    </w:p>
    <w:p/>
    <w:p/>
    <w:p/>
    <w:p>
      <w:pPr>
        <w:jc w:val="center"/>
      </w:pPr>
      <w:r>
        <w:rPr>
          <w:i/>
          <w:sz w:val="22"/>
        </w:rPr>
        <w:t>Prepared by</w:t>
      </w:r>
    </w:p>
    <w:p>
      <w:pPr>
        <w:jc w:val="center"/>
      </w:pPr>
      <w:r>
        <w:rPr>
          <w:b/>
          <w:sz w:val="28"/>
        </w:rPr>
        <w:t>Prathosh Chander</w:t>
      </w:r>
    </w:p>
    <w:p>
      <w:pPr>
        <w:jc w:val="center"/>
      </w:pPr>
      <w:r>
        <w:rPr>
          <w:sz w:val="22"/>
        </w:rPr>
        <w:t>Student No: 1010948</w:t>
      </w:r>
    </w:p>
    <w:p/>
    <w:p/>
    <w:p/>
    <w:p/>
    <w:p/>
    <w:p/>
    <w:p>
      <w:pPr>
        <w:pBdr>
          <w:bottom w:val="single" w:sz="6" w:space="1" w:color="1F4E79"/>
        </w:pBdr>
      </w:pPr>
    </w:p>
    <w:p>
      <w:pPr>
        <w:jc w:val="center"/>
      </w:pPr>
      <w:r>
        <w:rPr>
          <w:b/>
          <w:color w:val="1F4E79"/>
          <w:sz w:val="22"/>
        </w:rPr>
        <w:t>July 2026  •  Prepared for SATS Ltd. — Hub Performance &amp; Operational Excellence</w:t>
      </w:r>
    </w:p>
    <w:p>
      <w:r>
        <w:br w:type="page"/>
      </w:r>
    </w:p>
    <w:p>
      <w:pPr>
        <w:pStyle w:val="Heading1"/>
      </w:pPr>
      <w:r>
        <w:t>Table of Contents</w:t>
      </w:r>
    </w:p>
    <w:p>
      <w:r>
        <w:fldChar w:fldCharType="begin"/>
        <w:instrText xml:space="preserve">TOC \o "1-2" \h \z \u</w:instrText>
        <w:fldChar w:fldCharType="end"/>
      </w:r>
    </w:p>
    <w:p>
      <w:r>
        <w:rPr>
          <w:i/>
          <w:color w:val="666666"/>
          <w:sz w:val="19"/>
        </w:rPr>
        <w:t>Right-click this area and choose “Update Field” in Word to populate the table of contents.</w:t>
      </w:r>
    </w:p>
    <w:p>
      <w:r>
        <w:br w:type="page"/>
      </w:r>
    </w:p>
    <w:p>
      <w:pPr>
        <w:pStyle w:val="Heading1"/>
      </w:pPr>
      <w:r>
        <w:t>1. Recap: Where the Final Term Report Left Off</w:t>
      </w:r>
    </w:p>
    <w:p>
      <w:r>
        <w:rPr>
          <w:b w:val="0"/>
          <w:i w:val="0"/>
          <w:sz w:val="22"/>
        </w:rPr>
        <w:t>The Final Term Report (May 2026) documented the first complete cycle of the AI-Enabled OTP Dashboard project: a Power BI dashboard built for Singapore Airlines (SQ) flights, a Python modelling pipeline, and a set of proposed operational recommendations for the HPOE team. This section briefly recaps that baseline before Section 2 onward covers everything completed since.</w:t>
      </w:r>
    </w:p>
    <w:p>
      <w:pPr>
        <w:pStyle w:val="Heading2"/>
      </w:pPr>
      <w:r>
        <w:t>1.1 Scope and Dataset</w:t>
      </w:r>
    </w:p>
    <w:p>
      <w:r>
        <w:rPr>
          <w:b w:val="0"/>
          <w:i w:val="0"/>
          <w:sz w:val="22"/>
        </w:rPr>
        <w:t>The prior analysis was scoped to a single carrier — Singapore Airlines (SQ) — chosen because it had the most complete milestone coverage among SATS-handled airlines. After an inner join between the flight-information table and the GOPS milestone table, the modelling dataset contained 15,954 flight records (Oct 2025 – May 2026), of which 8 of 23 planned milestones (~35%) were consistently populated.</w:t>
      </w:r>
    </w:p>
    <w:p>
      <w:pPr>
        <w:pStyle w:val="Heading2"/>
      </w:pPr>
      <w:r>
        <w:t>1.2 Power BI Dashboard</w:t>
      </w:r>
    </w:p>
    <w:p>
      <w:r>
        <w:rPr>
          <w:b w:val="0"/>
          <w:i w:val="0"/>
          <w:sz w:val="22"/>
        </w:rPr>
        <w:t>The dashboard was an 8-page Power BI report: an overall flight-performance overview, general activity delay analysis, drill-through activity detail pages, a flight-level detail table, a dependency chart, a Python-embedded correlation matrix, a native Power BI Q&amp;A visual, and a planned (not yet deployed) live delay-class prediction page.</w:t>
      </w:r>
    </w:p>
    <w:p>
      <w:pPr>
        <w:pStyle w:val="Heading2"/>
      </w:pPr>
      <w:r>
        <w:t>1.3 Modelling Results</w:t>
      </w:r>
    </w:p>
    <w:p>
      <w:r>
        <w:rPr>
          <w:b w:val="0"/>
          <w:i w:val="0"/>
          <w:sz w:val="22"/>
        </w:rPr>
        <w:t>Loadsheet Acknowledgement delay was identified as the strongest single predictor of departure delay (Pearson r = 0.586; Random Forest feature importance = 0.698), followed by Ramp Security Door 2 (r = 0.238) and PLB Dock (r = 0.177). A tuned Random Forest Classifier — chosen over XGBoost, which scored lower on the operationally critical High Delay recall (79% vs 84%) — achieved 62% overall accuracy across three delay classes (On Time / Acceptable / High Delay), with 84% recall on the High Delay class.</w:t>
      </w:r>
    </w:p>
    <w:p>
      <w:pPr>
        <w:pStyle w:val="Heading2"/>
      </w:pPr>
      <w:r>
        <w:t>1.4 What Was Still Open</w:t>
      </w:r>
    </w:p>
    <w:p>
      <w:r>
        <w:rPr>
          <w:b w:val="0"/>
          <w:i w:val="0"/>
          <w:sz w:val="22"/>
        </w:rPr>
        <w:t>The report closed with five named challenges, all of which this update speaks to directly:</w:t>
      </w:r>
    </w:p>
    <w:p>
      <w:pPr>
        <w:pStyle w:val="ListBullet"/>
      </w:pPr>
      <w:r>
        <w:t>Milestone data completeness — only 8 of 23 planned milestones were captured.</w:t>
      </w:r>
    </w:p>
    <w:p>
      <w:pPr>
        <w:pStyle w:val="ListBullet"/>
      </w:pPr>
      <w:r>
        <w:t>Airline coverage — modelling was limited to SQ; other carriers were not yet included.</w:t>
      </w:r>
    </w:p>
    <w:p>
      <w:pPr>
        <w:pStyle w:val="ListBullet"/>
      </w:pPr>
      <w:r>
        <w:t>Power BI deployment — the Python Power Query integration was blocked on environment/library constraints.</w:t>
      </w:r>
    </w:p>
    <w:p>
      <w:pPr>
        <w:pStyle w:val="ListBullet"/>
      </w:pPr>
      <w:r>
        <w:t>Moderate model accuracy — 62% overall, with the Acceptable class especially weak (33% precision/recall).</w:t>
      </w:r>
    </w:p>
    <w:p>
      <w:pPr>
        <w:pStyle w:val="ListBullet"/>
      </w:pPr>
      <w:r>
        <w:t>Operational logic complexity — each airline has distinct PTS/SLA rules, complicating a single delay formula.</w:t>
      </w:r>
    </w:p>
    <w:p>
      <w:r>
        <w:br w:type="page"/>
      </w:r>
    </w:p>
    <w:p>
      <w:pPr>
        <w:pStyle w:val="Heading1"/>
      </w:pPr>
      <w:r>
        <w:t>2. Summary of Progress Since the Final Term Report</w:t>
      </w:r>
    </w:p>
    <w:p>
      <w:r>
        <w:rPr>
          <w:b w:val="0"/>
          <w:i w:val="0"/>
          <w:sz w:val="22"/>
        </w:rPr>
        <w:t>The single biggest change is a platform pivot: the deliverable is no longer a Power BI report but a fully built, independently deployed web application. Around that pivot, four other workstreams advanced in parallel — multi-airline data expansion, a cascade-effect model built together with the ground operations teams, a revised machine-learning pipeline, and the first live deployment of the tool.</w:t>
      </w:r>
    </w:p>
    <w:tbl>
      <w:tblPr>
        <w:tblStyle w:val="TableGrid"/>
        <w:tblW w:type="auto" w:w="0"/>
        <w:jc w:val="center"/>
        <w:tblLook w:firstColumn="1" w:firstRow="1" w:lastColumn="0" w:lastRow="0" w:noHBand="0" w:noVBand="1" w:val="04A0"/>
      </w:tblPr>
      <w:tblGrid>
        <w:gridCol w:w="3249"/>
        <w:gridCol w:w="3249"/>
        <w:gridCol w:w="3249"/>
      </w:tblGrid>
      <w:tr>
        <w:tc>
          <w:tcPr>
            <w:tcW w:type="dxa" w:w="1872"/>
            <w:shd w:val="clear" w:color="auto" w:fill="1F4E79"/>
          </w:tcPr>
          <w:p>
            <w:r/>
            <w:r>
              <w:rPr>
                <w:b/>
                <w:color w:val="FFFFFF"/>
                <w:sz w:val="20"/>
              </w:rPr>
              <w:t>Area</w:t>
            </w:r>
          </w:p>
        </w:tc>
        <w:tc>
          <w:tcPr>
            <w:tcW w:type="dxa" w:w="3312"/>
            <w:shd w:val="clear" w:color="auto" w:fill="1F4E79"/>
          </w:tcPr>
          <w:p>
            <w:r/>
            <w:r>
              <w:rPr>
                <w:b/>
                <w:color w:val="FFFFFF"/>
                <w:sz w:val="20"/>
              </w:rPr>
              <w:t>Final Term Report (May 2026)</w:t>
            </w:r>
          </w:p>
        </w:tc>
        <w:tc>
          <w:tcPr>
            <w:tcW w:type="dxa" w:w="3744"/>
            <w:shd w:val="clear" w:color="auto" w:fill="1F4E79"/>
          </w:tcPr>
          <w:p>
            <w:r/>
            <w:r>
              <w:rPr>
                <w:b/>
                <w:color w:val="FFFFFF"/>
                <w:sz w:val="20"/>
              </w:rPr>
              <w:t>Now</w:t>
            </w:r>
          </w:p>
        </w:tc>
      </w:tr>
      <w:tr>
        <w:tc>
          <w:tcPr>
            <w:tcW w:type="dxa" w:w="1872"/>
          </w:tcPr>
          <w:p>
            <w:r/>
            <w:r>
              <w:rPr>
                <w:sz w:val="19"/>
              </w:rPr>
              <w:t>Delivery platform</w:t>
            </w:r>
          </w:p>
        </w:tc>
        <w:tc>
          <w:tcPr>
            <w:tcW w:type="dxa" w:w="3312"/>
          </w:tcPr>
          <w:p>
            <w:r/>
            <w:r>
              <w:rPr>
                <w:sz w:val="19"/>
              </w:rPr>
              <w:t>Power BI (8 pages), ML deployment blocked</w:t>
            </w:r>
          </w:p>
        </w:tc>
        <w:tc>
          <w:tcPr>
            <w:tcW w:type="dxa" w:w="3744"/>
          </w:tcPr>
          <w:p>
            <w:r/>
            <w:r>
              <w:rPr>
                <w:sz w:val="19"/>
              </w:rPr>
              <w:t>Standalone Streamlit web app (12 pages), fully deployed</w:t>
            </w:r>
          </w:p>
        </w:tc>
      </w:tr>
      <w:tr>
        <w:tc>
          <w:tcPr>
            <w:tcW w:type="dxa" w:w="1872"/>
          </w:tcPr>
          <w:p>
            <w:r/>
            <w:r>
              <w:rPr>
                <w:sz w:val="19"/>
              </w:rPr>
              <w:t>Airline coverage</w:t>
            </w:r>
          </w:p>
        </w:tc>
        <w:tc>
          <w:tcPr>
            <w:tcW w:type="dxa" w:w="3312"/>
          </w:tcPr>
          <w:p>
            <w:r/>
            <w:r>
              <w:rPr>
                <w:sz w:val="19"/>
              </w:rPr>
              <w:t>SQ only (15,954 flights)</w:t>
            </w:r>
          </w:p>
        </w:tc>
        <w:tc>
          <w:tcPr>
            <w:tcW w:type="dxa" w:w="3744"/>
          </w:tcPr>
          <w:p>
            <w:r/>
            <w:r>
              <w:rPr>
                <w:sz w:val="19"/>
              </w:rPr>
              <w:t>All SATS-handled carriers — 51,050 flights / 23 carriers live in the dashboard; a dedicated 125,508-flight / 80-carrier cross-airline study completed separately</w:t>
            </w:r>
          </w:p>
        </w:tc>
      </w:tr>
      <w:tr>
        <w:tc>
          <w:tcPr>
            <w:tcW w:type="dxa" w:w="1872"/>
          </w:tcPr>
          <w:p>
            <w:r/>
            <w:r>
              <w:rPr>
                <w:sz w:val="19"/>
              </w:rPr>
              <w:t>Cascade / dependency view</w:t>
            </w:r>
          </w:p>
        </w:tc>
        <w:tc>
          <w:tcPr>
            <w:tcW w:type="dxa" w:w="3312"/>
          </w:tcPr>
          <w:p>
            <w:r/>
            <w:r>
              <w:rPr>
                <w:sz w:val="19"/>
              </w:rPr>
              <w:t>Static dependency chart, missing-value gaps</w:t>
            </w:r>
          </w:p>
        </w:tc>
        <w:tc>
          <w:tcPr>
            <w:tcW w:type="dxa" w:w="3744"/>
          </w:tcPr>
          <w:p>
            <w:r/>
            <w:r>
              <w:rPr>
                <w:sz w:val="19"/>
              </w:rPr>
              <w:t>Full 9-phase, 9-business-unit process model co-developed with ground ops teams, with live Ridge-regression propagation simulation</w:t>
            </w:r>
          </w:p>
        </w:tc>
      </w:tr>
      <w:tr>
        <w:tc>
          <w:tcPr>
            <w:tcW w:type="dxa" w:w="1872"/>
          </w:tcPr>
          <w:p>
            <w:r/>
            <w:r>
              <w:rPr>
                <w:sz w:val="19"/>
              </w:rPr>
              <w:t>ML model</w:t>
            </w:r>
          </w:p>
        </w:tc>
        <w:tc>
          <w:tcPr>
            <w:tcW w:type="dxa" w:w="3312"/>
          </w:tcPr>
          <w:p>
            <w:r/>
            <w:r>
              <w:rPr>
                <w:sz w:val="19"/>
              </w:rPr>
              <w:t>Random Forest, 62% accuracy, zero-filled missing milestones</w:t>
            </w:r>
          </w:p>
        </w:tc>
        <w:tc>
          <w:tcPr>
            <w:tcW w:type="dxa" w:w="3744"/>
          </w:tcPr>
          <w:p>
            <w:r/>
            <w:r>
              <w:rPr>
                <w:sz w:val="19"/>
              </w:rPr>
              <w:t>Tuned XGBoost + SMOTE, -999 sentinel imputation, grid-search-selected hyperparameters, both random-split and chronological out-of-sample validation</w:t>
            </w:r>
          </w:p>
        </w:tc>
      </w:tr>
      <w:tr>
        <w:tc>
          <w:tcPr>
            <w:tcW w:type="dxa" w:w="1872"/>
          </w:tcPr>
          <w:p>
            <w:r/>
            <w:r>
              <w:rPr>
                <w:sz w:val="19"/>
              </w:rPr>
              <w:t>Prediction → action</w:t>
            </w:r>
          </w:p>
        </w:tc>
        <w:tc>
          <w:tcPr>
            <w:tcW w:type="dxa" w:w="3312"/>
          </w:tcPr>
          <w:p>
            <w:r/>
            <w:r>
              <w:rPr>
                <w:sz w:val="19"/>
              </w:rPr>
              <w:t>Not built</w:t>
            </w:r>
          </w:p>
        </w:tc>
        <w:tc>
          <w:tcPr>
            <w:tcW w:type="dxa" w:w="3744"/>
          </w:tcPr>
          <w:p>
            <w:r/>
            <w:r>
              <w:rPr>
                <w:sz w:val="19"/>
              </w:rPr>
              <w:t>Delay Predictor page ties predicted risk to concrete recommended actions</w:t>
            </w:r>
          </w:p>
        </w:tc>
      </w:tr>
      <w:tr>
        <w:tc>
          <w:tcPr>
            <w:tcW w:type="dxa" w:w="1872"/>
          </w:tcPr>
          <w:p>
            <w:r/>
            <w:r>
              <w:rPr>
                <w:sz w:val="19"/>
              </w:rPr>
              <w:t>Natural-language analytics</w:t>
            </w:r>
          </w:p>
        </w:tc>
        <w:tc>
          <w:tcPr>
            <w:tcW w:type="dxa" w:w="3312"/>
          </w:tcPr>
          <w:p>
            <w:r/>
            <w:r>
              <w:rPr>
                <w:sz w:val="19"/>
              </w:rPr>
              <w:t>Native Power BI Q&amp;A (no LLM)</w:t>
            </w:r>
          </w:p>
        </w:tc>
        <w:tc>
          <w:tcPr>
            <w:tcW w:type="dxa" w:w="3744"/>
          </w:tcPr>
          <w:p>
            <w:r/>
            <w:r>
              <w:rPr>
                <w:sz w:val="19"/>
              </w:rPr>
              <w:t>“Ask the Data” — an LLM-backed, agentic natural-language query tool</w:t>
            </w:r>
          </w:p>
        </w:tc>
      </w:tr>
      <w:tr>
        <w:tc>
          <w:tcPr>
            <w:tcW w:type="dxa" w:w="1872"/>
          </w:tcPr>
          <w:p>
            <w:r/>
            <w:r>
              <w:rPr>
                <w:sz w:val="19"/>
              </w:rPr>
              <w:t>Deployment</w:t>
            </w:r>
          </w:p>
        </w:tc>
        <w:tc>
          <w:tcPr>
            <w:tcW w:type="dxa" w:w="3312"/>
          </w:tcPr>
          <w:p>
            <w:r/>
            <w:r>
              <w:rPr>
                <w:sz w:val="19"/>
              </w:rPr>
              <w:t>Not deployed</w:t>
            </w:r>
          </w:p>
        </w:tc>
        <w:tc>
          <w:tcPr>
            <w:tcW w:type="dxa" w:w="3744"/>
          </w:tcPr>
          <w:p>
            <w:r/>
            <w:r>
              <w:rPr>
                <w:sz w:val="19"/>
              </w:rPr>
              <w:t>Deployed to Streamlit Community Cloud via GitHub; access-control rollout in progress</w:t>
            </w:r>
          </w:p>
        </w:tc>
      </w:tr>
    </w:tbl>
    <w:p/>
    <w:p>
      <w:r>
        <w:br w:type="page"/>
      </w:r>
    </w:p>
    <w:p>
      <w:pPr>
        <w:pStyle w:val="Heading1"/>
      </w:pPr>
      <w:r>
        <w:t>3. Platform Migration: From Power BI to a Deployed Web Application</w:t>
      </w:r>
    </w:p>
    <w:p>
      <w:r>
        <w:rPr>
          <w:b w:val="0"/>
          <w:i w:val="0"/>
          <w:sz w:val="22"/>
        </w:rPr>
        <w:t>The Final Term Report flagged Power BI deployment as an open risk: connecting a serialised .pkl model through Power Query requires the Python environment available to Power BI to carry the exact scikit-learn/pandas/numpy versions the model was trained with, which proved brittle to configure and maintain. Rather than continue fighting that environment constraint, the project moved the entire dashboard to a purpose-built Streamlit application — a Python web framework that runs the same pandas/scikit-learn/XGBoost stack natively, with no intermediate BI-tool scripting layer.</w:t>
      </w:r>
    </w:p>
    <w:p>
      <w:r>
        <w:rPr>
          <w:b w:val="0"/>
          <w:i w:val="0"/>
          <w:sz w:val="22"/>
        </w:rPr>
        <w:t>The rebuilt dashboard now spans twelve pages plus a landing page, covering everything the Power BI report did and substantially more:</w:t>
      </w:r>
    </w:p>
    <w:p>
      <w:pPr>
        <w:pStyle w:val="ListBullet"/>
      </w:pPr>
      <w:r>
        <w:t>Home — headline KPIs and navigation</w:t>
      </w:r>
    </w:p>
    <w:p>
      <w:pPr>
        <w:pStyle w:val="ListBullet"/>
      </w:pPr>
      <w:r>
        <w:t>Flight Monitor — live departure list with per-flight ML risk colour-coding</w:t>
      </w:r>
    </w:p>
    <w:p>
      <w:pPr>
        <w:pStyle w:val="ListBullet"/>
      </w:pPr>
      <w:r>
        <w:t>Overview — carrier rankings, delay distributions, monthly trend</w:t>
      </w:r>
    </w:p>
    <w:p>
      <w:pPr>
        <w:pStyle w:val="ListBullet"/>
      </w:pPr>
      <w:r>
        <w:t>When Delays Happen — hour-of-day × day-of-week delay heatmaps</w:t>
      </w:r>
    </w:p>
    <w:p>
      <w:pPr>
        <w:pStyle w:val="ListBullet"/>
      </w:pPr>
      <w:r>
        <w:t>Delay Attribution — SATS-attributable vs external (weather/lightning, propagated, tight-schedule) delay causes</w:t>
      </w:r>
    </w:p>
    <w:p>
      <w:pPr>
        <w:pStyle w:val="ListBullet"/>
      </w:pPr>
      <w:r>
        <w:t>Activity Analysis — Business Unit → Activity → statistics drill-down</w:t>
      </w:r>
    </w:p>
    <w:p>
      <w:pPr>
        <w:pStyle w:val="ListBullet"/>
      </w:pPr>
      <w:r>
        <w:t>BU Impact Analyser — per-Business-Unit performance plus cascade highlighting</w:t>
      </w:r>
    </w:p>
    <w:p>
      <w:pPr>
        <w:pStyle w:val="ListBullet"/>
      </w:pPr>
      <w:r>
        <w:t>Cascade Effect — full turnaround simulation (Section 5)</w:t>
      </w:r>
    </w:p>
    <w:p>
      <w:pPr>
        <w:pStyle w:val="ListBullet"/>
      </w:pPr>
      <w:r>
        <w:t>Flight Investigation — filterable, sortable, copyable flight-level table</w:t>
      </w:r>
    </w:p>
    <w:p>
      <w:pPr>
        <w:pStyle w:val="ListBullet"/>
      </w:pPr>
      <w:r>
        <w:t>Flight Deep Dive — per-flight Gantt chart and auto-generated delay narrative</w:t>
      </w:r>
    </w:p>
    <w:p>
      <w:pPr>
        <w:pStyle w:val="ListBullet"/>
      </w:pPr>
      <w:r>
        <w:t>Delay Predictor — ML risk score plus recommended action (Section 7)</w:t>
      </w:r>
    </w:p>
    <w:p>
      <w:pPr>
        <w:pStyle w:val="ListBullet"/>
      </w:pPr>
      <w:r>
        <w:t>Ask the Data — natural-language analytics (Section 8)</w:t>
      </w:r>
    </w:p>
    <w:p>
      <w:pPr>
        <w:pStyle w:val="ListBullet"/>
      </w:pPr>
      <w:r>
        <w:t>Data Quality — a completeness/health observatory for every milestone, terminal, and carrier field</w:t>
      </w:r>
    </w:p>
    <w:p>
      <w:r>
        <w:rPr>
          <w:b w:val="0"/>
          <w:i w:val="0"/>
          <w:sz w:val="22"/>
        </w:rPr>
        <w:t>This consolidation also resolved the old Power BI dependency-chart limitation directly: because the process model, the regression engine, and the milestone data all now live in the same Python process, the cascade view (Section 5) can render live, per-flight, with no separate export/refresh step.</w:t>
      </w:r>
    </w:p>
    <w:p>
      <w:r>
        <w:br w:type="page"/>
      </w:r>
    </w:p>
    <w:p>
      <w:pPr>
        <w:pStyle w:val="Heading1"/>
      </w:pPr>
      <w:r>
        <w:t>4. Multi-Airline Data Expansion</w:t>
      </w:r>
    </w:p>
    <w:p>
      <w:r>
        <w:rPr>
          <w:b w:val="0"/>
          <w:i w:val="0"/>
          <w:sz w:val="22"/>
        </w:rPr>
        <w:t>Expanding beyond SQ was the top data-engineering priority named in the Final Term Report. Two things were done: the live dashboard's working dataset was extended to include every SATS-handled carrier, and a dedicated cross-airline study was carried out to characterise how much of an airline's on-time performance is attributable to SATS versus to the airline's own inbound punctuality.</w:t>
      </w:r>
    </w:p>
    <w:p>
      <w:pPr>
        <w:pStyle w:val="Heading2"/>
      </w:pPr>
      <w:r>
        <w:t>4.1 The Live Dashboard Dataset</w:t>
      </w:r>
    </w:p>
    <w:p>
      <w:r>
        <w:rPr>
          <w:b w:val="0"/>
          <w:i w:val="0"/>
          <w:sz w:val="22"/>
        </w:rPr>
        <w:t>The dashboard's processed dataset now contains 51,050 SATS-handled flights across 23 carriers, spanning 27 September 2025 to 30 June 2026 — roughly double the row count and 23× the carrier coverage of the SQ-only modelling set used in the Final Term Report. Terminal coverage has also grown from T2/T3 only to T1–T4. Singapore Airlines (SQ) still accounts for the largest share of records (41,814), with Scoot (TR, 5,967), AirAsia (AK), Malaysia Airlines (MH), Air India (AI), China Southern (CZ) and 17 further carriers making up the remainder.</w:t>
      </w:r>
    </w:p>
    <w:p>
      <w:pPr>
        <w:pStyle w:val="Heading2"/>
      </w:pPr>
      <w:r>
        <w:t>4.2 Cross-Airline Off-Chocks Performance Study</w:t>
      </w:r>
    </w:p>
    <w:p>
      <w:r>
        <w:rPr>
          <w:b w:val="0"/>
          <w:i w:val="0"/>
          <w:sz w:val="22"/>
        </w:rPr>
        <w:t>A separate, purpose-built analysis (SATS_Off_Chocks_Report) examined 125,508 SATS-handled turnaround flights across 80 carriers over 9 months (Aug 2025 – Apr 2026), specifically to isolate how much of off-chocks (pushback) performance is driven by inbound arrival punctuality versus ground-handling performance itself. Key findings:</w:t>
      </w:r>
    </w:p>
    <w:p>
      <w:pPr>
        <w:pStyle w:val="ListBullet"/>
      </w:pPr>
      <w:r>
        <w:t>Only 35.7% of SATS flights push back on time (off-chocks ≤ scheduled). The on-time rate falls from 46.1% when the inbound aircraft arrives early/on-time to just 16.4% when it arrives more than 15 minutes late — a 29.8-percentage-point drop that holds consistently across all 9 months of data, not a seasonal artefact.</w:t>
      </w:r>
    </w:p>
    <w:p>
      <w:pPr>
        <w:pStyle w:val="ListBullet"/>
      </w:pPr>
      <w:r>
        <w:t>39.2% of inbound aircraft arrive more than 4 minutes late; 23.5% arrive more than 15 minutes late — directly compressing the ground time available before the effect of any SATS activity is even considered.</w:t>
      </w:r>
    </w:p>
    <w:p>
      <w:pPr>
        <w:pStyle w:val="ListBullet"/>
      </w:pPr>
      <w:r>
        <w:t>Singapore's home-based carriers (SQ and TR, 56.7% of the dataset) consistently outperform other SATS-handled airlines, achieving roughly double the on-time off-chocks rate of non-home carriers when the inbound aircraft arrives more than 15 minutes late — consistent with a structural home-base advantage in crew, maintenance, and recovery planning.</w:t>
      </w:r>
    </w:p>
    <w:p>
      <w:pPr>
        <w:pStyle w:val="ListBullet"/>
      </w:pPr>
      <w:r>
        <w:t>A “recovered / partially recovered / delayed” framework was built to separate SATS's own contribution from the inbound delay it inherits: for flights arriving 4–15 minutes late, SQ recovers to on-time in 34.6% of cases and TR in 18.0%, versus 30.0% for other airlines combined — evidence that some of the home-carrier advantage is a genuine ground-operations effect, not just inbound punctuality.</w:t>
      </w:r>
    </w:p>
    <w:p>
      <w:pPr>
        <w:pStyle w:val="Heading2"/>
      </w:pPr>
      <w:r>
        <w:t>4.3 Validating the Analysis Itself</w:t>
      </w:r>
    </w:p>
    <w:p>
      <w:r>
        <w:rPr>
          <w:b w:val="0"/>
          <w:i w:val="0"/>
          <w:sz w:val="22"/>
        </w:rPr>
        <w:t>Because this dataset spans a live, rolling data feed, a dedicated data-leakage check was run on the most recent complete month (Feb 2026) to confirm the working dataset had no boundary contamination: record counts in adjacent months were sane, no records fell outside the month's date boundary, and per-carrier traffic share matched the full-period average within a few percentage points. This check is now a standard step before any new month of data is folded into the analysis.</w:t>
      </w:r>
    </w:p>
    <w:p>
      <w:r>
        <w:br w:type="page"/>
      </w:r>
    </w:p>
    <w:p>
      <w:pPr>
        <w:pStyle w:val="Heading1"/>
      </w:pPr>
      <w:r>
        <w:t>5. Cascade Effect — Built With the Ground Operations Teams</w:t>
      </w:r>
    </w:p>
    <w:p>
      <w:r>
        <w:rPr>
          <w:b w:val="0"/>
          <w:i w:val="0"/>
          <w:sz w:val="22"/>
        </w:rPr>
        <w:t>The Final Term Report's dependency chart was a static diagram limited by the 8-of-23 milestone completeness rate. Since then, a full ground-operations process model has been built through direct walkthroughs with the ground operations teams, and turned into a live, simulate-able cascade engine — this was one of the two pieces of work the project supervisor asked to prioritise for this update, alongside airline expansion.</w:t>
      </w:r>
    </w:p>
    <w:p>
      <w:pPr>
        <w:pStyle w:val="Heading2"/>
      </w:pPr>
      <w:r>
        <w:t>5.1 The Process Model</w:t>
      </w:r>
    </w:p>
    <w:p>
      <w:r>
        <w:rPr>
          <w:b w:val="0"/>
          <w:i w:val="0"/>
          <w:sz w:val="22"/>
        </w:rPr>
        <w:t>Working with ground ops, the turnaround was mapped into 8 process phases, each split by Business Unit (Tech Ramp, Ramp, Cargo, Baggage, Load Control, Security, AIC Cleaning, Cabin Service, and Passenger Service), producing a directed dependency graph of ~45 named process steps from “Aircraft Arrives” through to “Pushback / Departure”. Each step is one of two kinds:</w:t>
      </w:r>
    </w:p>
    <w:p>
      <w:pPr>
        <w:pStyle w:val="ListBullet"/>
      </w:pPr>
      <w:r>
        <w:t>Measured — a milestone delay column exists in GOPS, so the node is coloured live by actual delay minutes.</w:t>
      </w:r>
    </w:p>
    <w:p>
      <w:pPr>
        <w:pStyle w:val="ListBullet"/>
      </w:pPr>
      <w:r>
        <w:t>Structural — a real process step confirmed by ground ops but with no corresponding GOPS column today; drawn as a dashed, honestly-labelled “no data” box rather than a misleading on-time box.</w:t>
      </w:r>
    </w:p>
    <w:p>
      <w:r>
        <w:rPr>
          <w:b w:val="0"/>
          <w:i w:val="0"/>
          <w:sz w:val="22"/>
        </w:rPr>
        <w:t>Ramp Security Door 2 was flagged, in consultation with ground ops, as a crucial gate in the sequence — every disembarking passenger, and the cleaning/catering/loading activities that follow, are blocked until it opens — and it is visually ringed on the flow map regardless of whether it is currently late.</w:t>
      </w:r>
    </w:p>
    <w:p>
      <w:pPr>
        <w:pStyle w:val="Heading2"/>
      </w:pPr>
      <w:r>
        <w:t>5.2 Handling Missing and Unmapped Milestones Honestly</w:t>
      </w:r>
    </w:p>
    <w:p>
      <w:r>
        <w:rPr>
          <w:b w:val="0"/>
          <w:i w:val="0"/>
          <w:sz w:val="22"/>
        </w:rPr>
        <w:t>Two safeguards were added directly in response to the messiness of real operational data. First, an “orphan milestone” detector surfaces any milestone that is present in the GOPS data but not yet wired onto the process map (for example, if SATS begins recording a new activity, or an airline uses a service the current map doesn't show) — so it appears in a flight's sidebar automatically rather than silently disappearing until someone manually updates the map. Second, an absent milestone is always labelled “No data available” rather than assumed on-time — because SATS does not perform every service for every airline, an absence can mean the service does not apply or that the time simply wasn't captured, and the two are deliberately not distinguished, to avoid quietly overstating on-time performance.</w:t>
      </w:r>
    </w:p>
    <w:p>
      <w:pPr>
        <w:pStyle w:val="Heading2"/>
      </w:pPr>
      <w:r>
        <w:t>5.3 Simulating Propagation — and Why Ridge Regression</w:t>
      </w:r>
    </w:p>
    <w:p>
      <w:r>
        <w:rPr>
          <w:b w:val="0"/>
          <w:i w:val="0"/>
          <w:sz w:val="22"/>
        </w:rPr>
        <w:t>The Cascade Effect page lets a user pick any measured activity and a delay amount, then propagates that delay outward through the dependency graph using Ridge regression coefficients fitted between every pair of connected activities (and from each activity to final departure delay), trained on the current flight dataset. Ridge (L2-regularised) regression was chosen over an unregularised or Lasso (L1) model specifically because sequential milestones are correlated with one another by construction — an activity that runs late tends to push every downstream activity late too, which is exactly the multicollinearity flagged in the Final Term Report's VIF analysis. L1 regularisation would tend to zero out one of a pair of correlated predictors, which would silently blank out a node on the flow map even though ground ops confirms that activity is a real, independent part of the process. Ridge shrinks correlated coefficients together instead of eliminating them, so every activity in the model keeps a displayable coefficient, which the flow-map visualisation depends on.</w:t>
      </w:r>
    </w:p>
    <w:p>
      <w:r>
        <w:rPr>
          <w:b w:val="0"/>
          <w:i w:val="0"/>
          <w:sz w:val="22"/>
        </w:rPr>
        <w:t>The page also surfaces a pairwise transfer table (how strongly each direct link transmits delay) and an “Indirect Cascade Links” view that exposes correlations between activities that are not directly connected in the dependency graph — cases where ground ops's process model and the statistical data agree less than expected, which are useful starting points for further process investigation.</w:t>
      </w:r>
    </w:p>
    <w:p>
      <w:r>
        <w:br w:type="page"/>
      </w:r>
    </w:p>
    <w:p>
      <w:pPr>
        <w:pStyle w:val="Heading1"/>
      </w:pPr>
      <w:r>
        <w:t>6. Machine Learning Model — Updates &amp; Methodology</w:t>
      </w:r>
    </w:p>
    <w:p>
      <w:r>
        <w:rPr>
          <w:b w:val="0"/>
          <w:i w:val="0"/>
          <w:sz w:val="22"/>
        </w:rPr>
        <w:t>The classification approach itself is unchanged in spirit — predict one of three departure-delay classes from ground-activity and flight features — but the pipeline, validation methodology, and missing-value handling have all been revised, several directly in response to reviewer feedback on the Final Term Report.</w:t>
      </w:r>
    </w:p>
    <w:p>
      <w:pPr>
        <w:pStyle w:val="Heading2"/>
      </w:pPr>
      <w:r>
        <w:t>6.1 Delay Class Definition — Retained by Supervisor Decision</w:t>
      </w:r>
    </w:p>
    <w:p>
      <w:r>
        <w:rPr>
          <w:b w:val="0"/>
          <w:i w:val="0"/>
          <w:sz w:val="22"/>
        </w:rPr>
        <w:t>A reviewer suggested reconsidering the three delay classes, noting that On-Time and Acceptable are rarely distinguished operationally, and proposed instead a two-tier minor/major delay split with thresholds set by the industry mentor. This was raised with the project supervisor, who decided to keep the original three-class definition — On-Time (≤ 0 min), Acceptable (1–4 min), Delayed (&gt; 4 min) — as it remains operationally important for the HPOE team to distinguish a flight that pushed back exactly on schedule from one that slipped by a few minutes. This definition is therefore treated as a fixed business rule across the dashboard and the model, not a modelling choice open to revision.</w:t>
      </w:r>
    </w:p>
    <w:p>
      <w:pPr>
        <w:pStyle w:val="Heading2"/>
      </w:pPr>
      <w:r>
        <w:t>6.2 Production Pipeline</w:t>
      </w:r>
    </w:p>
    <w:p>
      <w:r>
        <w:rPr>
          <w:b w:val="0"/>
          <w:i w:val="0"/>
          <w:sz w:val="22"/>
        </w:rPr>
        <w:t>The model is now trained by prepare_data.py as a single scikit-learn/imbalanced-learn pipeline: a ColumnTransformer (numeric features scaled after imputation; categorical features one-hot encoded after imputation), SMOTE oversampling, and an XGBoost multiclass classifier. Hyperparameters were selected via a 3-fold, F1-weighted GridSearchCV over:</w:t>
      </w:r>
    </w:p>
    <w:tbl>
      <w:tblPr>
        <w:tblStyle w:val="TableGrid"/>
        <w:tblW w:type="auto" w:w="0"/>
        <w:jc w:val="center"/>
        <w:tblLook w:firstColumn="1" w:firstRow="1" w:lastColumn="0" w:lastRow="0" w:noHBand="0" w:noVBand="1" w:val="04A0"/>
      </w:tblPr>
      <w:tblGrid>
        <w:gridCol w:w="3249"/>
        <w:gridCol w:w="3249"/>
        <w:gridCol w:w="3249"/>
      </w:tblGrid>
      <w:tr>
        <w:tc>
          <w:tcPr>
            <w:tcW w:type="dxa" w:w="2592"/>
            <w:shd w:val="clear" w:color="auto" w:fill="1F4E79"/>
          </w:tcPr>
          <w:p>
            <w:r/>
            <w:r>
              <w:rPr>
                <w:b/>
                <w:color w:val="FFFFFF"/>
                <w:sz w:val="20"/>
              </w:rPr>
              <w:t>Hyperparameter</w:t>
            </w:r>
          </w:p>
        </w:tc>
        <w:tc>
          <w:tcPr>
            <w:tcW w:type="dxa" w:w="3456"/>
            <w:shd w:val="clear" w:color="auto" w:fill="1F4E79"/>
          </w:tcPr>
          <w:p>
            <w:r/>
            <w:r>
              <w:rPr>
                <w:b/>
                <w:color w:val="FFFFFF"/>
                <w:sz w:val="20"/>
              </w:rPr>
              <w:t>Grid searched</w:t>
            </w:r>
          </w:p>
        </w:tc>
        <w:tc>
          <w:tcPr>
            <w:tcW w:type="dxa" w:w="2016"/>
            <w:shd w:val="clear" w:color="auto" w:fill="1F4E79"/>
          </w:tcPr>
          <w:p>
            <w:r/>
            <w:r>
              <w:rPr>
                <w:b/>
                <w:color w:val="FFFFFF"/>
                <w:sz w:val="20"/>
              </w:rPr>
              <w:t>Selected</w:t>
            </w:r>
          </w:p>
        </w:tc>
      </w:tr>
      <w:tr>
        <w:tc>
          <w:tcPr>
            <w:tcW w:type="dxa" w:w="2592"/>
          </w:tcPr>
          <w:p>
            <w:r/>
            <w:r>
              <w:rPr>
                <w:sz w:val="19"/>
              </w:rPr>
              <w:t>n_estimators</w:t>
            </w:r>
          </w:p>
        </w:tc>
        <w:tc>
          <w:tcPr>
            <w:tcW w:type="dxa" w:w="3456"/>
          </w:tcPr>
          <w:p>
            <w:r/>
            <w:r>
              <w:rPr>
                <w:sz w:val="19"/>
              </w:rPr>
              <w:t>300, 500</w:t>
            </w:r>
          </w:p>
        </w:tc>
        <w:tc>
          <w:tcPr>
            <w:tcW w:type="dxa" w:w="2016"/>
          </w:tcPr>
          <w:p>
            <w:r/>
            <w:r>
              <w:rPr>
                <w:sz w:val="19"/>
              </w:rPr>
              <w:t>300</w:t>
            </w:r>
          </w:p>
        </w:tc>
      </w:tr>
      <w:tr>
        <w:tc>
          <w:tcPr>
            <w:tcW w:type="dxa" w:w="2592"/>
          </w:tcPr>
          <w:p>
            <w:r/>
            <w:r>
              <w:rPr>
                <w:sz w:val="19"/>
              </w:rPr>
              <w:t>max_depth</w:t>
            </w:r>
          </w:p>
        </w:tc>
        <w:tc>
          <w:tcPr>
            <w:tcW w:type="dxa" w:w="3456"/>
          </w:tcPr>
          <w:p>
            <w:r/>
            <w:r>
              <w:rPr>
                <w:sz w:val="19"/>
              </w:rPr>
              <w:t>9, 11</w:t>
            </w:r>
          </w:p>
        </w:tc>
        <w:tc>
          <w:tcPr>
            <w:tcW w:type="dxa" w:w="2016"/>
          </w:tcPr>
          <w:p>
            <w:r/>
            <w:r>
              <w:rPr>
                <w:sz w:val="19"/>
              </w:rPr>
              <w:t>9</w:t>
            </w:r>
          </w:p>
        </w:tc>
      </w:tr>
      <w:tr>
        <w:tc>
          <w:tcPr>
            <w:tcW w:type="dxa" w:w="2592"/>
          </w:tcPr>
          <w:p>
            <w:r/>
            <w:r>
              <w:rPr>
                <w:sz w:val="19"/>
              </w:rPr>
              <w:t>learning_rate</w:t>
            </w:r>
          </w:p>
        </w:tc>
        <w:tc>
          <w:tcPr>
            <w:tcW w:type="dxa" w:w="3456"/>
          </w:tcPr>
          <w:p>
            <w:r/>
            <w:r>
              <w:rPr>
                <w:sz w:val="19"/>
              </w:rPr>
              <w:t>0.15, 0.2</w:t>
            </w:r>
          </w:p>
        </w:tc>
        <w:tc>
          <w:tcPr>
            <w:tcW w:type="dxa" w:w="2016"/>
          </w:tcPr>
          <w:p>
            <w:r/>
            <w:r>
              <w:rPr>
                <w:sz w:val="19"/>
              </w:rPr>
              <w:t>0.15</w:t>
            </w:r>
          </w:p>
        </w:tc>
      </w:tr>
      <w:tr>
        <w:tc>
          <w:tcPr>
            <w:tcW w:type="dxa" w:w="2592"/>
          </w:tcPr>
          <w:p>
            <w:r/>
            <w:r>
              <w:rPr>
                <w:sz w:val="19"/>
              </w:rPr>
              <w:t>subsample</w:t>
            </w:r>
          </w:p>
        </w:tc>
        <w:tc>
          <w:tcPr>
            <w:tcW w:type="dxa" w:w="3456"/>
          </w:tcPr>
          <w:p>
            <w:r/>
            <w:r>
              <w:rPr>
                <w:sz w:val="19"/>
              </w:rPr>
              <w:t>0.8 (fixed)</w:t>
            </w:r>
          </w:p>
        </w:tc>
        <w:tc>
          <w:tcPr>
            <w:tcW w:type="dxa" w:w="2016"/>
          </w:tcPr>
          <w:p>
            <w:r/>
            <w:r>
              <w:rPr>
                <w:sz w:val="19"/>
              </w:rPr>
              <w:t>0.8</w:t>
            </w:r>
          </w:p>
        </w:tc>
      </w:tr>
      <w:tr>
        <w:tc>
          <w:tcPr>
            <w:tcW w:type="dxa" w:w="2592"/>
          </w:tcPr>
          <w:p>
            <w:r/>
            <w:r>
              <w:rPr>
                <w:sz w:val="19"/>
              </w:rPr>
              <w:t>colsample_bytree</w:t>
            </w:r>
          </w:p>
        </w:tc>
        <w:tc>
          <w:tcPr>
            <w:tcW w:type="dxa" w:w="3456"/>
          </w:tcPr>
          <w:p>
            <w:r/>
            <w:r>
              <w:rPr>
                <w:sz w:val="19"/>
              </w:rPr>
              <w:t>0.8 (fixed)</w:t>
            </w:r>
          </w:p>
        </w:tc>
        <w:tc>
          <w:tcPr>
            <w:tcW w:type="dxa" w:w="2016"/>
          </w:tcPr>
          <w:p>
            <w:r/>
            <w:r>
              <w:rPr>
                <w:sz w:val="19"/>
              </w:rPr>
              <w:t>0.8</w:t>
            </w:r>
          </w:p>
        </w:tc>
      </w:tr>
    </w:tbl>
    <w:p/>
    <w:p>
      <w:r>
        <w:rPr>
          <w:b w:val="0"/>
          <w:i w:val="0"/>
          <w:sz w:val="22"/>
        </w:rPr>
        <w:t>The winning combination was then hard-coded into the production training script so a full grid search is not repeated on every data refresh. The current model uses 112 features (103 numeric, 9 categorical: carrier, aircraft body type, aircraft ICAO type, terminal, destination, day of week, and remote-bay flag).</w:t>
      </w:r>
    </w:p>
    <w:p>
      <w:pPr>
        <w:pStyle w:val="Heading2"/>
      </w:pPr>
      <w:r>
        <w:t>6.3 Missing Milestones: From Zero-Fill to an Explicit “Missing” Sentinel</w:t>
      </w:r>
    </w:p>
    <w:p>
      <w:r>
        <w:rPr>
          <w:b w:val="0"/>
          <w:i w:val="0"/>
          <w:sz w:val="22"/>
        </w:rPr>
        <w:t>A reviewer flagged that filling un-recorded milestones with zero risks deteriorating model performance, since zero silently overloads two very different situations — “genuinely on-time” and “not recorded at all” — as the same value. This has been fixed: numeric features are now imputed with a constant sentinel of −999 rather than 0, and the XGBoost classifier is configured with missing=-999, so the algorithm treats that sentinel as a first-class missing indicator at every split rather than as a real observed value. This preserves exactly the distinction the reviewer was asking for, without needing a native-NaN-aware feature representation throughout the whole pipeline.</w:t>
      </w:r>
    </w:p>
    <w:p>
      <w:pPr>
        <w:pStyle w:val="Heading2"/>
      </w:pPr>
      <w:r>
        <w:t>6.4 SMOTE and Class Imbalance</w:t>
      </w:r>
    </w:p>
    <w:p>
      <w:r>
        <w:rPr>
          <w:b w:val="0"/>
          <w:i w:val="0"/>
          <w:sz w:val="22"/>
        </w:rPr>
        <w:t>A reviewer noted that 21% (the Acceptable class's share) is a fairly mild imbalance, and that SMOTE is usually reserved for more severe cases — e.g. a class below roughly 3% of the data — suggesting it may be more useful for a rarer-but-important major-delay category. SMOTE has been retained in the current pipeline regardless, as a deliberate choice: even a mild imbalance measurably hurts the minority (Acceptable) class's recall, and because that class sits directly between On-Time and Delayed, correctly separating it matters disproportionately for how confidently the tool can be used to trigger an intervention. This trade-off is revisited below, where synthetic oversampling has not been enough to close the gap once all carriers are included.</w:t>
      </w:r>
    </w:p>
    <w:p>
      <w:pPr>
        <w:pStyle w:val="Heading2"/>
      </w:pPr>
      <w:r>
        <w:t>6.5 Out-of-Sample Validation: Random Split and a Genuine Time-Based Split</w:t>
      </w:r>
    </w:p>
    <w:p>
      <w:r>
        <w:rPr>
          <w:b w:val="0"/>
          <w:i w:val="0"/>
          <w:sz w:val="22"/>
        </w:rPr>
        <w:t>A reviewer asked what metric was used to pick the best model, and specifically recommended validating out-of-sample in a cross-sectional, time-respecting way — training on earlier flights and testing on later ones — rather than mixing the full timeline together, so that the reported accuracy reflects the model's ability to predict the future from the past rather than interpolating within a shuffled sample. Both were run on the current 51,050-flight, 23-carrier dataset, using the identical production pipeline and feature set: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744"/>
            <w:shd w:val="clear" w:color="auto" w:fill="1F4E79"/>
          </w:tcPr>
          <w:p>
            <w:r/>
            <w:r>
              <w:rPr>
                <w:b/>
                <w:color w:val="FFFFFF"/>
                <w:sz w:val="20"/>
              </w:rPr>
              <w:t>Validation approach</w:t>
            </w:r>
          </w:p>
        </w:tc>
        <w:tc>
          <w:tcPr>
            <w:tcW w:type="dxa" w:w="3744"/>
            <w:shd w:val="clear" w:color="auto" w:fill="1F4E79"/>
          </w:tcPr>
          <w:p>
            <w:r/>
            <w:r>
              <w:rPr>
                <w:b/>
                <w:color w:val="FFFFFF"/>
                <w:sz w:val="20"/>
              </w:rPr>
              <w:t>Split</w:t>
            </w:r>
          </w:p>
        </w:tc>
        <w:tc>
          <w:tcPr>
            <w:tcW w:type="dxa" w:w="1440"/>
            <w:shd w:val="clear" w:color="auto" w:fill="1F4E79"/>
          </w:tcPr>
          <w:p>
            <w:r/>
            <w:r>
              <w:rPr>
                <w:b/>
                <w:color w:val="FFFFFF"/>
                <w:sz w:val="20"/>
              </w:rPr>
              <w:t>Accuracy</w:t>
            </w:r>
          </w:p>
        </w:tc>
        <w:tc>
          <w:tcPr>
            <w:tcW w:type="dxa" w:w="1728"/>
            <w:shd w:val="clear" w:color="auto" w:fill="1F4E79"/>
          </w:tcPr>
          <w:p>
            <w:r/>
            <w:r>
              <w:rPr>
                <w:b/>
                <w:color w:val="FFFFFF"/>
                <w:sz w:val="20"/>
              </w:rPr>
              <w:t>Macro AUROC</w:t>
            </w:r>
          </w:p>
        </w:tc>
      </w:tr>
      <w:tr>
        <w:tc>
          <w:tcPr>
            <w:tcW w:type="dxa" w:w="3744"/>
          </w:tcPr>
          <w:p>
            <w:r/>
            <w:r>
              <w:rPr>
                <w:sz w:val="19"/>
              </w:rPr>
              <w:t>Random, stratified (as used for hyperparameter selection)</w:t>
            </w:r>
          </w:p>
        </w:tc>
        <w:tc>
          <w:tcPr>
            <w:tcW w:type="dxa" w:w="3744"/>
          </w:tcPr>
          <w:p>
            <w:r/>
            <w:r>
              <w:rPr>
                <w:sz w:val="19"/>
              </w:rPr>
              <w:t>80/20, shuffled, stratified by class</w:t>
            </w:r>
          </w:p>
        </w:tc>
        <w:tc>
          <w:tcPr>
            <w:tcW w:type="dxa" w:w="1440"/>
          </w:tcPr>
          <w:p>
            <w:r/>
            <w:r>
              <w:rPr>
                <w:sz w:val="19"/>
              </w:rPr>
              <w:t>57.9%</w:t>
            </w:r>
          </w:p>
        </w:tc>
        <w:tc>
          <w:tcPr>
            <w:tcW w:type="dxa" w:w="1728"/>
          </w:tcPr>
          <w:p>
            <w:r/>
            <w:r>
              <w:rPr>
                <w:sz w:val="19"/>
              </w:rPr>
              <w:t>0.716</w:t>
            </w:r>
          </w:p>
        </w:tc>
      </w:tr>
      <w:tr>
        <w:tc>
          <w:tcPr>
            <w:tcW w:type="dxa" w:w="3744"/>
          </w:tcPr>
          <w:p>
            <w:r/>
            <w:r>
              <w:rPr>
                <w:sz w:val="19"/>
              </w:rPr>
              <w:t>Chronological (train on earlier flights, test on later flights)</w:t>
            </w:r>
          </w:p>
        </w:tc>
        <w:tc>
          <w:tcPr>
            <w:tcW w:type="dxa" w:w="3744"/>
          </w:tcPr>
          <w:p>
            <w:r/>
            <w:r>
              <w:rPr>
                <w:sz w:val="19"/>
              </w:rPr>
              <w:t>First 37,894 flights (train) → last 9,474 flights, up to 30 Jun 2026 (test)</w:t>
            </w:r>
          </w:p>
        </w:tc>
        <w:tc>
          <w:tcPr>
            <w:tcW w:type="dxa" w:w="1440"/>
          </w:tcPr>
          <w:p>
            <w:r/>
            <w:r>
              <w:rPr>
                <w:sz w:val="19"/>
              </w:rPr>
              <w:t>56.8%</w:t>
            </w:r>
          </w:p>
        </w:tc>
        <w:tc>
          <w:tcPr>
            <w:tcW w:type="dxa" w:w="1728"/>
          </w:tcPr>
          <w:p>
            <w:r/>
            <w:r>
              <w:rPr>
                <w:sz w:val="19"/>
              </w:rPr>
              <w:t>0.712</w:t>
            </w:r>
          </w:p>
        </w:tc>
      </w:tr>
      <w:tr>
        <w:tc>
          <w:tcPr>
            <w:tcW w:type="dxa" w:w="3744"/>
          </w:tcPr>
          <w:p>
            <w:r/>
            <w:r>
              <w:rPr>
                <w:sz w:val="19"/>
              </w:rPr>
              <w:t>Naive baseline (always predicts the majority class)</w:t>
            </w:r>
          </w:p>
        </w:tc>
        <w:tc>
          <w:tcPr>
            <w:tcW w:type="dxa" w:w="3744"/>
          </w:tcPr>
          <w:p>
            <w:r/>
            <w:r>
              <w:rPr>
                <w:sz w:val="19"/>
              </w:rPr>
              <w:t>same test split</w:t>
            </w:r>
          </w:p>
        </w:tc>
        <w:tc>
          <w:tcPr>
            <w:tcW w:type="dxa" w:w="1440"/>
          </w:tcPr>
          <w:p>
            <w:r/>
            <w:r>
              <w:rPr>
                <w:sz w:val="19"/>
              </w:rPr>
              <w:t>40.5%</w:t>
            </w:r>
          </w:p>
        </w:tc>
        <w:tc>
          <w:tcPr>
            <w:tcW w:type="dxa" w:w="1728"/>
          </w:tcPr>
          <w:p>
            <w:r/>
            <w:r>
              <w:rPr>
                <w:sz w:val="19"/>
              </w:rPr>
              <w:t>0.500</w:t>
            </w:r>
          </w:p>
        </w:tc>
      </w:tr>
    </w:tbl>
    <w:p/>
    <w:p>
      <w:r>
        <w:rPr>
          <w:b w:val="0"/>
          <w:i w:val="0"/>
          <w:sz w:val="22"/>
        </w:rPr>
        <w:t>The close agreement between the random-split and chronological-split results (57.9% vs 56.8% accuracy; 0.716 vs 0.712 macro AUROC) is a reassuring sign: the model is not simply memorising patterns specific to the time period it was trained on, and its ranking ability (AUROC) sits well above the 0.5 a random guesser would achieve, and above the 40.5% accuracy of always predicting the majority class.</w:t>
      </w:r>
    </w:p>
    <w:p>
      <w:pPr>
        <w:pStyle w:val="Heading2"/>
      </w:pPr>
      <w:r>
        <w:t>6.6 Confusion Matrix and Per-Class Behaviour</w:t>
      </w:r>
    </w:p>
    <w:p>
      <w:r>
        <w:rPr>
          <w:b w:val="0"/>
          <w:i w:val="0"/>
          <w:sz w:val="22"/>
        </w:rPr>
        <w:t>A reviewer asked for a confusion matrix rather than a single accuracy figure, to check whether errors concentrate in a particular class. The table below is the random-split confusion matrix (rows = actual class, columns = predicted class; n = 9,474 held-out flights):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880"/>
            <w:shd w:val="clear" w:color="auto" w:fill="1F4E79"/>
          </w:tcPr>
          <w:p>
            <w:r/>
            <w:r>
              <w:rPr>
                <w:b/>
                <w:color w:val="FFFFFF"/>
                <w:sz w:val="20"/>
              </w:rPr>
              <w:t>Actual \ Predicted</w:t>
            </w:r>
          </w:p>
        </w:tc>
        <w:tc>
          <w:tcPr>
            <w:tcW w:type="dxa" w:w="1728"/>
            <w:shd w:val="clear" w:color="auto" w:fill="1F4E79"/>
          </w:tcPr>
          <w:p>
            <w:r/>
            <w:r>
              <w:rPr>
                <w:b/>
                <w:color w:val="FFFFFF"/>
                <w:sz w:val="20"/>
              </w:rPr>
              <w:t>Acceptable</w:t>
            </w:r>
          </w:p>
        </w:tc>
        <w:tc>
          <w:tcPr>
            <w:tcW w:type="dxa" w:w="1728"/>
            <w:shd w:val="clear" w:color="auto" w:fill="1F4E79"/>
          </w:tcPr>
          <w:p>
            <w:r/>
            <w:r>
              <w:rPr>
                <w:b/>
                <w:color w:val="FFFFFF"/>
                <w:sz w:val="20"/>
              </w:rPr>
              <w:t>Delayed</w:t>
            </w:r>
          </w:p>
        </w:tc>
        <w:tc>
          <w:tcPr>
            <w:tcW w:type="dxa" w:w="1728"/>
            <w:shd w:val="clear" w:color="auto" w:fill="1F4E79"/>
          </w:tcPr>
          <w:p>
            <w:r/>
            <w:r>
              <w:rPr>
                <w:b/>
                <w:color w:val="FFFFFF"/>
                <w:sz w:val="20"/>
              </w:rPr>
              <w:t>On-Time</w:t>
            </w:r>
          </w:p>
        </w:tc>
        <w:tc>
          <w:tcPr>
            <w:tcW w:type="dxa" w:w="1440"/>
            <w:shd w:val="clear" w:color="auto" w:fill="1F4E79"/>
          </w:tcPr>
          <w:p>
            <w:r/>
            <w:r>
              <w:rPr>
                <w:b/>
                <w:color w:val="FFFFFF"/>
                <w:sz w:val="20"/>
              </w:rPr>
              <w:t>Recall</w:t>
            </w:r>
          </w:p>
        </w:tc>
      </w:tr>
      <w:tr>
        <w:tc>
          <w:tcPr>
            <w:tcW w:type="dxa" w:w="2880"/>
          </w:tcPr>
          <w:p>
            <w:r/>
            <w:r>
              <w:rPr>
                <w:sz w:val="19"/>
              </w:rPr>
              <w:t>Acceptable (n=1,950)</w:t>
            </w:r>
          </w:p>
        </w:tc>
        <w:tc>
          <w:tcPr>
            <w:tcW w:type="dxa" w:w="1728"/>
          </w:tcPr>
          <w:p>
            <w:r/>
            <w:r>
              <w:rPr>
                <w:sz w:val="19"/>
              </w:rPr>
              <w:t>267</w:t>
            </w:r>
          </w:p>
        </w:tc>
        <w:tc>
          <w:tcPr>
            <w:tcW w:type="dxa" w:w="1728"/>
          </w:tcPr>
          <w:p>
            <w:r/>
            <w:r>
              <w:rPr>
                <w:sz w:val="19"/>
              </w:rPr>
              <w:t>616</w:t>
            </w:r>
          </w:p>
        </w:tc>
        <w:tc>
          <w:tcPr>
            <w:tcW w:type="dxa" w:w="1728"/>
          </w:tcPr>
          <w:p>
            <w:r/>
            <w:r>
              <w:rPr>
                <w:sz w:val="19"/>
              </w:rPr>
              <w:t>1,067</w:t>
            </w:r>
          </w:p>
        </w:tc>
        <w:tc>
          <w:tcPr>
            <w:tcW w:type="dxa" w:w="1440"/>
          </w:tcPr>
          <w:p>
            <w:r/>
            <w:r>
              <w:rPr>
                <w:sz w:val="19"/>
              </w:rPr>
              <w:t>13.7%</w:t>
            </w:r>
          </w:p>
        </w:tc>
      </w:tr>
      <w:tr>
        <w:tc>
          <w:tcPr>
            <w:tcW w:type="dxa" w:w="2880"/>
          </w:tcPr>
          <w:p>
            <w:r/>
            <w:r>
              <w:rPr>
                <w:sz w:val="19"/>
              </w:rPr>
              <w:t>Delayed (n=3,692)</w:t>
            </w:r>
          </w:p>
        </w:tc>
        <w:tc>
          <w:tcPr>
            <w:tcW w:type="dxa" w:w="1728"/>
          </w:tcPr>
          <w:p>
            <w:r/>
            <w:r>
              <w:rPr>
                <w:sz w:val="19"/>
              </w:rPr>
              <w:t>281</w:t>
            </w:r>
          </w:p>
        </w:tc>
        <w:tc>
          <w:tcPr>
            <w:tcW w:type="dxa" w:w="1728"/>
          </w:tcPr>
          <w:p>
            <w:r/>
            <w:r>
              <w:rPr>
                <w:sz w:val="19"/>
              </w:rPr>
              <w:t>2,281</w:t>
            </w:r>
          </w:p>
        </w:tc>
        <w:tc>
          <w:tcPr>
            <w:tcW w:type="dxa" w:w="1728"/>
          </w:tcPr>
          <w:p>
            <w:r/>
            <w:r>
              <w:rPr>
                <w:sz w:val="19"/>
              </w:rPr>
              <w:t>1,130</w:t>
            </w:r>
          </w:p>
        </w:tc>
        <w:tc>
          <w:tcPr>
            <w:tcW w:type="dxa" w:w="1440"/>
          </w:tcPr>
          <w:p>
            <w:r/>
            <w:r>
              <w:rPr>
                <w:sz w:val="19"/>
              </w:rPr>
              <w:t>61.8%</w:t>
            </w:r>
          </w:p>
        </w:tc>
      </w:tr>
      <w:tr>
        <w:tc>
          <w:tcPr>
            <w:tcW w:type="dxa" w:w="2880"/>
          </w:tcPr>
          <w:p>
            <w:r/>
            <w:r>
              <w:rPr>
                <w:sz w:val="19"/>
              </w:rPr>
              <w:t>On-Time (n=3,832)</w:t>
            </w:r>
          </w:p>
        </w:tc>
        <w:tc>
          <w:tcPr>
            <w:tcW w:type="dxa" w:w="1728"/>
          </w:tcPr>
          <w:p>
            <w:r/>
            <w:r>
              <w:rPr>
                <w:sz w:val="19"/>
              </w:rPr>
              <w:t>331</w:t>
            </w:r>
          </w:p>
        </w:tc>
        <w:tc>
          <w:tcPr>
            <w:tcW w:type="dxa" w:w="1728"/>
          </w:tcPr>
          <w:p>
            <w:r/>
            <w:r>
              <w:rPr>
                <w:sz w:val="19"/>
              </w:rPr>
              <w:t>564</w:t>
            </w:r>
          </w:p>
        </w:tc>
        <w:tc>
          <w:tcPr>
            <w:tcW w:type="dxa" w:w="1728"/>
          </w:tcPr>
          <w:p>
            <w:r/>
            <w:r>
              <w:rPr>
                <w:sz w:val="19"/>
              </w:rPr>
              <w:t>2,937</w:t>
            </w:r>
          </w:p>
        </w:tc>
        <w:tc>
          <w:tcPr>
            <w:tcW w:type="dxa" w:w="1440"/>
          </w:tcPr>
          <w:p>
            <w:r/>
            <w:r>
              <w:rPr>
                <w:sz w:val="19"/>
              </w:rPr>
              <w:t>76.6%</w:t>
            </w:r>
          </w:p>
        </w:tc>
      </w:tr>
    </w:tbl>
    <w:p/>
    <w:p>
      <w:r>
        <w:rPr>
          <w:b w:val="0"/>
          <w:i w:val="0"/>
          <w:sz w:val="22"/>
        </w:rPr>
        <w:t>The pattern is consistent with the Final Term Report's SQ-only findings: On-Time and Delayed are identified reasonably well, while Acceptable — the narrow 1–4-minute band sitting between them — is by far the hardest class, with the majority of its true cases being predicted as On-Time instead. Expanding to all carriers has, if anything, made this harder: overall accuracy is down from the SQ-only Random Forest's 62% to 57.9–56.8%, most likely because different carriers operate under different PTS/SLA targets and recovery behaviours (Section 4.2), adding heterogeneity that a single shared model has to absorb. This is logged as an open limitation in Section 10, not smoothed over.</w:t>
      </w:r>
    </w:p>
    <w:p>
      <w:pPr>
        <w:pStyle w:val="Heading2"/>
      </w:pPr>
      <w:r>
        <w:t>6.7 Lightning Warning (LW) Features</w:t>
      </w:r>
    </w:p>
    <w:p>
      <w:r>
        <w:rPr>
          <w:b w:val="0"/>
          <w:i w:val="0"/>
          <w:sz w:val="22"/>
        </w:rPr>
        <w:t>A reviewer asked how a weather/severity-style feature is represented in the raw data. Lightning warning records arrive as discrete time windows — a warning number, an issue date, a validity start time and end time (e.g. 20:00:00 to 20:30:00), and a cancellation status — which are parsed into clean start/end timestamps and a duration in minutes. From that raw representation, seven engineered features are derived per flight: whether any warning was active that day, the day's total warning count and minutes, whether a warning was active at the exact scheduled departure time, how many minutes of warning overlapped the ground-handling window, and minutes elapsed since the last warning ended before departure. These features are already live in the production model and in the Delay Predictor's input form. A parallel, LW-enhanced XGBoost pipeline has been coded to directly quantify how much these features improve on a no-LW baseline (matching feature importances side by side); it is built and ready to run but has not yet been executed and validated, so no lift figure is reported here until it has.</w:t>
      </w:r>
    </w:p>
    <w:p>
      <w:r>
        <w:br w:type="page"/>
      </w:r>
    </w:p>
    <w:p>
      <w:pPr>
        <w:pStyle w:val="Heading1"/>
      </w:pPr>
      <w:r>
        <w:t>7. From Prediction to Action — the Delay Predictor Page</w:t>
      </w:r>
    </w:p>
    <w:p>
      <w:r>
        <w:rPr>
          <w:b w:val="0"/>
          <w:i w:val="0"/>
          <w:sz w:val="22"/>
        </w:rPr>
        <w:t>A reviewer asked whether the model's predicted risk feeds into any actual decision-making, or whether it is only reported as a number. It now does the former: the Delay Predictor page turns a predicted delay probability into a specific recommended action, alongside a plain-language list of the risk factors driving that flight's score (e.g. tight available ground time, a late incoming aircraft, remote-bay operations, a high count of special-assistance passengers, or a historically-busy peak-hour departure slot).</w:t>
      </w:r>
    </w:p>
    <w:tbl>
      <w:tblPr>
        <w:tblStyle w:val="TableGrid"/>
        <w:tblW w:type="auto" w:w="0"/>
        <w:jc w:val="center"/>
        <w:tblLook w:firstColumn="1" w:firstRow="1" w:lastColumn="0" w:lastRow="0" w:noHBand="0" w:noVBand="1" w:val="04A0"/>
      </w:tblPr>
      <w:tblGrid>
        <w:gridCol w:w="3249"/>
        <w:gridCol w:w="3249"/>
        <w:gridCol w:w="3249"/>
      </w:tblGrid>
      <w:tr>
        <w:tc>
          <w:tcPr>
            <w:tcW w:type="dxa" w:w="2880"/>
            <w:shd w:val="clear" w:color="auto" w:fill="1F4E79"/>
          </w:tcPr>
          <w:p>
            <w:r/>
            <w:r>
              <w:rPr>
                <w:b/>
                <w:color w:val="FFFFFF"/>
                <w:sz w:val="20"/>
              </w:rPr>
              <w:t>Predicted delay probability</w:t>
            </w:r>
          </w:p>
        </w:tc>
        <w:tc>
          <w:tcPr>
            <w:tcW w:type="dxa" w:w="1728"/>
            <w:shd w:val="clear" w:color="auto" w:fill="1F4E79"/>
          </w:tcPr>
          <w:p>
            <w:r/>
            <w:r>
              <w:rPr>
                <w:b/>
                <w:color w:val="FFFFFF"/>
                <w:sz w:val="20"/>
              </w:rPr>
              <w:t>Status</w:t>
            </w:r>
          </w:p>
        </w:tc>
        <w:tc>
          <w:tcPr>
            <w:tcW w:type="dxa" w:w="4896"/>
            <w:shd w:val="clear" w:color="auto" w:fill="1F4E79"/>
          </w:tcPr>
          <w:p>
            <w:r/>
            <w:r>
              <w:rPr>
                <w:b/>
                <w:color w:val="FFFFFF"/>
                <w:sz w:val="20"/>
              </w:rPr>
              <w:t>Recommended action</w:t>
            </w:r>
          </w:p>
        </w:tc>
      </w:tr>
      <w:tr>
        <w:tc>
          <w:tcPr>
            <w:tcW w:type="dxa" w:w="2880"/>
          </w:tcPr>
          <w:p>
            <w:r/>
            <w:r>
              <w:rPr>
                <w:sz w:val="19"/>
              </w:rPr>
              <w:t>&gt; 50%</w:t>
            </w:r>
          </w:p>
        </w:tc>
        <w:tc>
          <w:tcPr>
            <w:tcW w:type="dxa" w:w="1728"/>
          </w:tcPr>
          <w:p>
            <w:r/>
            <w:r>
              <w:rPr>
                <w:sz w:val="19"/>
              </w:rPr>
              <w:t>🔴 High risk</w:t>
            </w:r>
          </w:p>
        </w:tc>
        <w:tc>
          <w:tcPr>
            <w:tcW w:type="dxa" w:w="4896"/>
          </w:tcPr>
          <w:p>
            <w:r/>
            <w:r>
              <w:rPr>
                <w:sz w:val="19"/>
              </w:rPr>
              <w:t>Request additional ground crew or extend the turnaround buffer before departure.</w:t>
            </w:r>
          </w:p>
        </w:tc>
      </w:tr>
      <w:tr>
        <w:tc>
          <w:tcPr>
            <w:tcW w:type="dxa" w:w="2880"/>
          </w:tcPr>
          <w:p>
            <w:r/>
            <w:r>
              <w:rPr>
                <w:sz w:val="19"/>
              </w:rPr>
              <w:t>30–50%</w:t>
            </w:r>
          </w:p>
        </w:tc>
        <w:tc>
          <w:tcPr>
            <w:tcW w:type="dxa" w:w="1728"/>
          </w:tcPr>
          <w:p>
            <w:r/>
            <w:r>
              <w:rPr>
                <w:sz w:val="19"/>
              </w:rPr>
              <w:t>🟡 Marginal</w:t>
            </w:r>
          </w:p>
        </w:tc>
        <w:tc>
          <w:tcPr>
            <w:tcW w:type="dxa" w:w="4896"/>
          </w:tcPr>
          <w:p>
            <w:r/>
            <w:r>
              <w:rPr>
                <w:sz w:val="19"/>
              </w:rPr>
              <w:t>Monitor turnaround progress closely — conditions are marginal.</w:t>
            </w:r>
          </w:p>
        </w:tc>
      </w:tr>
      <w:tr>
        <w:tc>
          <w:tcPr>
            <w:tcW w:type="dxa" w:w="2880"/>
          </w:tcPr>
          <w:p>
            <w:r/>
            <w:r>
              <w:rPr>
                <w:sz w:val="19"/>
              </w:rPr>
              <w:t>&lt; 30%</w:t>
            </w:r>
          </w:p>
        </w:tc>
        <w:tc>
          <w:tcPr>
            <w:tcW w:type="dxa" w:w="1728"/>
          </w:tcPr>
          <w:p>
            <w:r/>
            <w:r>
              <w:rPr>
                <w:sz w:val="19"/>
              </w:rPr>
              <w:t>🟢 On track</w:t>
            </w:r>
          </w:p>
        </w:tc>
        <w:tc>
          <w:tcPr>
            <w:tcW w:type="dxa" w:w="4896"/>
          </w:tcPr>
          <w:p>
            <w:r/>
            <w:r>
              <w:rPr>
                <w:sz w:val="19"/>
              </w:rPr>
              <w:t>Conditions look favourable; the standard turnaround plan should suffice.</w:t>
            </w:r>
          </w:p>
        </w:tc>
      </w:tr>
    </w:tbl>
    <w:p/>
    <w:p>
      <w:r>
        <w:rPr>
          <w:b w:val="0"/>
          <w:i w:val="0"/>
          <w:sz w:val="22"/>
        </w:rPr>
        <w:t>This is deliberately a simple, transparent rule rather than a black-box score, so a ground supervisor can see exactly which input drove the recommendation. Extending this into a fully proactive alerting workflow — e.g. pushing a notification to the relevant Business Unit automatically once a flight crosses the high-risk threshold, and tracking whether the recommended action was taken — is the natural next step and is discussed in Section 11.</w:t>
      </w:r>
    </w:p>
    <w:p>
      <w:r>
        <w:br w:type="page"/>
      </w:r>
    </w:p>
    <w:p>
      <w:pPr>
        <w:pStyle w:val="Heading1"/>
      </w:pPr>
      <w:r>
        <w:t>8. Natural-Language Analytics — “Ask the Data”</w:t>
      </w:r>
    </w:p>
    <w:p>
      <w:r>
        <w:rPr>
          <w:b w:val="0"/>
          <w:i w:val="0"/>
          <w:sz w:val="22"/>
        </w:rPr>
        <w:t>A reviewer suggested that once the full pipeline was in place, an agentic AI tool could be layered on top as an easy-to-use, widely available prototype interface. The dashboard now includes exactly this: an “Ask the Data” page where a user types a question in plain English (e.g. “which carrier has the worst on-time rate this quarter?”) and receives a written insight, a table, and a chart in response — with no need to know the underlying column names or write any code.</w:t>
      </w:r>
    </w:p>
    <w:p>
      <w:r>
        <w:rPr>
          <w:b w:val="0"/>
          <w:i w:val="0"/>
          <w:sz w:val="22"/>
        </w:rPr>
        <w:t>It works as a two-pass agentic pipeline:</w:t>
      </w:r>
    </w:p>
    <w:p>
      <w:pPr>
        <w:pStyle w:val="ListBullet"/>
      </w:pPr>
      <w:r>
        <w:t>Pass 1 — the LLM is shown only the data schema (column names and types, not the raw data itself) and writes pandas/Plotly code to answer the question.</w:t>
      </w:r>
    </w:p>
    <w:p>
      <w:pPr>
        <w:pStyle w:val="ListBullet"/>
      </w:pPr>
      <w:r>
        <w:t>That code executes locally, against the full current dataset, inside the dashboard's own process.</w:t>
      </w:r>
    </w:p>
    <w:p>
      <w:pPr>
        <w:pStyle w:val="ListBullet"/>
      </w:pPr>
      <w:r>
        <w:t>Pass 2 — the aggregated result (not the raw flight-level data) is sent back to the LLM, which writes the final plain-English insight shown to the user.</w:t>
      </w:r>
    </w:p>
    <w:p>
      <w:r>
        <w:rPr>
          <w:b w:val="0"/>
          <w:i w:val="0"/>
          <w:sz w:val="22"/>
        </w:rPr>
        <w:t>A “View Generated Code” panel is always available for full transparency into exactly what was run. Three interchangeable providers are supported — Groq and Gemini (both free-tier) and Anthropic (pay-as-you-go) — so the feature has no mandatory recurring cost. Because raw flight-level data never leaves the local process (only the schema and the aggregated result are sent to the LLM provider), this also keeps the feature reasonably conservative from a data-handling standpoint.</w:t>
      </w:r>
    </w:p>
    <w:p>
      <w:r>
        <w:br w:type="page"/>
      </w:r>
    </w:p>
    <w:p>
      <w:pPr>
        <w:pStyle w:val="Heading1"/>
      </w:pPr>
      <w:r>
        <w:t>9. Deployment</w:t>
      </w:r>
    </w:p>
    <w:p>
      <w:r>
        <w:rPr>
          <w:b w:val="0"/>
          <w:i w:val="0"/>
          <w:sz w:val="22"/>
        </w:rPr>
        <w:t>The Final Term Report listed Power BI deployment as in-progress and blocked on environment configuration. Since the platform migration (Section 3), deployment is no longer blocked: the dashboard's code is version-controlled on GitHub and deployed to Streamlit Community Cloud, giving it a live, shareable URL that runs the current model and dataset without requiring anyone to install Python locally.</w:t>
      </w:r>
    </w:p>
    <w:p>
      <w:r>
        <w:rPr>
          <w:b w:val="0"/>
          <w:i w:val="0"/>
          <w:sz w:val="22"/>
        </w:rPr>
        <w:t>Access is being rolled out in a controlled way rather than broadcast: the underlying source repository is being kept private where possible, while the deployed application itself can be shared as a link with named stakeholders (e.g. the industry mentor and HPOE team members) who do not need a GitHub account to view it. This rollout is in progress, alongside deciding the right balance between ease of access for stakeholders and keeping the underlying flight data and model out of public view.</w:t>
      </w:r>
    </w:p>
    <w:p>
      <w:r>
        <w:br w:type="page"/>
      </w:r>
    </w:p>
    <w:p>
      <w:pPr>
        <w:pStyle w:val="Heading1"/>
      </w:pPr>
      <w:r>
        <w:t>10. Updated Challenges &amp; Limitations</w:t>
      </w:r>
    </w:p>
    <w:p>
      <w:r>
        <w:rPr>
          <w:b w:val="0"/>
          <w:i w:val="0"/>
          <w:sz w:val="22"/>
        </w:rPr>
        <w:t>Some challenges from the Final Term Report are resolved or substantially advanced; others remain, and a few new ones have emerged directly from this update's work. A reviewer also asked how the operational recommendations in the Final Term Report were actually derived — worth stating plainly here: they came from qualitative synthesis of the correlation and feature-importance results together with ground ops's process knowledge, not from a formal prescriptive optimisation model (e.g. a staffing or scheduling allocation model). Building a genuine optimisation layer on top of the cascade model is a candidate for future work, noted in Section 11.</w:t>
      </w:r>
    </w:p>
    <w:tbl>
      <w:tblPr>
        <w:tblStyle w:val="TableGrid"/>
        <w:tblW w:type="auto" w:w="0"/>
        <w:jc w:val="center"/>
        <w:tblLook w:firstColumn="1" w:firstRow="1" w:lastColumn="0" w:lastRow="0" w:noHBand="0" w:noVBand="1" w:val="04A0"/>
      </w:tblPr>
      <w:tblGrid>
        <w:gridCol w:w="4873"/>
        <w:gridCol w:w="4873"/>
      </w:tblGrid>
      <w:tr>
        <w:tc>
          <w:tcPr>
            <w:tcW w:type="dxa" w:w="3168"/>
            <w:shd w:val="clear" w:color="auto" w:fill="1F4E79"/>
          </w:tcPr>
          <w:p>
            <w:r/>
            <w:r>
              <w:rPr>
                <w:b/>
                <w:color w:val="FFFFFF"/>
                <w:sz w:val="20"/>
              </w:rPr>
              <w:t>Challenge</w:t>
            </w:r>
          </w:p>
        </w:tc>
        <w:tc>
          <w:tcPr>
            <w:tcW w:type="dxa" w:w="6336"/>
            <w:shd w:val="clear" w:color="auto" w:fill="1F4E79"/>
          </w:tcPr>
          <w:p>
            <w:r/>
            <w:r>
              <w:rPr>
                <w:b/>
                <w:color w:val="FFFFFF"/>
                <w:sz w:val="20"/>
              </w:rPr>
              <w:t>Status</w:t>
            </w:r>
          </w:p>
        </w:tc>
      </w:tr>
      <w:tr>
        <w:tc>
          <w:tcPr>
            <w:tcW w:type="dxa" w:w="3168"/>
          </w:tcPr>
          <w:p>
            <w:r/>
            <w:r>
              <w:rPr>
                <w:sz w:val="19"/>
              </w:rPr>
              <w:t>Milestone data completeness (8 of 23 milestones)</w:t>
            </w:r>
          </w:p>
        </w:tc>
        <w:tc>
          <w:tcPr>
            <w:tcW w:type="dxa" w:w="6336"/>
          </w:tcPr>
          <w:p>
            <w:r/>
            <w:r>
              <w:rPr>
                <w:sz w:val="19"/>
              </w:rPr>
              <w:t>Unchanged — still the top data-engineering constraint; -999 sentinel imputation (Section 6.3) reduces its modelling impact but does not add missing milestones.</w:t>
            </w:r>
          </w:p>
        </w:tc>
      </w:tr>
      <w:tr>
        <w:tc>
          <w:tcPr>
            <w:tcW w:type="dxa" w:w="3168"/>
          </w:tcPr>
          <w:p>
            <w:r/>
            <w:r>
              <w:rPr>
                <w:sz w:val="19"/>
              </w:rPr>
              <w:t>Airline coverage (SQ only)</w:t>
            </w:r>
          </w:p>
        </w:tc>
        <w:tc>
          <w:tcPr>
            <w:tcW w:type="dxa" w:w="6336"/>
          </w:tcPr>
          <w:p>
            <w:r/>
            <w:r>
              <w:rPr>
                <w:sz w:val="19"/>
              </w:rPr>
              <w:t>Resolved for the live dashboard (23 carriers) and substantially advanced by the dedicated 80-carrier cross-airline study (Section 4).</w:t>
            </w:r>
          </w:p>
        </w:tc>
      </w:tr>
      <w:tr>
        <w:tc>
          <w:tcPr>
            <w:tcW w:type="dxa" w:w="3168"/>
          </w:tcPr>
          <w:p>
            <w:r/>
            <w:r>
              <w:rPr>
                <w:sz w:val="19"/>
              </w:rPr>
              <w:t>Power BI deployment blocked</w:t>
            </w:r>
          </w:p>
        </w:tc>
        <w:tc>
          <w:tcPr>
            <w:tcW w:type="dxa" w:w="6336"/>
          </w:tcPr>
          <w:p>
            <w:r/>
            <w:r>
              <w:rPr>
                <w:sz w:val="19"/>
              </w:rPr>
              <w:t>Resolved — the platform pivot to Streamlit removed this constraint entirely (Section 3), and the app is now actually deployed (Section 9).</w:t>
            </w:r>
          </w:p>
        </w:tc>
      </w:tr>
      <w:tr>
        <w:tc>
          <w:tcPr>
            <w:tcW w:type="dxa" w:w="3168"/>
          </w:tcPr>
          <w:p>
            <w:r/>
            <w:r>
              <w:rPr>
                <w:sz w:val="19"/>
              </w:rPr>
              <w:t>Moderate model accuracy (62%, weak Acceptable class)</w:t>
            </w:r>
          </w:p>
        </w:tc>
        <w:tc>
          <w:tcPr>
            <w:tcW w:type="dxa" w:w="6336"/>
          </w:tcPr>
          <w:p>
            <w:r/>
            <w:r>
              <w:rPr>
                <w:sz w:val="19"/>
              </w:rPr>
              <w:t>Partially regressed — accuracy is now 56.8–57.9% once all carriers are included, and the Acceptable class's recall has fallen further (13.7%). Cross-carrier heterogeneity is the leading suspect; see Section 6.6.</w:t>
            </w:r>
          </w:p>
        </w:tc>
      </w:tr>
      <w:tr>
        <w:tc>
          <w:tcPr>
            <w:tcW w:type="dxa" w:w="3168"/>
          </w:tcPr>
          <w:p>
            <w:r/>
            <w:r>
              <w:rPr>
                <w:sz w:val="19"/>
              </w:rPr>
              <w:t>Operational logic complexity (per-airline PTS/SLA rules)</w:t>
            </w:r>
          </w:p>
        </w:tc>
        <w:tc>
          <w:tcPr>
            <w:tcW w:type="dxa" w:w="6336"/>
          </w:tcPr>
          <w:p>
            <w:r/>
            <w:r>
              <w:rPr>
                <w:sz w:val="19"/>
              </w:rPr>
              <w:t>Unchanged — remains a real constraint as carrier coverage grows; each new airline may need its own delay-calculation validation.</w:t>
            </w:r>
          </w:p>
        </w:tc>
      </w:tr>
      <w:tr>
        <w:tc>
          <w:tcPr>
            <w:tcW w:type="dxa" w:w="3168"/>
          </w:tcPr>
          <w:p>
            <w:r/>
            <w:r>
              <w:rPr>
                <w:sz w:val="19"/>
              </w:rPr>
              <w:t>New: cross-airline model heterogeneity</w:t>
            </w:r>
          </w:p>
        </w:tc>
        <w:tc>
          <w:tcPr>
            <w:tcW w:type="dxa" w:w="6336"/>
          </w:tcPr>
          <w:p>
            <w:r/>
            <w:r>
              <w:rPr>
                <w:sz w:val="19"/>
              </w:rPr>
              <w:t>A single shared model must absorb very different carriers' operational norms; a per-carrier or carrier-cluster model is a candidate next step.</w:t>
            </w:r>
          </w:p>
        </w:tc>
      </w:tr>
      <w:tr>
        <w:tc>
          <w:tcPr>
            <w:tcW w:type="dxa" w:w="3168"/>
          </w:tcPr>
          <w:p>
            <w:r/>
            <w:r>
              <w:rPr>
                <w:sz w:val="19"/>
              </w:rPr>
              <w:t>New: LW-enhanced model unexecuted</w:t>
            </w:r>
          </w:p>
        </w:tc>
        <w:tc>
          <w:tcPr>
            <w:tcW w:type="dxa" w:w="6336"/>
          </w:tcPr>
          <w:p>
            <w:r/>
            <w:r>
              <w:rPr>
                <w:sz w:val="19"/>
              </w:rPr>
              <w:t>The lightning-warning-enhanced XGBoost pipeline (Section 6.7) is coded but not yet run; its actual lift over the current model is unverified.</w:t>
            </w:r>
          </w:p>
        </w:tc>
      </w:tr>
      <w:tr>
        <w:tc>
          <w:tcPr>
            <w:tcW w:type="dxa" w:w="3168"/>
          </w:tcPr>
          <w:p>
            <w:r/>
            <w:r>
              <w:rPr>
                <w:sz w:val="19"/>
              </w:rPr>
              <w:t>New: access-control rollout still in progress</w:t>
            </w:r>
          </w:p>
        </w:tc>
        <w:tc>
          <w:tcPr>
            <w:tcW w:type="dxa" w:w="6336"/>
          </w:tcPr>
          <w:p>
            <w:r/>
            <w:r>
              <w:rPr>
                <w:sz w:val="19"/>
              </w:rPr>
              <w:t>Deployment exists (Section 9) but the stakeholder access policy is still being finalised.</w:t>
            </w:r>
          </w:p>
        </w:tc>
      </w:tr>
    </w:tbl>
    <w:p/>
    <w:p>
      <w:r>
        <w:br w:type="page"/>
      </w:r>
    </w:p>
    <w:p>
      <w:pPr>
        <w:pStyle w:val="Heading1"/>
      </w:pPr>
      <w:r>
        <w:t>11. Next Steps</w:t>
      </w:r>
    </w:p>
    <w:p>
      <w:pPr>
        <w:pStyle w:val="ListBullet"/>
      </w:pPr>
      <w:r>
        <w:t>Execute and validate the LW-enhanced model (Section 6.7) and report its measured lift over the current baseline.</w:t>
      </w:r>
    </w:p>
    <w:p>
      <w:pPr>
        <w:pStyle w:val="ListBullet"/>
      </w:pPr>
      <w:r>
        <w:t>Investigate per-carrier or carrier-cluster modelling to address the accuracy regression introduced by cross-airline heterogeneity (Section 6.6).</w:t>
      </w:r>
    </w:p>
    <w:p>
      <w:pPr>
        <w:pStyle w:val="ListBullet"/>
      </w:pPr>
      <w:r>
        <w:t>Integrate the remaining 15 (of 23) planned milestones into the GOPS pipeline, the single highest-leverage data gap.</w:t>
      </w:r>
    </w:p>
    <w:p>
      <w:pPr>
        <w:pStyle w:val="ListBullet"/>
      </w:pPr>
      <w:r>
        <w:t>Finalise the stakeholder access policy for the deployed dashboard (Section 9).</w:t>
      </w:r>
    </w:p>
    <w:p>
      <w:pPr>
        <w:pStyle w:val="ListBullet"/>
      </w:pPr>
      <w:r>
        <w:t>Extend the Delay Predictor's action recommendations (Section 7) into a proactive, trackable alerting workflow.</w:t>
      </w:r>
    </w:p>
    <w:p>
      <w:pPr>
        <w:pStyle w:val="ListBullet"/>
      </w:pPr>
      <w:r>
        <w:t>Explore a formal prescriptive/optimisation layer (e.g. staffing allocation) on top of the cascade model, in collaboration with the HPOE team.</w:t>
      </w:r>
    </w:p>
    <w:p/>
    <w:p/>
    <w:p>
      <w:pPr>
        <w:pBdr>
          <w:bottom w:val="single" w:sz="6" w:space="1" w:color="1F4E79"/>
        </w:pBdr>
      </w:pPr>
    </w:p>
    <w:p>
      <w:r>
        <w:rPr>
          <w:i/>
          <w:color w:val="666666"/>
          <w:sz w:val="19"/>
        </w:rPr>
        <w:t>Report prepared by Prathosh Chander (Student No: 1010948) — 2026 May Term - 61.500 : MDAIE Studio, July 2026.</w:t>
      </w:r>
    </w:p>
    <w:sectPr w:rsidR="00FC693F" w:rsidRPr="0006063C" w:rsidSect="00034616">
      <w:footerReference w:type="default" r:id="rId9"/>
      <w:head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F4E79"/>
        <w:sz w:val="18"/>
      </w:rPr>
      <w:t xml:space="preserve">AI-Enabled OTP Dashboard Project | SATS Ltd.   Prathosh Chander | Page </w:t>
    </w:r>
    <w:r>
      <w:fldChar w:fldCharType="begin"/>
      <w:instrText xml:space="preserve">PAGE</w:instrText>
      <w:fldChar w:fldCharType="end"/>
    </w:r>
    <w:r>
      <w:rPr>
        <w:color w:val="1F4E79"/>
        <w:sz w:val="18"/>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i/>
        <w:color w:val="1F4E79"/>
        <w:sz w:val="18"/>
      </w:rPr>
      <w:t>AI-Enabled OTP Dashboard Project — Progress Update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