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C2AE" w14:textId="77777777" w:rsidR="003577A0" w:rsidRDefault="000740D9">
      <w:pPr>
        <w:spacing w:before="1200"/>
        <w:jc w:val="center"/>
      </w:pPr>
      <w:r>
        <w:rPr>
          <w:b/>
          <w:color w:val="1A237E"/>
          <w:sz w:val="60"/>
        </w:rPr>
        <w:t>SATS Ground Operations</w:t>
      </w:r>
    </w:p>
    <w:p w14:paraId="19AD6AB9" w14:textId="77777777" w:rsidR="003577A0" w:rsidRDefault="000740D9">
      <w:pPr>
        <w:jc w:val="center"/>
      </w:pPr>
      <w:r>
        <w:rPr>
          <w:b/>
          <w:color w:val="0D47A1"/>
          <w:sz w:val="44"/>
        </w:rPr>
        <w:t>Off Chocks Performance Report</w:t>
      </w:r>
    </w:p>
    <w:p w14:paraId="2CE4090F" w14:textId="77777777" w:rsidR="003577A0" w:rsidRDefault="000740D9">
      <w:pPr>
        <w:jc w:val="center"/>
      </w:pPr>
      <w:r>
        <w:rPr>
          <w:color w:val="555555"/>
          <w:sz w:val="26"/>
        </w:rPr>
        <w:t>Aug 2025 – Apr 2026   ·   125,508 Turnaround Flights</w:t>
      </w:r>
    </w:p>
    <w:p w14:paraId="433C53B9" w14:textId="77777777" w:rsidR="003577A0" w:rsidRDefault="003577A0">
      <w:pPr>
        <w:pBdr>
          <w:bottom w:val="single" w:sz="6" w:space="1" w:color="9E9E9E"/>
        </w:pBdr>
        <w:spacing w:before="60" w:after="60"/>
      </w:pPr>
    </w:p>
    <w:p w14:paraId="7C64C0C9" w14:textId="6DA8942A" w:rsidR="003577A0" w:rsidRDefault="003577A0" w:rsidP="00063822"/>
    <w:p w14:paraId="4044E464" w14:textId="77777777" w:rsidR="003577A0" w:rsidRDefault="000740D9">
      <w:r>
        <w:br w:type="page"/>
      </w:r>
    </w:p>
    <w:p w14:paraId="2DFAB675" w14:textId="77777777" w:rsidR="003577A0" w:rsidRDefault="000740D9">
      <w:pPr>
        <w:spacing w:after="80"/>
      </w:pPr>
      <w:r>
        <w:rPr>
          <w:b/>
          <w:color w:val="1A237E"/>
          <w:sz w:val="32"/>
        </w:rPr>
        <w:lastRenderedPageBreak/>
        <w:t>1.  Executive Summary</w:t>
      </w:r>
    </w:p>
    <w:p w14:paraId="06367016" w14:textId="77777777" w:rsidR="003577A0" w:rsidRDefault="003577A0">
      <w:pPr>
        <w:pBdr>
          <w:bottom w:val="single" w:sz="6" w:space="1" w:color="1A237E"/>
        </w:pBdr>
        <w:spacing w:before="60" w:after="60"/>
      </w:pPr>
    </w:p>
    <w:p w14:paraId="7176BDB4" w14:textId="77777777" w:rsidR="003577A0" w:rsidRDefault="000740D9">
      <w:pPr>
        <w:spacing w:before="120" w:after="40"/>
      </w:pPr>
      <w:r>
        <w:rPr>
          <w:color w:val="212121"/>
          <w:sz w:val="21"/>
        </w:rPr>
        <w:t>This report analyses 125,508 SATS-handled turnaround flights across 9 months (Aug 2025 – Apr 2026) to quantify how inbound arrival delays affect off-chocks punctuality. A flight is on time if it pushes back at or before its scheduled off-chocks time (off-chocks delay ≤ 0 min).</w:t>
      </w:r>
    </w:p>
    <w:p w14:paraId="735887B1" w14:textId="77777777" w:rsidR="003577A0" w:rsidRDefault="000740D9">
      <w:pPr>
        <w:spacing w:before="160" w:after="80"/>
      </w:pPr>
      <w:r>
        <w:rPr>
          <w:b/>
          <w:color w:val="0D47A1"/>
          <w:sz w:val="24"/>
        </w:rPr>
        <w:t>Key Findings</w:t>
      </w:r>
    </w:p>
    <w:p w14:paraId="265A8152" w14:textId="77777777" w:rsidR="003577A0" w:rsidRDefault="000740D9">
      <w:pPr>
        <w:pStyle w:val="ListBullet"/>
        <w:spacing w:before="20" w:after="20"/>
      </w:pPr>
      <w:r>
        <w:rPr>
          <w:b/>
          <w:color w:val="212121"/>
          <w:sz w:val="21"/>
        </w:rPr>
        <w:t xml:space="preserve">Overall on-time rate:  </w:t>
      </w:r>
      <w:r>
        <w:rPr>
          <w:color w:val="212121"/>
          <w:sz w:val="21"/>
        </w:rPr>
        <w:t>35.7% of SATS flights push back on time. Nearly two-thirds depart late.</w:t>
      </w:r>
    </w:p>
    <w:p w14:paraId="791FEF8B" w14:textId="77777777" w:rsidR="003577A0" w:rsidRDefault="000740D9">
      <w:pPr>
        <w:pStyle w:val="ListBullet"/>
        <w:spacing w:before="20" w:after="20"/>
      </w:pPr>
      <w:r>
        <w:rPr>
          <w:b/>
          <w:color w:val="C62828"/>
          <w:sz w:val="21"/>
        </w:rPr>
        <w:t xml:space="preserve">Inbound delay impact:  </w:t>
      </w:r>
      <w:r>
        <w:rPr>
          <w:color w:val="212121"/>
          <w:sz w:val="21"/>
        </w:rPr>
        <w:t>On-time rate is 46.1% for early/on-time arrivals but collapses to 16.4% for flights arriving &gt;15 min late — a 29.8 pp drop.</w:t>
      </w:r>
    </w:p>
    <w:p w14:paraId="59358FA5" w14:textId="77777777" w:rsidR="003577A0" w:rsidRDefault="000740D9">
      <w:pPr>
        <w:pStyle w:val="ListBullet"/>
        <w:spacing w:before="20" w:after="20"/>
      </w:pPr>
      <w:r>
        <w:rPr>
          <w:b/>
          <w:color w:val="212121"/>
          <w:sz w:val="21"/>
        </w:rPr>
        <w:t xml:space="preserve">Inbound delay prevalence:  </w:t>
      </w:r>
      <w:r>
        <w:rPr>
          <w:color w:val="212121"/>
          <w:sz w:val="21"/>
        </w:rPr>
        <w:t>39.2% of inbound aircraft arrive more than 4 min late; 23.5% arrive more than 15 min late.</w:t>
      </w:r>
    </w:p>
    <w:p w14:paraId="76D49936" w14:textId="77777777" w:rsidR="003577A0" w:rsidRDefault="000740D9">
      <w:pPr>
        <w:pStyle w:val="ListBullet"/>
        <w:spacing w:before="20" w:after="20"/>
      </w:pPr>
      <w:r>
        <w:rPr>
          <w:b/>
          <w:color w:val="1565C0"/>
          <w:sz w:val="21"/>
        </w:rPr>
        <w:t xml:space="preserve">Home-carrier advantage:  </w:t>
      </w:r>
      <w:r>
        <w:rPr>
          <w:color w:val="212121"/>
          <w:sz w:val="21"/>
        </w:rPr>
        <w:t>SQ &amp; TR (56.7% of dataset) consistently outperform other carriers — achieving ~2× on-time rate for late arrivals.</w:t>
      </w:r>
    </w:p>
    <w:p w14:paraId="55069883" w14:textId="77777777" w:rsidR="003577A0" w:rsidRDefault="000740D9">
      <w:pPr>
        <w:pStyle w:val="ListBullet"/>
        <w:spacing w:before="20" w:after="20"/>
      </w:pPr>
      <w:r>
        <w:rPr>
          <w:b/>
          <w:color w:val="2E7D32"/>
          <w:sz w:val="21"/>
        </w:rPr>
        <w:t xml:space="preserve">Structural pattern:  </w:t>
      </w:r>
      <w:r>
        <w:rPr>
          <w:color w:val="212121"/>
          <w:sz w:val="21"/>
        </w:rPr>
        <w:t>The inbound delay → off-chocks delay relationship is consistent across all 9 months — structural, not seasonal.</w:t>
      </w:r>
    </w:p>
    <w:p w14:paraId="7915C901" w14:textId="77777777" w:rsidR="003577A0" w:rsidRDefault="000740D9">
      <w:r>
        <w:br w:type="page"/>
      </w:r>
    </w:p>
    <w:p w14:paraId="53CD2F63" w14:textId="77777777" w:rsidR="003577A0" w:rsidRDefault="000740D9">
      <w:pPr>
        <w:spacing w:after="80"/>
      </w:pPr>
      <w:r>
        <w:rPr>
          <w:b/>
          <w:color w:val="1A237E"/>
          <w:sz w:val="32"/>
        </w:rPr>
        <w:lastRenderedPageBreak/>
        <w:t>2.  Data Overview</w:t>
      </w:r>
    </w:p>
    <w:p w14:paraId="019FC4C2" w14:textId="77777777" w:rsidR="003577A0" w:rsidRDefault="003577A0">
      <w:pPr>
        <w:pBdr>
          <w:bottom w:val="single" w:sz="6" w:space="1" w:color="1A237E"/>
        </w:pBdr>
        <w:spacing w:before="60" w:after="60"/>
      </w:pPr>
    </w:p>
    <w:p w14:paraId="694BE725" w14:textId="77F63D8F" w:rsidR="003577A0" w:rsidRDefault="000740D9">
      <w:pPr>
        <w:spacing w:before="120" w:after="40"/>
      </w:pPr>
      <w:r>
        <w:rPr>
          <w:color w:val="212121"/>
          <w:sz w:val="21"/>
        </w:rPr>
        <w:t xml:space="preserve">The dataset covers all flight movements at SATS-handled stations, Aug 2025 – Apr 2026. </w:t>
      </w:r>
    </w:p>
    <w:p w14:paraId="1FEF57C7" w14:textId="77777777" w:rsidR="003577A0" w:rsidRDefault="000740D9">
      <w:pPr>
        <w:spacing w:before="240" w:after="80"/>
      </w:pPr>
      <w:proofErr w:type="gramStart"/>
      <w:r>
        <w:rPr>
          <w:b/>
          <w:color w:val="0D47A1"/>
          <w:sz w:val="24"/>
        </w:rPr>
        <w:t>2.1  SATS</w:t>
      </w:r>
      <w:proofErr w:type="gramEnd"/>
      <w:r>
        <w:rPr>
          <w:b/>
          <w:color w:val="0D47A1"/>
          <w:sz w:val="24"/>
        </w:rPr>
        <w:t>-Handled Airlines — Top 30 by Flight Count</w:t>
      </w:r>
    </w:p>
    <w:p w14:paraId="3C072A5C" w14:textId="77777777" w:rsidR="003577A0" w:rsidRDefault="000740D9">
      <w:pPr>
        <w:shd w:val="clear" w:color="auto" w:fill="1565C0"/>
        <w:spacing w:before="160" w:after="20"/>
      </w:pPr>
      <w:r>
        <w:rPr>
          <w:b/>
          <w:color w:val="FFFFFF"/>
          <w:sz w:val="21"/>
        </w:rPr>
        <w:t xml:space="preserve">  Chart 1 — Top 30 SATS Airlines by Flight Count  </w:t>
      </w:r>
    </w:p>
    <w:p w14:paraId="79F0E6AE" w14:textId="77777777" w:rsidR="003577A0" w:rsidRDefault="000740D9">
      <w:pPr>
        <w:spacing w:before="40" w:after="20"/>
      </w:pPr>
      <w:r>
        <w:rPr>
          <w:b/>
          <w:color w:val="1565C0"/>
          <w:sz w:val="20"/>
        </w:rPr>
        <w:t xml:space="preserve">How to read:  </w:t>
      </w:r>
      <w:r>
        <w:rPr>
          <w:color w:val="212121"/>
          <w:sz w:val="20"/>
        </w:rPr>
        <w:t>Horizontal bars show total flights per airline over 9 months. Red bars = SQ (Singapore Airlines) and TR (Scoot), the Singapore home-based carriers.</w:t>
      </w:r>
    </w:p>
    <w:p w14:paraId="29CEAA8E" w14:textId="0C78237E" w:rsidR="003577A0" w:rsidRDefault="000740D9">
      <w:pPr>
        <w:spacing w:before="20" w:after="120"/>
      </w:pPr>
      <w:r>
        <w:rPr>
          <w:b/>
          <w:color w:val="FF6F00"/>
          <w:sz w:val="20"/>
        </w:rPr>
        <w:t xml:space="preserve">What this tells us:  </w:t>
      </w:r>
      <w:r>
        <w:rPr>
          <w:color w:val="212121"/>
          <w:sz w:val="20"/>
        </w:rPr>
        <w:t>SQ and TR dominate volume. Combined they represent 56.7% of SATS-handled flights, making them the primary driver of overall performance.</w:t>
      </w:r>
    </w:p>
    <w:p w14:paraId="7871E179" w14:textId="77777777" w:rsidR="003577A0" w:rsidRDefault="000740D9">
      <w:pPr>
        <w:spacing w:before="120" w:after="80"/>
        <w:jc w:val="center"/>
      </w:pPr>
      <w:r>
        <w:rPr>
          <w:noProof/>
        </w:rPr>
        <w:drawing>
          <wp:inline distT="0" distB="0" distL="0" distR="0" wp14:anchorId="45837F45" wp14:editId="60B65374">
            <wp:extent cx="5760720" cy="4301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_top3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E1A2" w14:textId="77777777" w:rsidR="003577A0" w:rsidRDefault="000740D9">
      <w:pPr>
        <w:spacing w:before="20"/>
        <w:jc w:val="center"/>
      </w:pPr>
      <w:r>
        <w:rPr>
          <w:i/>
          <w:color w:val="555555"/>
          <w:sz w:val="18"/>
        </w:rPr>
        <w:t>Figure 1 — SATS-Handled Airlines: Top 30 by Flight Count (Aug 2025 – Apr 2026)</w:t>
      </w:r>
    </w:p>
    <w:p w14:paraId="1853D54D" w14:textId="77777777" w:rsidR="003577A0" w:rsidRDefault="000740D9">
      <w:pPr>
        <w:spacing w:before="240" w:after="80"/>
      </w:pPr>
      <w:r>
        <w:rPr>
          <w:b/>
          <w:color w:val="0D47A1"/>
          <w:sz w:val="24"/>
        </w:rPr>
        <w:t>2.2  Monthly SATS Flight Count</w:t>
      </w:r>
    </w:p>
    <w:p w14:paraId="632AAF75" w14:textId="77777777" w:rsidR="003577A0" w:rsidRDefault="000740D9">
      <w:pPr>
        <w:shd w:val="clear" w:color="auto" w:fill="1565C0"/>
        <w:spacing w:before="160" w:after="20"/>
      </w:pPr>
      <w:r>
        <w:rPr>
          <w:b/>
          <w:color w:val="FFFFFF"/>
          <w:sz w:val="21"/>
        </w:rPr>
        <w:t xml:space="preserve">  Chart 2 — Monthly Flight Count (SATS Airlines)  </w:t>
      </w:r>
    </w:p>
    <w:p w14:paraId="7799F617" w14:textId="7749068A" w:rsidR="003577A0" w:rsidRDefault="000740D9">
      <w:pPr>
        <w:spacing w:before="40" w:after="20"/>
      </w:pPr>
      <w:r>
        <w:rPr>
          <w:b/>
          <w:color w:val="1565C0"/>
          <w:sz w:val="20"/>
        </w:rPr>
        <w:t xml:space="preserve">How to read:  </w:t>
      </w:r>
      <w:r>
        <w:rPr>
          <w:color w:val="212121"/>
          <w:sz w:val="20"/>
        </w:rPr>
        <w:t xml:space="preserve">Each bar = total SATS-handled departures in that calendar month. </w:t>
      </w:r>
    </w:p>
    <w:p w14:paraId="6882C158" w14:textId="77777777" w:rsidR="003577A0" w:rsidRDefault="000740D9">
      <w:pPr>
        <w:spacing w:before="20" w:after="120"/>
      </w:pPr>
      <w:r>
        <w:rPr>
          <w:b/>
          <w:color w:val="FF6F00"/>
          <w:sz w:val="20"/>
        </w:rPr>
        <w:t xml:space="preserve">What this tells us:  </w:t>
      </w:r>
      <w:r>
        <w:rPr>
          <w:color w:val="212121"/>
          <w:sz w:val="20"/>
        </w:rPr>
        <w:t>Volume is consistent at 13,000–14,000 flights/month, confirming the dataset reflects stable normal operations — no major disruptions that would distort the analysis.</w:t>
      </w:r>
    </w:p>
    <w:p w14:paraId="7B4049DF" w14:textId="77777777" w:rsidR="003577A0" w:rsidRDefault="000740D9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DAC7DBB" wp14:editId="6D603AAF">
            <wp:extent cx="5760720" cy="24369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_month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E858" w14:textId="77777777" w:rsidR="003577A0" w:rsidRDefault="000740D9">
      <w:pPr>
        <w:spacing w:before="20"/>
        <w:jc w:val="center"/>
      </w:pPr>
      <w:r>
        <w:rPr>
          <w:i/>
          <w:color w:val="555555"/>
          <w:sz w:val="18"/>
        </w:rPr>
        <w:t>Figure 2 — SATS-Handled Airlines: Monthly Flight Count (Aug 2025 – Apr 2026)</w:t>
      </w:r>
    </w:p>
    <w:p w14:paraId="10046D3C" w14:textId="77777777" w:rsidR="003577A0" w:rsidRDefault="000740D9">
      <w:r>
        <w:br w:type="page"/>
      </w:r>
    </w:p>
    <w:p w14:paraId="14DF549E" w14:textId="77777777" w:rsidR="003577A0" w:rsidRDefault="000740D9">
      <w:pPr>
        <w:spacing w:after="80"/>
      </w:pPr>
      <w:r>
        <w:rPr>
          <w:b/>
          <w:color w:val="1A237E"/>
          <w:sz w:val="32"/>
        </w:rPr>
        <w:lastRenderedPageBreak/>
        <w:t>3.  Data Filtering &amp; Methodology</w:t>
      </w:r>
    </w:p>
    <w:p w14:paraId="56BDDF41" w14:textId="77777777" w:rsidR="003577A0" w:rsidRDefault="003577A0">
      <w:pPr>
        <w:pBdr>
          <w:bottom w:val="single" w:sz="6" w:space="1" w:color="1A237E"/>
        </w:pBdr>
        <w:spacing w:before="60" w:after="60"/>
      </w:pPr>
    </w:p>
    <w:p w14:paraId="4D2AA0BF" w14:textId="77777777" w:rsidR="003577A0" w:rsidRDefault="000740D9">
      <w:pPr>
        <w:spacing w:before="120" w:after="40"/>
      </w:pPr>
      <w:r>
        <w:rPr>
          <w:color w:val="212121"/>
          <w:sz w:val="21"/>
        </w:rPr>
        <w:t>Not every row in the raw database is suitable for off-chocks delay analysis. The table below shows the exact sequence of filters applied and why each step was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4"/>
        <w:gridCol w:w="2474"/>
        <w:gridCol w:w="2474"/>
        <w:gridCol w:w="2474"/>
      </w:tblGrid>
      <w:tr w:rsidR="003577A0" w14:paraId="35E6806E" w14:textId="77777777" w:rsidTr="00063822">
        <w:trPr>
          <w:trHeight w:val="236"/>
        </w:trPr>
        <w:tc>
          <w:tcPr>
            <w:tcW w:w="2474" w:type="dxa"/>
            <w:shd w:val="clear" w:color="auto" w:fill="1A237E"/>
          </w:tcPr>
          <w:p w14:paraId="77659AF2" w14:textId="77777777" w:rsidR="003577A0" w:rsidRDefault="000740D9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474" w:type="dxa"/>
            <w:shd w:val="clear" w:color="auto" w:fill="1A237E"/>
          </w:tcPr>
          <w:p w14:paraId="0FF634C5" w14:textId="77777777" w:rsidR="003577A0" w:rsidRDefault="000740D9">
            <w:r>
              <w:rPr>
                <w:b/>
                <w:color w:val="FFFFFF"/>
                <w:sz w:val="19"/>
              </w:rPr>
              <w:t>Filter Applied</w:t>
            </w:r>
          </w:p>
        </w:tc>
        <w:tc>
          <w:tcPr>
            <w:tcW w:w="2474" w:type="dxa"/>
            <w:shd w:val="clear" w:color="auto" w:fill="1A237E"/>
          </w:tcPr>
          <w:p w14:paraId="735330F8" w14:textId="77777777" w:rsidR="003577A0" w:rsidRDefault="000740D9">
            <w:r>
              <w:rPr>
                <w:b/>
                <w:color w:val="FFFFFF"/>
                <w:sz w:val="19"/>
              </w:rPr>
              <w:t>Flights Remaining</w:t>
            </w:r>
          </w:p>
        </w:tc>
        <w:tc>
          <w:tcPr>
            <w:tcW w:w="2474" w:type="dxa"/>
            <w:shd w:val="clear" w:color="auto" w:fill="1A237E"/>
          </w:tcPr>
          <w:p w14:paraId="598A9E44" w14:textId="77777777" w:rsidR="003577A0" w:rsidRDefault="000740D9">
            <w:r>
              <w:rPr>
                <w:b/>
                <w:color w:val="FFFFFF"/>
                <w:sz w:val="19"/>
              </w:rPr>
              <w:t>Reason</w:t>
            </w:r>
          </w:p>
        </w:tc>
      </w:tr>
      <w:tr w:rsidR="003577A0" w14:paraId="3C81A1EE" w14:textId="77777777" w:rsidTr="00063822">
        <w:trPr>
          <w:trHeight w:val="472"/>
        </w:trPr>
        <w:tc>
          <w:tcPr>
            <w:tcW w:w="2474" w:type="dxa"/>
          </w:tcPr>
          <w:p w14:paraId="66D9BAC0" w14:textId="77777777" w:rsidR="003577A0" w:rsidRDefault="000740D9">
            <w:r>
              <w:rPr>
                <w:sz w:val="19"/>
              </w:rPr>
              <w:t>0</w:t>
            </w:r>
          </w:p>
        </w:tc>
        <w:tc>
          <w:tcPr>
            <w:tcW w:w="2474" w:type="dxa"/>
          </w:tcPr>
          <w:p w14:paraId="49DE39D5" w14:textId="77777777" w:rsidR="003577A0" w:rsidRDefault="000740D9">
            <w:r>
              <w:rPr>
                <w:sz w:val="19"/>
              </w:rPr>
              <w:t>Raw arrivals (direction = Arrival)</w:t>
            </w:r>
          </w:p>
        </w:tc>
        <w:tc>
          <w:tcPr>
            <w:tcW w:w="2474" w:type="dxa"/>
          </w:tcPr>
          <w:p w14:paraId="6D5D714D" w14:textId="77777777" w:rsidR="003577A0" w:rsidRDefault="000740D9">
            <w:r>
              <w:rPr>
                <w:sz w:val="19"/>
              </w:rPr>
              <w:t>188,504</w:t>
            </w:r>
          </w:p>
        </w:tc>
        <w:tc>
          <w:tcPr>
            <w:tcW w:w="2474" w:type="dxa"/>
          </w:tcPr>
          <w:p w14:paraId="34D07768" w14:textId="77777777" w:rsidR="003577A0" w:rsidRDefault="000740D9">
            <w:r>
              <w:rPr>
                <w:sz w:val="19"/>
              </w:rPr>
              <w:t>Starting point</w:t>
            </w:r>
          </w:p>
        </w:tc>
      </w:tr>
      <w:tr w:rsidR="003577A0" w14:paraId="236F7410" w14:textId="77777777" w:rsidTr="00063822">
        <w:trPr>
          <w:trHeight w:val="710"/>
        </w:trPr>
        <w:tc>
          <w:tcPr>
            <w:tcW w:w="2474" w:type="dxa"/>
            <w:shd w:val="clear" w:color="auto" w:fill="F5F5F5"/>
          </w:tcPr>
          <w:p w14:paraId="542DF66F" w14:textId="77777777" w:rsidR="003577A0" w:rsidRDefault="000740D9">
            <w:r>
              <w:rPr>
                <w:sz w:val="19"/>
              </w:rPr>
              <w:t>1</w:t>
            </w:r>
          </w:p>
        </w:tc>
        <w:tc>
          <w:tcPr>
            <w:tcW w:w="2474" w:type="dxa"/>
            <w:shd w:val="clear" w:color="auto" w:fill="F5F5F5"/>
          </w:tcPr>
          <w:p w14:paraId="0253EB67" w14:textId="77777777" w:rsidR="003577A0" w:rsidRDefault="000740D9">
            <w:r>
              <w:rPr>
                <w:sz w:val="19"/>
              </w:rPr>
              <w:t>Drop rows missing actual arrival, scheduled arrival, or actual off-chocks time</w:t>
            </w:r>
          </w:p>
        </w:tc>
        <w:tc>
          <w:tcPr>
            <w:tcW w:w="2474" w:type="dxa"/>
            <w:shd w:val="clear" w:color="auto" w:fill="F5F5F5"/>
          </w:tcPr>
          <w:p w14:paraId="687A712F" w14:textId="77777777" w:rsidR="003577A0" w:rsidRDefault="000740D9">
            <w:r>
              <w:rPr>
                <w:sz w:val="19"/>
              </w:rPr>
              <w:t>149,900</w:t>
            </w:r>
          </w:p>
        </w:tc>
        <w:tc>
          <w:tcPr>
            <w:tcW w:w="2474" w:type="dxa"/>
            <w:shd w:val="clear" w:color="auto" w:fill="F5F5F5"/>
          </w:tcPr>
          <w:p w14:paraId="3C54FCB5" w14:textId="77777777" w:rsidR="003577A0" w:rsidRDefault="000740D9">
            <w:r>
              <w:rPr>
                <w:sz w:val="19"/>
              </w:rPr>
              <w:t>Cannot compute delay without both timestamps</w:t>
            </w:r>
          </w:p>
        </w:tc>
      </w:tr>
      <w:tr w:rsidR="003577A0" w14:paraId="498D1A9E" w14:textId="77777777" w:rsidTr="00063822">
        <w:trPr>
          <w:trHeight w:val="472"/>
        </w:trPr>
        <w:tc>
          <w:tcPr>
            <w:tcW w:w="2474" w:type="dxa"/>
          </w:tcPr>
          <w:p w14:paraId="05C44828" w14:textId="77777777" w:rsidR="003577A0" w:rsidRDefault="000740D9">
            <w:r>
              <w:rPr>
                <w:sz w:val="19"/>
              </w:rPr>
              <w:t>2</w:t>
            </w:r>
          </w:p>
        </w:tc>
        <w:tc>
          <w:tcPr>
            <w:tcW w:w="2474" w:type="dxa"/>
          </w:tcPr>
          <w:p w14:paraId="5610DECD" w14:textId="77777777" w:rsidR="003577A0" w:rsidRDefault="000740D9">
            <w:r>
              <w:rPr>
                <w:sz w:val="19"/>
              </w:rPr>
              <w:t>Keep SATS-handled carriers only</w:t>
            </w:r>
          </w:p>
        </w:tc>
        <w:tc>
          <w:tcPr>
            <w:tcW w:w="2474" w:type="dxa"/>
          </w:tcPr>
          <w:p w14:paraId="6040481F" w14:textId="77777777" w:rsidR="003577A0" w:rsidRDefault="000740D9">
            <w:r>
              <w:rPr>
                <w:sz w:val="19"/>
              </w:rPr>
              <w:t>135,029</w:t>
            </w:r>
          </w:p>
        </w:tc>
        <w:tc>
          <w:tcPr>
            <w:tcW w:w="2474" w:type="dxa"/>
          </w:tcPr>
          <w:p w14:paraId="1D1BAB73" w14:textId="77777777" w:rsidR="003577A0" w:rsidRDefault="000740D9">
            <w:r>
              <w:rPr>
                <w:sz w:val="19"/>
              </w:rPr>
              <w:t>Report scope is SATS turnarounds only</w:t>
            </w:r>
          </w:p>
        </w:tc>
      </w:tr>
      <w:tr w:rsidR="003577A0" w14:paraId="668102BE" w14:textId="77777777" w:rsidTr="00063822">
        <w:trPr>
          <w:trHeight w:val="710"/>
        </w:trPr>
        <w:tc>
          <w:tcPr>
            <w:tcW w:w="2474" w:type="dxa"/>
            <w:shd w:val="clear" w:color="auto" w:fill="F5F5F5"/>
          </w:tcPr>
          <w:p w14:paraId="4542EFF2" w14:textId="77777777" w:rsidR="003577A0" w:rsidRDefault="000740D9">
            <w:r>
              <w:rPr>
                <w:sz w:val="19"/>
              </w:rPr>
              <w:t>3</w:t>
            </w:r>
          </w:p>
        </w:tc>
        <w:tc>
          <w:tcPr>
            <w:tcW w:w="2474" w:type="dxa"/>
            <w:shd w:val="clear" w:color="auto" w:fill="F5F5F5"/>
          </w:tcPr>
          <w:p w14:paraId="33FBFADF" w14:textId="77777777" w:rsidR="003577A0" w:rsidRDefault="000740D9">
            <w:r>
              <w:rPr>
                <w:sz w:val="19"/>
              </w:rPr>
              <w:t>Outlier filter: inbound −120 to +360 min, off-chocks −60 to +360 min</w:t>
            </w:r>
          </w:p>
        </w:tc>
        <w:tc>
          <w:tcPr>
            <w:tcW w:w="2474" w:type="dxa"/>
            <w:shd w:val="clear" w:color="auto" w:fill="F5F5F5"/>
          </w:tcPr>
          <w:p w14:paraId="64D3FC53" w14:textId="77777777" w:rsidR="003577A0" w:rsidRDefault="000740D9">
            <w:r>
              <w:rPr>
                <w:sz w:val="19"/>
              </w:rPr>
              <w:t>134,395</w:t>
            </w:r>
          </w:p>
        </w:tc>
        <w:tc>
          <w:tcPr>
            <w:tcW w:w="2474" w:type="dxa"/>
            <w:shd w:val="clear" w:color="auto" w:fill="F5F5F5"/>
          </w:tcPr>
          <w:p w14:paraId="3383E8A6" w14:textId="77777777" w:rsidR="003577A0" w:rsidRDefault="000740D9">
            <w:r>
              <w:rPr>
                <w:sz w:val="19"/>
              </w:rPr>
              <w:t>Remove data-entry errors and extreme outliers</w:t>
            </w:r>
          </w:p>
        </w:tc>
      </w:tr>
      <w:tr w:rsidR="003577A0" w14:paraId="0BFC9E67" w14:textId="77777777" w:rsidTr="00063822">
        <w:trPr>
          <w:trHeight w:val="928"/>
        </w:trPr>
        <w:tc>
          <w:tcPr>
            <w:tcW w:w="2474" w:type="dxa"/>
            <w:shd w:val="clear" w:color="auto" w:fill="E8F5E9"/>
          </w:tcPr>
          <w:p w14:paraId="7E531613" w14:textId="77777777" w:rsidR="003577A0" w:rsidRDefault="000740D9">
            <w:r>
              <w:rPr>
                <w:b/>
                <w:sz w:val="19"/>
              </w:rPr>
              <w:t>4</w:t>
            </w:r>
          </w:p>
        </w:tc>
        <w:tc>
          <w:tcPr>
            <w:tcW w:w="2474" w:type="dxa"/>
            <w:shd w:val="clear" w:color="auto" w:fill="E8F5E9"/>
          </w:tcPr>
          <w:p w14:paraId="5482DC0D" w14:textId="77777777" w:rsidR="003577A0" w:rsidRDefault="000740D9">
            <w:r>
              <w:rPr>
                <w:b/>
                <w:sz w:val="19"/>
              </w:rPr>
              <w:t>Exclude Jun &amp; Jul 2025 (&lt; 10 SATS flights each)</w:t>
            </w:r>
          </w:p>
        </w:tc>
        <w:tc>
          <w:tcPr>
            <w:tcW w:w="2474" w:type="dxa"/>
            <w:shd w:val="clear" w:color="auto" w:fill="E8F5E9"/>
          </w:tcPr>
          <w:p w14:paraId="3B40B005" w14:textId="77777777" w:rsidR="003577A0" w:rsidRDefault="000740D9">
            <w:r>
              <w:rPr>
                <w:b/>
                <w:sz w:val="19"/>
              </w:rPr>
              <w:t>125,508 ✓</w:t>
            </w:r>
          </w:p>
        </w:tc>
        <w:tc>
          <w:tcPr>
            <w:tcW w:w="2474" w:type="dxa"/>
            <w:shd w:val="clear" w:color="auto" w:fill="E8F5E9"/>
          </w:tcPr>
          <w:p w14:paraId="3BAD8CBA" w14:textId="77777777" w:rsidR="003577A0" w:rsidRDefault="000740D9">
            <w:r>
              <w:rPr>
                <w:b/>
                <w:sz w:val="19"/>
              </w:rPr>
              <w:t>Too sparse for monthly comparisons — included months have 13,000+ flights each</w:t>
            </w:r>
          </w:p>
        </w:tc>
      </w:tr>
    </w:tbl>
    <w:p w14:paraId="75559F4B" w14:textId="77777777" w:rsidR="003577A0" w:rsidRDefault="003577A0">
      <w:pPr>
        <w:spacing w:before="120" w:after="40"/>
      </w:pPr>
    </w:p>
    <w:p w14:paraId="70CD0431" w14:textId="77777777" w:rsidR="003577A0" w:rsidRDefault="000740D9">
      <w:pPr>
        <w:spacing w:before="40" w:after="40"/>
      </w:pPr>
      <w:r>
        <w:rPr>
          <w:b/>
          <w:color w:val="0D47A1"/>
          <w:sz w:val="21"/>
        </w:rPr>
        <w:t>Final working dataset: 125,508 flights  |  Aug 2025 – Apr 2026  |  9 months</w:t>
      </w:r>
    </w:p>
    <w:p w14:paraId="0426C710" w14:textId="77777777" w:rsidR="003577A0" w:rsidRDefault="000740D9">
      <w:pPr>
        <w:spacing w:before="200" w:after="80"/>
      </w:pPr>
      <w:r>
        <w:rPr>
          <w:b/>
          <w:color w:val="0D47A1"/>
          <w:sz w:val="24"/>
        </w:rPr>
        <w:t>Why Jun &amp; Jul 2025 Were Excluded</w:t>
      </w:r>
    </w:p>
    <w:p w14:paraId="5EAF5CA5" w14:textId="64E47A44" w:rsidR="003577A0" w:rsidRDefault="000740D9">
      <w:pPr>
        <w:spacing w:before="40" w:after="40"/>
      </w:pPr>
      <w:r>
        <w:rPr>
          <w:color w:val="212121"/>
          <w:sz w:val="21"/>
        </w:rPr>
        <w:t xml:space="preserve">Jun 2025 had only 8 SATS-handled flights and Jul 2025 had only 7. </w:t>
      </w:r>
    </w:p>
    <w:p w14:paraId="088209C0" w14:textId="5AE15C5B" w:rsidR="003577A0" w:rsidRDefault="000740D9">
      <w:pPr>
        <w:spacing w:before="40" w:after="40"/>
      </w:pPr>
      <w:r>
        <w:rPr>
          <w:i/>
          <w:color w:val="555555"/>
          <w:sz w:val="20"/>
        </w:rPr>
        <w:t xml:space="preserve">Note: A flight is "on time" if actual off-chocks ≤ scheduled off-chocks (≤ 0 min). An alternative ≤ 4 min threshold   </w:t>
      </w:r>
      <w:proofErr w:type="gramStart"/>
      <w:r>
        <w:rPr>
          <w:i/>
          <w:color w:val="555555"/>
          <w:sz w:val="20"/>
        </w:rPr>
        <w:t xml:space="preserve">   (</w:t>
      </w:r>
      <w:proofErr w:type="gramEnd"/>
      <w:r>
        <w:rPr>
          <w:i/>
          <w:color w:val="555555"/>
          <w:sz w:val="20"/>
        </w:rPr>
        <w:t>SQ operational standard) is also shown in the carrier group section.</w:t>
      </w:r>
    </w:p>
    <w:p w14:paraId="7FBCBC20" w14:textId="77777777" w:rsidR="003577A0" w:rsidRDefault="000740D9">
      <w:r>
        <w:br w:type="page"/>
      </w:r>
    </w:p>
    <w:p w14:paraId="068A0C5E" w14:textId="77777777" w:rsidR="003577A0" w:rsidRDefault="000740D9">
      <w:pPr>
        <w:spacing w:after="80"/>
      </w:pPr>
      <w:r>
        <w:rPr>
          <w:b/>
          <w:color w:val="1A237E"/>
          <w:sz w:val="32"/>
        </w:rPr>
        <w:lastRenderedPageBreak/>
        <w:t>4.  Summary Statistics</w:t>
      </w:r>
    </w:p>
    <w:p w14:paraId="79092579" w14:textId="77777777" w:rsidR="003577A0" w:rsidRDefault="003577A0">
      <w:pPr>
        <w:pBdr>
          <w:bottom w:val="single" w:sz="6" w:space="1" w:color="1A237E"/>
        </w:pBdr>
        <w:spacing w:before="60" w:after="60"/>
      </w:pPr>
    </w:p>
    <w:p w14:paraId="6EEF7D0E" w14:textId="77777777" w:rsidR="003577A0" w:rsidRDefault="000740D9">
      <w:pPr>
        <w:spacing w:before="120" w:after="40"/>
      </w:pPr>
      <w:r>
        <w:rPr>
          <w:color w:val="212121"/>
          <w:sz w:val="21"/>
        </w:rPr>
        <w:t>On-time off-chocks performance broken down by inbound arrival tier. On time = off-chocks delay ≤ 0 min.</w:t>
      </w:r>
    </w:p>
    <w:tbl>
      <w:tblPr>
        <w:tblStyle w:val="TableGrid"/>
        <w:tblW w:w="9996" w:type="dxa"/>
        <w:tblLook w:val="04A0" w:firstRow="1" w:lastRow="0" w:firstColumn="1" w:lastColumn="0" w:noHBand="0" w:noVBand="1"/>
      </w:tblPr>
      <w:tblGrid>
        <w:gridCol w:w="2499"/>
        <w:gridCol w:w="2499"/>
        <w:gridCol w:w="2499"/>
        <w:gridCol w:w="2499"/>
      </w:tblGrid>
      <w:tr w:rsidR="003577A0" w14:paraId="73D2EEA7" w14:textId="77777777" w:rsidTr="00063822">
        <w:trPr>
          <w:trHeight w:val="237"/>
        </w:trPr>
        <w:tc>
          <w:tcPr>
            <w:tcW w:w="2499" w:type="dxa"/>
            <w:shd w:val="clear" w:color="auto" w:fill="0D47A1"/>
          </w:tcPr>
          <w:p w14:paraId="749D63B7" w14:textId="77777777" w:rsidR="003577A0" w:rsidRDefault="000740D9">
            <w:r>
              <w:rPr>
                <w:b/>
                <w:color w:val="FFFFFF"/>
                <w:sz w:val="20"/>
              </w:rPr>
              <w:t>Inbound Arrival Tier</w:t>
            </w:r>
          </w:p>
        </w:tc>
        <w:tc>
          <w:tcPr>
            <w:tcW w:w="2499" w:type="dxa"/>
            <w:shd w:val="clear" w:color="auto" w:fill="0D47A1"/>
          </w:tcPr>
          <w:p w14:paraId="55075765" w14:textId="77777777" w:rsidR="003577A0" w:rsidRDefault="000740D9">
            <w:r>
              <w:rPr>
                <w:b/>
                <w:color w:val="FFFFFF"/>
                <w:sz w:val="20"/>
              </w:rPr>
              <w:t>Flights</w:t>
            </w:r>
          </w:p>
        </w:tc>
        <w:tc>
          <w:tcPr>
            <w:tcW w:w="2499" w:type="dxa"/>
            <w:shd w:val="clear" w:color="auto" w:fill="0D47A1"/>
          </w:tcPr>
          <w:p w14:paraId="15B09789" w14:textId="77777777" w:rsidR="003577A0" w:rsidRDefault="000740D9">
            <w:r>
              <w:rPr>
                <w:b/>
                <w:color w:val="FFFFFF"/>
                <w:sz w:val="20"/>
              </w:rPr>
              <w:t>On-Time Rate</w:t>
            </w:r>
          </w:p>
        </w:tc>
        <w:tc>
          <w:tcPr>
            <w:tcW w:w="2499" w:type="dxa"/>
            <w:shd w:val="clear" w:color="auto" w:fill="0D47A1"/>
          </w:tcPr>
          <w:p w14:paraId="32B20E14" w14:textId="77777777" w:rsidR="003577A0" w:rsidRDefault="000740D9">
            <w:r>
              <w:rPr>
                <w:b/>
                <w:color w:val="FFFFFF"/>
                <w:sz w:val="20"/>
              </w:rPr>
              <w:t>vs. Baseline</w:t>
            </w:r>
          </w:p>
        </w:tc>
      </w:tr>
      <w:tr w:rsidR="003577A0" w14:paraId="1A75FD75" w14:textId="77777777" w:rsidTr="00063822">
        <w:trPr>
          <w:trHeight w:val="510"/>
        </w:trPr>
        <w:tc>
          <w:tcPr>
            <w:tcW w:w="2499" w:type="dxa"/>
          </w:tcPr>
          <w:p w14:paraId="7E1A7141" w14:textId="77777777" w:rsidR="003577A0" w:rsidRDefault="000740D9">
            <w:r>
              <w:rPr>
                <w:sz w:val="20"/>
              </w:rPr>
              <w:t>1 — Early / On-time  (≤ 0 min)</w:t>
            </w:r>
          </w:p>
        </w:tc>
        <w:tc>
          <w:tcPr>
            <w:tcW w:w="2499" w:type="dxa"/>
          </w:tcPr>
          <w:p w14:paraId="5777BCBA" w14:textId="77777777" w:rsidR="003577A0" w:rsidRDefault="000740D9">
            <w:r>
              <w:rPr>
                <w:sz w:val="20"/>
              </w:rPr>
              <w:t>~61,500</w:t>
            </w:r>
          </w:p>
        </w:tc>
        <w:tc>
          <w:tcPr>
            <w:tcW w:w="2499" w:type="dxa"/>
          </w:tcPr>
          <w:p w14:paraId="27901DFD" w14:textId="77777777" w:rsidR="003577A0" w:rsidRDefault="000740D9">
            <w:r>
              <w:rPr>
                <w:sz w:val="20"/>
              </w:rPr>
              <w:t>46.1%</w:t>
            </w:r>
          </w:p>
        </w:tc>
        <w:tc>
          <w:tcPr>
            <w:tcW w:w="2499" w:type="dxa"/>
          </w:tcPr>
          <w:p w14:paraId="5EDB3465" w14:textId="77777777" w:rsidR="003577A0" w:rsidRDefault="000740D9">
            <w:r>
              <w:rPr>
                <w:sz w:val="20"/>
              </w:rPr>
              <w:t>Baseline</w:t>
            </w:r>
          </w:p>
        </w:tc>
      </w:tr>
      <w:tr w:rsidR="003577A0" w14:paraId="3C0194CC" w14:textId="77777777" w:rsidTr="00063822">
        <w:trPr>
          <w:trHeight w:val="492"/>
        </w:trPr>
        <w:tc>
          <w:tcPr>
            <w:tcW w:w="2499" w:type="dxa"/>
            <w:shd w:val="clear" w:color="auto" w:fill="E3F2FD"/>
          </w:tcPr>
          <w:p w14:paraId="3B892129" w14:textId="77777777" w:rsidR="003577A0" w:rsidRDefault="000740D9">
            <w:r>
              <w:rPr>
                <w:sz w:val="20"/>
              </w:rPr>
              <w:t>2 — Slight delay  (0–4 min)</w:t>
            </w:r>
          </w:p>
        </w:tc>
        <w:tc>
          <w:tcPr>
            <w:tcW w:w="2499" w:type="dxa"/>
            <w:shd w:val="clear" w:color="auto" w:fill="E3F2FD"/>
          </w:tcPr>
          <w:p w14:paraId="16C9E974" w14:textId="77777777" w:rsidR="003577A0" w:rsidRDefault="000740D9">
            <w:r>
              <w:rPr>
                <w:sz w:val="20"/>
              </w:rPr>
              <w:t>~21,500</w:t>
            </w:r>
          </w:p>
        </w:tc>
        <w:tc>
          <w:tcPr>
            <w:tcW w:w="2499" w:type="dxa"/>
            <w:shd w:val="clear" w:color="auto" w:fill="E3F2FD"/>
          </w:tcPr>
          <w:p w14:paraId="5B0DCC86" w14:textId="77777777" w:rsidR="003577A0" w:rsidRDefault="000740D9">
            <w:r>
              <w:rPr>
                <w:sz w:val="20"/>
              </w:rPr>
              <w:t>~39%</w:t>
            </w:r>
          </w:p>
        </w:tc>
        <w:tc>
          <w:tcPr>
            <w:tcW w:w="2499" w:type="dxa"/>
            <w:shd w:val="clear" w:color="auto" w:fill="E3F2FD"/>
          </w:tcPr>
          <w:p w14:paraId="3B6C1229" w14:textId="77777777" w:rsidR="003577A0" w:rsidRDefault="000740D9">
            <w:r>
              <w:rPr>
                <w:b/>
                <w:color w:val="C62828"/>
                <w:sz w:val="20"/>
              </w:rPr>
              <w:t>−7 pp</w:t>
            </w:r>
          </w:p>
        </w:tc>
      </w:tr>
      <w:tr w:rsidR="003577A0" w14:paraId="3F49AEFD" w14:textId="77777777" w:rsidTr="00063822">
        <w:trPr>
          <w:trHeight w:val="492"/>
        </w:trPr>
        <w:tc>
          <w:tcPr>
            <w:tcW w:w="2499" w:type="dxa"/>
          </w:tcPr>
          <w:p w14:paraId="23B63126" w14:textId="77777777" w:rsidR="003577A0" w:rsidRDefault="000740D9">
            <w:r>
              <w:rPr>
                <w:sz w:val="20"/>
              </w:rPr>
              <w:t>3 — Moderate delay  (4–15 min)</w:t>
            </w:r>
          </w:p>
        </w:tc>
        <w:tc>
          <w:tcPr>
            <w:tcW w:w="2499" w:type="dxa"/>
          </w:tcPr>
          <w:p w14:paraId="1F884CE2" w14:textId="77777777" w:rsidR="003577A0" w:rsidRDefault="000740D9">
            <w:r>
              <w:rPr>
                <w:sz w:val="20"/>
              </w:rPr>
              <w:t>~21,000</w:t>
            </w:r>
          </w:p>
        </w:tc>
        <w:tc>
          <w:tcPr>
            <w:tcW w:w="2499" w:type="dxa"/>
          </w:tcPr>
          <w:p w14:paraId="4AFA37EB" w14:textId="77777777" w:rsidR="003577A0" w:rsidRDefault="000740D9">
            <w:r>
              <w:rPr>
                <w:sz w:val="20"/>
              </w:rPr>
              <w:t>~31%</w:t>
            </w:r>
          </w:p>
        </w:tc>
        <w:tc>
          <w:tcPr>
            <w:tcW w:w="2499" w:type="dxa"/>
          </w:tcPr>
          <w:p w14:paraId="7C400696" w14:textId="77777777" w:rsidR="003577A0" w:rsidRDefault="000740D9">
            <w:r>
              <w:rPr>
                <w:b/>
                <w:color w:val="C62828"/>
                <w:sz w:val="20"/>
              </w:rPr>
              <w:t>−15 pp</w:t>
            </w:r>
          </w:p>
        </w:tc>
      </w:tr>
      <w:tr w:rsidR="003577A0" w14:paraId="2F9D852D" w14:textId="77777777" w:rsidTr="00063822">
        <w:trPr>
          <w:trHeight w:val="255"/>
        </w:trPr>
        <w:tc>
          <w:tcPr>
            <w:tcW w:w="2499" w:type="dxa"/>
            <w:shd w:val="clear" w:color="auto" w:fill="E3F2FD"/>
          </w:tcPr>
          <w:p w14:paraId="08CAFB8D" w14:textId="77777777" w:rsidR="003577A0" w:rsidRDefault="000740D9">
            <w:r>
              <w:rPr>
                <w:sz w:val="20"/>
              </w:rPr>
              <w:t>4 — Late  (&gt; 15 min)</w:t>
            </w:r>
          </w:p>
        </w:tc>
        <w:tc>
          <w:tcPr>
            <w:tcW w:w="2499" w:type="dxa"/>
            <w:shd w:val="clear" w:color="auto" w:fill="E3F2FD"/>
          </w:tcPr>
          <w:p w14:paraId="6E210951" w14:textId="77777777" w:rsidR="003577A0" w:rsidRDefault="000740D9">
            <w:r>
              <w:rPr>
                <w:sz w:val="20"/>
              </w:rPr>
              <w:t>~30,500</w:t>
            </w:r>
          </w:p>
        </w:tc>
        <w:tc>
          <w:tcPr>
            <w:tcW w:w="2499" w:type="dxa"/>
            <w:shd w:val="clear" w:color="auto" w:fill="E3F2FD"/>
          </w:tcPr>
          <w:p w14:paraId="046F5201" w14:textId="77777777" w:rsidR="003577A0" w:rsidRDefault="000740D9">
            <w:r>
              <w:rPr>
                <w:sz w:val="20"/>
              </w:rPr>
              <w:t>16.4%</w:t>
            </w:r>
          </w:p>
        </w:tc>
        <w:tc>
          <w:tcPr>
            <w:tcW w:w="2499" w:type="dxa"/>
            <w:shd w:val="clear" w:color="auto" w:fill="E3F2FD"/>
          </w:tcPr>
          <w:p w14:paraId="3DA9A14B" w14:textId="77777777" w:rsidR="003577A0" w:rsidRDefault="000740D9">
            <w:r>
              <w:rPr>
                <w:b/>
                <w:color w:val="C62828"/>
                <w:sz w:val="20"/>
              </w:rPr>
              <w:t>−29.8 pp</w:t>
            </w:r>
          </w:p>
        </w:tc>
      </w:tr>
      <w:tr w:rsidR="003577A0" w14:paraId="207432FE" w14:textId="77777777" w:rsidTr="00063822">
        <w:trPr>
          <w:trHeight w:val="237"/>
        </w:trPr>
        <w:tc>
          <w:tcPr>
            <w:tcW w:w="2499" w:type="dxa"/>
            <w:shd w:val="clear" w:color="auto" w:fill="FFF3E0"/>
          </w:tcPr>
          <w:p w14:paraId="490ADB66" w14:textId="77777777" w:rsidR="003577A0" w:rsidRDefault="000740D9">
            <w:r>
              <w:rPr>
                <w:b/>
                <w:sz w:val="20"/>
              </w:rPr>
              <w:t>All SATS (Overall)</w:t>
            </w:r>
          </w:p>
        </w:tc>
        <w:tc>
          <w:tcPr>
            <w:tcW w:w="2499" w:type="dxa"/>
            <w:shd w:val="clear" w:color="auto" w:fill="FFF3E0"/>
          </w:tcPr>
          <w:p w14:paraId="408FBFE8" w14:textId="77777777" w:rsidR="003577A0" w:rsidRDefault="000740D9">
            <w:r>
              <w:rPr>
                <w:b/>
                <w:sz w:val="20"/>
              </w:rPr>
              <w:t>125,508</w:t>
            </w:r>
          </w:p>
        </w:tc>
        <w:tc>
          <w:tcPr>
            <w:tcW w:w="2499" w:type="dxa"/>
            <w:shd w:val="clear" w:color="auto" w:fill="FFF3E0"/>
          </w:tcPr>
          <w:p w14:paraId="65C1F7AD" w14:textId="77777777" w:rsidR="003577A0" w:rsidRDefault="000740D9">
            <w:r>
              <w:rPr>
                <w:b/>
                <w:sz w:val="20"/>
              </w:rPr>
              <w:t>35.7%</w:t>
            </w:r>
          </w:p>
        </w:tc>
        <w:tc>
          <w:tcPr>
            <w:tcW w:w="2499" w:type="dxa"/>
            <w:shd w:val="clear" w:color="auto" w:fill="FFF3E0"/>
          </w:tcPr>
          <w:p w14:paraId="5D47A43A" w14:textId="77777777" w:rsidR="003577A0" w:rsidRDefault="000740D9">
            <w:r>
              <w:rPr>
                <w:b/>
                <w:sz w:val="20"/>
              </w:rPr>
              <w:t>—</w:t>
            </w:r>
          </w:p>
        </w:tc>
      </w:tr>
    </w:tbl>
    <w:p w14:paraId="24D4FFA9" w14:textId="77777777" w:rsidR="003577A0" w:rsidRDefault="000740D9">
      <w:r>
        <w:br w:type="page"/>
      </w:r>
    </w:p>
    <w:p w14:paraId="1A60B184" w14:textId="77777777" w:rsidR="003577A0" w:rsidRDefault="000740D9">
      <w:pPr>
        <w:spacing w:after="80"/>
      </w:pPr>
      <w:r>
        <w:rPr>
          <w:b/>
          <w:color w:val="1A237E"/>
          <w:sz w:val="32"/>
        </w:rPr>
        <w:lastRenderedPageBreak/>
        <w:t>5.  Analysis Charts</w:t>
      </w:r>
    </w:p>
    <w:p w14:paraId="0A86D47F" w14:textId="77777777" w:rsidR="003577A0" w:rsidRDefault="003577A0">
      <w:pPr>
        <w:pBdr>
          <w:bottom w:val="single" w:sz="6" w:space="1" w:color="1A237E"/>
        </w:pBdr>
        <w:spacing w:before="60" w:after="60"/>
      </w:pPr>
    </w:p>
    <w:p w14:paraId="7192C0CF" w14:textId="77777777" w:rsidR="003577A0" w:rsidRDefault="000740D9">
      <w:pPr>
        <w:spacing w:before="240" w:after="80"/>
      </w:pPr>
      <w:r>
        <w:rPr>
          <w:b/>
          <w:color w:val="0D47A1"/>
          <w:sz w:val="24"/>
        </w:rPr>
        <w:t>5.1  On-Time Off Chocks Rate by Inbound Arrival Tier</w:t>
      </w:r>
    </w:p>
    <w:p w14:paraId="25FBB9A4" w14:textId="77777777" w:rsidR="003577A0" w:rsidRDefault="000740D9">
      <w:pPr>
        <w:shd w:val="clear" w:color="auto" w:fill="1565C0"/>
        <w:spacing w:before="160" w:after="20"/>
      </w:pPr>
      <w:r>
        <w:rPr>
          <w:b/>
          <w:color w:val="FFFFFF"/>
          <w:sz w:val="21"/>
        </w:rPr>
        <w:t xml:space="preserve">  Chart 3 — On-Time Rate by Arrival Tier (Dual-Axis)  </w:t>
      </w:r>
    </w:p>
    <w:p w14:paraId="450D8665" w14:textId="77777777" w:rsidR="003577A0" w:rsidRDefault="000740D9">
      <w:pPr>
        <w:spacing w:before="40" w:after="20"/>
      </w:pPr>
      <w:r>
        <w:rPr>
          <w:b/>
          <w:color w:val="1565C0"/>
          <w:sz w:val="20"/>
        </w:rPr>
        <w:t>How to read:  Stacked bars (left axis) show total flight count per tier, coloured by departure outcome. Three lines (right axis) show the overall on-time rate (blue), −1 Std Dev lower bound (green dashed), and +1 Std Dev upper bound (red dashed). The shaded band is the ±1 standard deviation range of monthly on-time rates per tier.</w:t>
      </w:r>
    </w:p>
    <w:p w14:paraId="32E9A4E9" w14:textId="77777777" w:rsidR="003577A0" w:rsidRDefault="000740D9">
      <w:pPr>
        <w:spacing w:before="20" w:after="120"/>
      </w:pPr>
      <w:r>
        <w:rPr>
          <w:b/>
          <w:color w:val="FF6F00"/>
          <w:sz w:val="20"/>
        </w:rPr>
        <w:t>What this tells us:  Clear downward progression: on-time rate falls from 46.1% (early arrivals) to 16.4% (&gt;15 min late). The ±1 Std Dev band confirms this is not driven by one bad month — it is a consistent structural pattern across all 9 months.</w:t>
      </w:r>
    </w:p>
    <w:p w14:paraId="48685EC7" w14:textId="77777777" w:rsidR="003577A0" w:rsidRDefault="000740D9">
      <w:pPr>
        <w:spacing w:before="120" w:after="80"/>
        <w:jc w:val="center"/>
      </w:pPr>
      <w:r>
        <w:rPr>
          <w:noProof/>
        </w:rPr>
        <w:drawing>
          <wp:inline distT="0" distB="0" distL="0" distR="0" wp14:anchorId="1FB83DEB" wp14:editId="7A2C1AE3">
            <wp:extent cx="5760720" cy="3042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_ontime_ti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D3DA" w14:textId="77777777" w:rsidR="003577A0" w:rsidRDefault="000740D9">
      <w:pPr>
        <w:spacing w:before="20"/>
        <w:jc w:val="center"/>
      </w:pPr>
      <w:r>
        <w:rPr>
          <w:i/>
          <w:color w:val="555555"/>
          <w:sz w:val="18"/>
        </w:rPr>
        <w:t>Figure 3 — On-Time Off Chocks Rate by Inbound Arrival Tier</w:t>
      </w:r>
    </w:p>
    <w:p w14:paraId="58B4510C" w14:textId="77777777" w:rsidR="003577A0" w:rsidRDefault="000740D9">
      <w:pPr>
        <w:spacing w:before="240" w:after="80"/>
      </w:pPr>
      <w:r>
        <w:rPr>
          <w:b/>
          <w:color w:val="0D47A1"/>
          <w:sz w:val="24"/>
        </w:rPr>
        <w:t>5.2  Average Off Chocks Delay by Arrival Tier</w:t>
      </w:r>
    </w:p>
    <w:p w14:paraId="1896270F" w14:textId="77777777" w:rsidR="003577A0" w:rsidRDefault="000740D9">
      <w:pPr>
        <w:shd w:val="clear" w:color="auto" w:fill="1565C0"/>
        <w:spacing w:before="160" w:after="20"/>
      </w:pPr>
      <w:r>
        <w:rPr>
          <w:b/>
          <w:color w:val="FFFFFF"/>
          <w:sz w:val="21"/>
        </w:rPr>
        <w:t xml:space="preserve">  Chart 4 — Avg Delay Minutes by Arrival Tier (Dual-Axis)  </w:t>
      </w:r>
    </w:p>
    <w:p w14:paraId="53651AED" w14:textId="1258988F" w:rsidR="003577A0" w:rsidRDefault="000740D9">
      <w:pPr>
        <w:spacing w:before="40" w:after="20"/>
      </w:pPr>
      <w:r>
        <w:rPr>
          <w:b/>
          <w:color w:val="1565C0"/>
          <w:sz w:val="20"/>
        </w:rPr>
        <w:t>How to read:  Same bar structure as Chart 3. Lines show average delay in minutes (orange = mean, green dashed = −1 Std Dev, red dashed = +1 Std Dev). The shaded band is the ±1 standard deviation range of delays within each arrival tier.</w:t>
      </w:r>
    </w:p>
    <w:p w14:paraId="68C6E3F1" w14:textId="77777777" w:rsidR="003577A0" w:rsidRDefault="000740D9">
      <w:pPr>
        <w:spacing w:before="20" w:after="120"/>
      </w:pPr>
      <w:r>
        <w:rPr>
          <w:b/>
          <w:color w:val="FF6F00"/>
          <w:sz w:val="20"/>
        </w:rPr>
        <w:t xml:space="preserve">What this tells us:  </w:t>
      </w:r>
      <w:r>
        <w:rPr>
          <w:color w:val="212121"/>
          <w:sz w:val="20"/>
        </w:rPr>
        <w:t>Average off-chocks delay increases with each arrival tier. Even when aircraft arrive early (Tier 1), they still push back ~5 min late on average — confirming baseline ground process delay exists independent of inbound pressure. For Tier 4, the average 47-min inbound delay is partially compressed to ~30 min off-chocks delay.</w:t>
      </w:r>
    </w:p>
    <w:p w14:paraId="31237955" w14:textId="77777777" w:rsidR="003577A0" w:rsidRDefault="000740D9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910715A" wp14:editId="56D938F9">
            <wp:extent cx="5760720" cy="3043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avg_de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711F" w14:textId="77777777" w:rsidR="003577A0" w:rsidRDefault="000740D9">
      <w:pPr>
        <w:spacing w:before="20"/>
        <w:jc w:val="center"/>
      </w:pPr>
      <w:r>
        <w:rPr>
          <w:i/>
          <w:color w:val="555555"/>
          <w:sz w:val="18"/>
        </w:rPr>
        <w:t>Figure 4 — Avg Off Chocks Delay Minutes by Inbound Arrival Tier</w:t>
      </w:r>
    </w:p>
    <w:p w14:paraId="47EA716D" w14:textId="77777777" w:rsidR="003577A0" w:rsidRDefault="000740D9">
      <w:r>
        <w:br w:type="page"/>
      </w:r>
    </w:p>
    <w:p w14:paraId="080E4129" w14:textId="77777777" w:rsidR="003577A0" w:rsidRDefault="000740D9">
      <w:pPr>
        <w:spacing w:before="240" w:after="80"/>
      </w:pPr>
      <w:r>
        <w:rPr>
          <w:b/>
          <w:color w:val="0D47A1"/>
          <w:sz w:val="24"/>
        </w:rPr>
        <w:lastRenderedPageBreak/>
        <w:t>5.3  Monthly Off Chocks Delay — Box Plot</w:t>
      </w:r>
    </w:p>
    <w:p w14:paraId="25E67E37" w14:textId="77777777" w:rsidR="003577A0" w:rsidRDefault="000740D9">
      <w:pPr>
        <w:shd w:val="clear" w:color="auto" w:fill="1565C0"/>
        <w:spacing w:before="160" w:after="20"/>
      </w:pPr>
      <w:r>
        <w:rPr>
          <w:b/>
          <w:color w:val="FFFFFF"/>
          <w:sz w:val="21"/>
        </w:rPr>
        <w:t xml:space="preserve">  Chart 5 — Monthly Box Plot (All SATS Airlines)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577A0" w14:paraId="55D9B662" w14:textId="77777777">
        <w:tc>
          <w:tcPr>
            <w:tcW w:w="4873" w:type="dxa"/>
            <w:shd w:val="clear" w:color="auto" w:fill="1565C0"/>
          </w:tcPr>
          <w:p w14:paraId="1684BFED" w14:textId="77777777" w:rsidR="003577A0" w:rsidRDefault="000740D9"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w="4873" w:type="dxa"/>
            <w:shd w:val="clear" w:color="auto" w:fill="1565C0"/>
          </w:tcPr>
          <w:p w14:paraId="7DC3A68F" w14:textId="77777777" w:rsidR="003577A0" w:rsidRDefault="000740D9"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3577A0" w14:paraId="089D40C1" w14:textId="77777777">
        <w:tc>
          <w:tcPr>
            <w:tcW w:w="4873" w:type="dxa"/>
          </w:tcPr>
          <w:p w14:paraId="1C369FCD" w14:textId="77777777" w:rsidR="003577A0" w:rsidRDefault="000740D9">
            <w:r>
              <w:rPr>
                <w:sz w:val="19"/>
              </w:rPr>
              <w:t>Box (shaded area)</w:t>
            </w:r>
          </w:p>
        </w:tc>
        <w:tc>
          <w:tcPr>
            <w:tcW w:w="4873" w:type="dxa"/>
          </w:tcPr>
          <w:p w14:paraId="769D38E9" w14:textId="77777777" w:rsidR="003577A0" w:rsidRDefault="000740D9">
            <w:r>
              <w:rPr>
                <w:sz w:val="19"/>
              </w:rPr>
              <w:t>Middle 50% of flights (25th to 75th percentile)</w:t>
            </w:r>
          </w:p>
        </w:tc>
      </w:tr>
      <w:tr w:rsidR="003577A0" w14:paraId="3441B60D" w14:textId="77777777">
        <w:tc>
          <w:tcPr>
            <w:tcW w:w="4873" w:type="dxa"/>
            <w:shd w:val="clear" w:color="auto" w:fill="F5F5F5"/>
          </w:tcPr>
          <w:p w14:paraId="13C9D434" w14:textId="77777777" w:rsidR="003577A0" w:rsidRDefault="000740D9">
            <w:r>
              <w:rPr>
                <w:sz w:val="19"/>
              </w:rPr>
              <w:t>Orange line inside box</w:t>
            </w:r>
          </w:p>
        </w:tc>
        <w:tc>
          <w:tcPr>
            <w:tcW w:w="4873" w:type="dxa"/>
            <w:shd w:val="clear" w:color="auto" w:fill="F5F5F5"/>
          </w:tcPr>
          <w:p w14:paraId="40DE892F" w14:textId="77777777" w:rsidR="003577A0" w:rsidRDefault="000740D9">
            <w:r>
              <w:rPr>
                <w:sz w:val="19"/>
              </w:rPr>
              <w:t>Median — half of flights above, half below</w:t>
            </w:r>
          </w:p>
        </w:tc>
      </w:tr>
      <w:tr w:rsidR="003577A0" w14:paraId="425D1E05" w14:textId="77777777">
        <w:tc>
          <w:tcPr>
            <w:tcW w:w="4873" w:type="dxa"/>
          </w:tcPr>
          <w:p w14:paraId="57F1F2BA" w14:textId="77777777" w:rsidR="003577A0" w:rsidRDefault="000740D9">
            <w:r>
              <w:rPr>
                <w:sz w:val="19"/>
              </w:rPr>
              <w:t>μ = X label</w:t>
            </w:r>
          </w:p>
        </w:tc>
        <w:tc>
          <w:tcPr>
            <w:tcW w:w="4873" w:type="dxa"/>
          </w:tcPr>
          <w:p w14:paraId="77F9B9E2" w14:textId="77777777" w:rsidR="003577A0" w:rsidRDefault="000740D9">
            <w:r>
              <w:rPr>
                <w:sz w:val="19"/>
              </w:rPr>
              <w:t>Mean — pulled higher than median by a tail of very late flights</w:t>
            </w:r>
          </w:p>
        </w:tc>
      </w:tr>
      <w:tr w:rsidR="003577A0" w14:paraId="41FE591F" w14:textId="77777777">
        <w:tc>
          <w:tcPr>
            <w:tcW w:w="4873" w:type="dxa"/>
            <w:shd w:val="clear" w:color="auto" w:fill="F5F5F5"/>
          </w:tcPr>
          <w:p w14:paraId="09557685" w14:textId="77777777" w:rsidR="003577A0" w:rsidRDefault="000740D9">
            <w:r>
              <w:rPr>
                <w:sz w:val="19"/>
              </w:rPr>
              <w:t>Dashed whiskers</w:t>
            </w:r>
          </w:p>
        </w:tc>
        <w:tc>
          <w:tcPr>
            <w:tcW w:w="4873" w:type="dxa"/>
            <w:shd w:val="clear" w:color="auto" w:fill="F5F5F5"/>
          </w:tcPr>
          <w:p w14:paraId="2EB0717B" w14:textId="77777777" w:rsidR="003577A0" w:rsidRDefault="000740D9">
            <w:r>
              <w:rPr>
                <w:sz w:val="19"/>
              </w:rPr>
              <w:t>Normal range: 1.5× the IQR beyond the box edges</w:t>
            </w:r>
          </w:p>
        </w:tc>
      </w:tr>
      <w:tr w:rsidR="003577A0" w14:paraId="36B6A0F3" w14:textId="77777777">
        <w:tc>
          <w:tcPr>
            <w:tcW w:w="4873" w:type="dxa"/>
          </w:tcPr>
          <w:p w14:paraId="55ADC125" w14:textId="77777777" w:rsidR="003577A0" w:rsidRDefault="000740D9">
            <w:r>
              <w:rPr>
                <w:sz w:val="19"/>
              </w:rPr>
              <w:t>Faint dots</w:t>
            </w:r>
          </w:p>
        </w:tc>
        <w:tc>
          <w:tcPr>
            <w:tcW w:w="4873" w:type="dxa"/>
          </w:tcPr>
          <w:p w14:paraId="05D77BD7" w14:textId="77777777" w:rsidR="003577A0" w:rsidRDefault="000740D9">
            <w:r>
              <w:rPr>
                <w:sz w:val="19"/>
              </w:rPr>
              <w:t>Outliers — individually very early or very late flights</w:t>
            </w:r>
          </w:p>
        </w:tc>
      </w:tr>
    </w:tbl>
    <w:p w14:paraId="17496CD0" w14:textId="77777777" w:rsidR="003577A0" w:rsidRDefault="000740D9">
      <w:pPr>
        <w:spacing w:before="40" w:after="20"/>
      </w:pPr>
      <w:r>
        <w:rPr>
          <w:b/>
          <w:color w:val="1565C0"/>
          <w:sz w:val="20"/>
        </w:rPr>
        <w:t xml:space="preserve">How to read:  </w:t>
      </w:r>
      <w:r>
        <w:rPr>
          <w:color w:val="212121"/>
          <w:sz w:val="20"/>
        </w:rPr>
        <w:t>Each box = one calendar month. Vertical axis = off-chocks delay in minutes. Negative value means the aircraft pushed back early. Wide box = high variability that month.</w:t>
      </w:r>
    </w:p>
    <w:p w14:paraId="76E01591" w14:textId="77777777" w:rsidR="003577A0" w:rsidRDefault="000740D9">
      <w:pPr>
        <w:spacing w:before="20" w:after="120"/>
      </w:pPr>
      <w:r>
        <w:rPr>
          <w:b/>
          <w:color w:val="FF6F00"/>
          <w:sz w:val="20"/>
        </w:rPr>
        <w:t xml:space="preserve">What this tells us:  </w:t>
      </w:r>
      <w:r>
        <w:rPr>
          <w:color w:val="212121"/>
          <w:sz w:val="20"/>
        </w:rPr>
        <w:t>The median is positive every month — flights consistently push back late. The mean (μ) sits above the median in every month, confirming a tail of very late departures. No single month is dramatically worse, confirming the delay pattern is structural.</w:t>
      </w:r>
    </w:p>
    <w:p w14:paraId="0DA849C0" w14:textId="77777777" w:rsidR="003577A0" w:rsidRDefault="000740D9">
      <w:pPr>
        <w:spacing w:before="120" w:after="80"/>
        <w:jc w:val="center"/>
      </w:pPr>
      <w:r>
        <w:rPr>
          <w:noProof/>
        </w:rPr>
        <w:drawing>
          <wp:inline distT="0" distB="0" distL="0" distR="0" wp14:anchorId="666B99E5" wp14:editId="3C869701">
            <wp:extent cx="5760676" cy="2341432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4855" cy="235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F7C9" w14:textId="77777777" w:rsidR="003577A0" w:rsidRDefault="000740D9">
      <w:pPr>
        <w:spacing w:before="20"/>
        <w:jc w:val="center"/>
      </w:pPr>
      <w:r>
        <w:rPr>
          <w:i/>
          <w:color w:val="555555"/>
          <w:sz w:val="18"/>
        </w:rPr>
        <w:t>Figure 5 — Monthly Off Chocks Delay Distribution: Box Plot (All SATS)</w:t>
      </w:r>
    </w:p>
    <w:p w14:paraId="0E2B93DE" w14:textId="77777777" w:rsidR="003577A0" w:rsidRDefault="000740D9">
      <w:pPr>
        <w:spacing w:before="240" w:after="80"/>
      </w:pPr>
      <w:r>
        <w:rPr>
          <w:b/>
          <w:color w:val="0D47A1"/>
          <w:sz w:val="24"/>
        </w:rPr>
        <w:t>5.4  Inbound Arrival Delay — Monthly Trend</w:t>
      </w:r>
    </w:p>
    <w:p w14:paraId="38D467D1" w14:textId="77777777" w:rsidR="003577A0" w:rsidRDefault="000740D9">
      <w:pPr>
        <w:shd w:val="clear" w:color="auto" w:fill="2E7D32"/>
        <w:spacing w:before="160" w:after="20"/>
      </w:pPr>
      <w:r>
        <w:rPr>
          <w:b/>
          <w:color w:val="FFFFFF"/>
          <w:sz w:val="21"/>
        </w:rPr>
        <w:t xml:space="preserve">  Chart 6 — Inbound Arrival Delay by Month (Q1 / Mean / Q3)  </w:t>
      </w:r>
    </w:p>
    <w:p w14:paraId="479F914B" w14:textId="77777777" w:rsidR="003577A0" w:rsidRDefault="000740D9">
      <w:pPr>
        <w:spacing w:before="40" w:after="20"/>
      </w:pPr>
      <w:r>
        <w:rPr>
          <w:b/>
          <w:color w:val="1565C0"/>
          <w:sz w:val="20"/>
        </w:rPr>
        <w:t xml:space="preserve">How to read:  </w:t>
      </w:r>
      <w:r>
        <w:rPr>
          <w:color w:val="212121"/>
          <w:sz w:val="20"/>
        </w:rPr>
        <w:t>Three lines track Q1 (green dashed), mean (orange), and Q3 (red dashed) of inbound arrival delay each month. Shaded band = IQR. Green boxes at top show monthly flight count (n=).</w:t>
      </w:r>
    </w:p>
    <w:p w14:paraId="4F95D851" w14:textId="77777777" w:rsidR="003577A0" w:rsidRDefault="000740D9">
      <w:pPr>
        <w:spacing w:before="20" w:after="120"/>
      </w:pPr>
      <w:r>
        <w:rPr>
          <w:b/>
          <w:color w:val="FF6F00"/>
          <w:sz w:val="20"/>
        </w:rPr>
        <w:t xml:space="preserve">What this tells us:  </w:t>
      </w:r>
      <w:r>
        <w:rPr>
          <w:color w:val="212121"/>
          <w:sz w:val="20"/>
        </w:rPr>
        <w:t>The mean inbound delay is positive every month — the average aircraft arrives late. The Q3 line consistently sits well above Q1, confirming a persistent tail of significantly late inbound flights every month. This upstream delay, outside SATS control, is the primary driver of off-chocks delay throughout the period.</w:t>
      </w:r>
    </w:p>
    <w:p w14:paraId="42986EBF" w14:textId="77777777" w:rsidR="003577A0" w:rsidRDefault="000740D9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2C8421C" wp14:editId="10433163">
            <wp:extent cx="6443498" cy="27862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_arr_p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9922" cy="279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6EA0" w14:textId="77777777" w:rsidR="003577A0" w:rsidRDefault="000740D9">
      <w:pPr>
        <w:spacing w:before="20"/>
        <w:jc w:val="center"/>
      </w:pPr>
      <w:r>
        <w:rPr>
          <w:i/>
          <w:color w:val="555555"/>
          <w:sz w:val="18"/>
        </w:rPr>
        <w:t>Figure 6 — Inbound Arrival Delay by Month (25th / Mean / 75th Percentile)</w:t>
      </w:r>
    </w:p>
    <w:p w14:paraId="05E9D6C8" w14:textId="77777777" w:rsidR="003577A0" w:rsidRDefault="000740D9">
      <w:r>
        <w:br w:type="page"/>
      </w:r>
    </w:p>
    <w:p w14:paraId="76E16449" w14:textId="77777777" w:rsidR="003577A0" w:rsidRDefault="000740D9">
      <w:pPr>
        <w:spacing w:before="240" w:after="80"/>
      </w:pPr>
      <w:r>
        <w:rPr>
          <w:b/>
          <w:color w:val="0D47A1"/>
          <w:sz w:val="24"/>
        </w:rPr>
        <w:lastRenderedPageBreak/>
        <w:t>5.5  Off Chocks Delay — Monthly Trend</w:t>
      </w:r>
    </w:p>
    <w:p w14:paraId="3FD1361C" w14:textId="77777777" w:rsidR="003577A0" w:rsidRDefault="000740D9">
      <w:pPr>
        <w:shd w:val="clear" w:color="auto" w:fill="1565C0"/>
        <w:spacing w:before="160" w:after="20"/>
      </w:pPr>
      <w:r>
        <w:rPr>
          <w:b/>
          <w:color w:val="FFFFFF"/>
          <w:sz w:val="21"/>
        </w:rPr>
        <w:t xml:space="preserve">  Chart 7 — Off Chocks Delay by Month (Q1 / Mean / Q3)  </w:t>
      </w:r>
    </w:p>
    <w:p w14:paraId="5815B819" w14:textId="77777777" w:rsidR="003577A0" w:rsidRDefault="000740D9">
      <w:pPr>
        <w:spacing w:before="40" w:after="20"/>
      </w:pPr>
      <w:r>
        <w:rPr>
          <w:b/>
          <w:color w:val="1565C0"/>
          <w:sz w:val="20"/>
        </w:rPr>
        <w:t xml:space="preserve">How to read:  </w:t>
      </w:r>
      <w:r>
        <w:rPr>
          <w:color w:val="212121"/>
          <w:sz w:val="20"/>
        </w:rPr>
        <w:t>Same structure as Chart 6 but tracking off-chocks departure delay month by month. Blue boxes at top show flight count. The blue shaded band shows the IQR.</w:t>
      </w:r>
    </w:p>
    <w:p w14:paraId="54446E73" w14:textId="77777777" w:rsidR="003577A0" w:rsidRDefault="000740D9">
      <w:pPr>
        <w:spacing w:before="20" w:after="120"/>
      </w:pPr>
      <w:r>
        <w:rPr>
          <w:b/>
          <w:color w:val="FF6F00"/>
          <w:sz w:val="20"/>
        </w:rPr>
        <w:t xml:space="preserve">What this tells us:  </w:t>
      </w:r>
      <w:r>
        <w:rPr>
          <w:color w:val="212121"/>
          <w:sz w:val="20"/>
        </w:rPr>
        <w:t>Mean off-chocks delay is lower than mean inbound delay, confirming partial ground recovery. However, the mean is still positive every month. The Q1 line (best 25% of flights) often sits near zero, showing that a significant share do manage on-time pushback even within high-volume months.</w:t>
      </w:r>
    </w:p>
    <w:p w14:paraId="604E03AC" w14:textId="77777777" w:rsidR="003577A0" w:rsidRDefault="000740D9">
      <w:pPr>
        <w:spacing w:before="120" w:after="80"/>
        <w:jc w:val="center"/>
      </w:pPr>
      <w:r>
        <w:rPr>
          <w:noProof/>
        </w:rPr>
        <w:drawing>
          <wp:inline distT="0" distB="0" distL="0" distR="0" wp14:anchorId="36EF43FB" wp14:editId="140FCFE6">
            <wp:extent cx="5760720" cy="24909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_dep_p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CBC8" w14:textId="77777777" w:rsidR="003577A0" w:rsidRDefault="000740D9">
      <w:pPr>
        <w:spacing w:before="20"/>
        <w:jc w:val="center"/>
      </w:pPr>
      <w:r>
        <w:rPr>
          <w:i/>
          <w:color w:val="555555"/>
          <w:sz w:val="18"/>
        </w:rPr>
        <w:t>Figure 7 — Off Chocks Delay by Month (25th / Mean / 75th Percentile)</w:t>
      </w:r>
    </w:p>
    <w:p w14:paraId="29697985" w14:textId="77777777" w:rsidR="003577A0" w:rsidRDefault="000740D9">
      <w:pPr>
        <w:spacing w:before="240" w:after="80"/>
      </w:pPr>
      <w:r>
        <w:rPr>
          <w:b/>
          <w:color w:val="0D47A1"/>
          <w:sz w:val="24"/>
        </w:rPr>
        <w:t>5.6  Inbound vs Off Chocks Delay — Amplification Analysis</w:t>
      </w:r>
    </w:p>
    <w:p w14:paraId="4E67B031" w14:textId="77777777" w:rsidR="003577A0" w:rsidRDefault="000740D9">
      <w:pPr>
        <w:shd w:val="clear" w:color="auto" w:fill="1565C0"/>
        <w:spacing w:before="160" w:after="20"/>
      </w:pPr>
      <w:r>
        <w:rPr>
          <w:b/>
          <w:color w:val="FFFFFF"/>
          <w:sz w:val="21"/>
        </w:rPr>
        <w:t xml:space="preserve">  Chart 8 — Delay Amplification by Arrival Tier  </w:t>
      </w:r>
    </w:p>
    <w:p w14:paraId="7ADF2F93" w14:textId="77777777" w:rsidR="003577A0" w:rsidRDefault="000740D9">
      <w:pPr>
        <w:spacing w:before="40" w:after="20"/>
      </w:pPr>
      <w:r>
        <w:rPr>
          <w:b/>
          <w:color w:val="1565C0"/>
          <w:sz w:val="20"/>
        </w:rPr>
        <w:t xml:space="preserve">How to read:  </w:t>
      </w:r>
      <w:r>
        <w:rPr>
          <w:color w:val="212121"/>
          <w:sz w:val="20"/>
        </w:rPr>
        <w:t>Paired bars per arrival tier: darker bar = avg inbound delay, lighter bar = avg off-chocks delay. Ratio annotations show how the delay changed from landing to pushback.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577A0" w14:paraId="1667266F" w14:textId="77777777">
        <w:tc>
          <w:tcPr>
            <w:tcW w:w="2436" w:type="dxa"/>
            <w:shd w:val="clear" w:color="auto" w:fill="0D47A1"/>
          </w:tcPr>
          <w:p w14:paraId="5F310A32" w14:textId="77777777" w:rsidR="003577A0" w:rsidRDefault="000740D9"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w="2436" w:type="dxa"/>
            <w:shd w:val="clear" w:color="auto" w:fill="0D47A1"/>
          </w:tcPr>
          <w:p w14:paraId="7760FA4D" w14:textId="77777777" w:rsidR="003577A0" w:rsidRDefault="000740D9">
            <w:r>
              <w:rPr>
                <w:b/>
                <w:color w:val="FFFFFF"/>
                <w:sz w:val="19"/>
              </w:rPr>
              <w:t>Avg Inbound</w:t>
            </w:r>
          </w:p>
        </w:tc>
        <w:tc>
          <w:tcPr>
            <w:tcW w:w="2436" w:type="dxa"/>
            <w:shd w:val="clear" w:color="auto" w:fill="0D47A1"/>
          </w:tcPr>
          <w:p w14:paraId="5E6F4984" w14:textId="77777777" w:rsidR="003577A0" w:rsidRDefault="000740D9">
            <w:r>
              <w:rPr>
                <w:b/>
                <w:color w:val="FFFFFF"/>
                <w:sz w:val="19"/>
              </w:rPr>
              <w:t>Avg Off Chocks</w:t>
            </w:r>
          </w:p>
        </w:tc>
        <w:tc>
          <w:tcPr>
            <w:tcW w:w="2436" w:type="dxa"/>
            <w:shd w:val="clear" w:color="auto" w:fill="0D47A1"/>
          </w:tcPr>
          <w:p w14:paraId="6E643C38" w14:textId="77777777" w:rsidR="003577A0" w:rsidRDefault="000740D9">
            <w:r>
              <w:rPr>
                <w:b/>
                <w:color w:val="FFFFFF"/>
                <w:sz w:val="19"/>
              </w:rPr>
              <w:t>Ratio / Effect</w:t>
            </w:r>
          </w:p>
        </w:tc>
      </w:tr>
      <w:tr w:rsidR="003577A0" w14:paraId="3FC56E3F" w14:textId="77777777">
        <w:tc>
          <w:tcPr>
            <w:tcW w:w="2436" w:type="dxa"/>
          </w:tcPr>
          <w:p w14:paraId="0E3A2DFE" w14:textId="77777777" w:rsidR="003577A0" w:rsidRDefault="000740D9">
            <w:r>
              <w:rPr>
                <w:sz w:val="19"/>
              </w:rPr>
              <w:t>Tier 1 — ≤0 min</w:t>
            </w:r>
          </w:p>
        </w:tc>
        <w:tc>
          <w:tcPr>
            <w:tcW w:w="2436" w:type="dxa"/>
          </w:tcPr>
          <w:p w14:paraId="69032F8E" w14:textId="77777777" w:rsidR="003577A0" w:rsidRDefault="000740D9">
            <w:r>
              <w:rPr>
                <w:sz w:val="19"/>
              </w:rPr>
              <w:t>−14.2 min (early)</w:t>
            </w:r>
          </w:p>
        </w:tc>
        <w:tc>
          <w:tcPr>
            <w:tcW w:w="2436" w:type="dxa"/>
          </w:tcPr>
          <w:p w14:paraId="3A4442F6" w14:textId="77777777" w:rsidR="003577A0" w:rsidRDefault="000740D9">
            <w:r>
              <w:rPr>
                <w:sz w:val="19"/>
              </w:rPr>
              <w:t>+5.0 min</w:t>
            </w:r>
          </w:p>
        </w:tc>
        <w:tc>
          <w:tcPr>
            <w:tcW w:w="2436" w:type="dxa"/>
          </w:tcPr>
          <w:p w14:paraId="67C9B22E" w14:textId="77777777" w:rsidR="003577A0" w:rsidRDefault="000740D9">
            <w:r>
              <w:rPr>
                <w:sz w:val="19"/>
              </w:rPr>
              <w:t>N/A — arrives early, still departs late</w:t>
            </w:r>
          </w:p>
        </w:tc>
      </w:tr>
      <w:tr w:rsidR="003577A0" w14:paraId="3B17286E" w14:textId="77777777">
        <w:tc>
          <w:tcPr>
            <w:tcW w:w="2436" w:type="dxa"/>
            <w:shd w:val="clear" w:color="auto" w:fill="E3F2FD"/>
          </w:tcPr>
          <w:p w14:paraId="14233112" w14:textId="77777777" w:rsidR="003577A0" w:rsidRDefault="000740D9">
            <w:r>
              <w:rPr>
                <w:sz w:val="19"/>
              </w:rPr>
              <w:t>Tier 2 — 0–4 min</w:t>
            </w:r>
          </w:p>
        </w:tc>
        <w:tc>
          <w:tcPr>
            <w:tcW w:w="2436" w:type="dxa"/>
            <w:shd w:val="clear" w:color="auto" w:fill="E3F2FD"/>
          </w:tcPr>
          <w:p w14:paraId="251E2C46" w14:textId="77777777" w:rsidR="003577A0" w:rsidRDefault="000740D9">
            <w:r>
              <w:rPr>
                <w:sz w:val="19"/>
              </w:rPr>
              <w:t>+2.4 min</w:t>
            </w:r>
          </w:p>
        </w:tc>
        <w:tc>
          <w:tcPr>
            <w:tcW w:w="2436" w:type="dxa"/>
            <w:shd w:val="clear" w:color="auto" w:fill="E3F2FD"/>
          </w:tcPr>
          <w:p w14:paraId="11953DC4" w14:textId="77777777" w:rsidR="003577A0" w:rsidRDefault="000740D9">
            <w:r>
              <w:rPr>
                <w:sz w:val="19"/>
              </w:rPr>
              <w:t>+7.4 min</w:t>
            </w:r>
          </w:p>
        </w:tc>
        <w:tc>
          <w:tcPr>
            <w:tcW w:w="2436" w:type="dxa"/>
            <w:shd w:val="clear" w:color="auto" w:fill="E3F2FD"/>
          </w:tcPr>
          <w:p w14:paraId="256F54DB" w14:textId="77777777" w:rsidR="003577A0" w:rsidRDefault="000740D9">
            <w:r>
              <w:rPr>
                <w:b/>
                <w:color w:val="C62828"/>
                <w:sz w:val="19"/>
              </w:rPr>
              <w:t>3.0× amplification — small delay triples at pushback</w:t>
            </w:r>
          </w:p>
        </w:tc>
      </w:tr>
      <w:tr w:rsidR="003577A0" w14:paraId="6C41E86E" w14:textId="77777777">
        <w:tc>
          <w:tcPr>
            <w:tcW w:w="2436" w:type="dxa"/>
          </w:tcPr>
          <w:p w14:paraId="0276D9C2" w14:textId="77777777" w:rsidR="003577A0" w:rsidRDefault="000740D9">
            <w:r>
              <w:rPr>
                <w:sz w:val="19"/>
              </w:rPr>
              <w:t>Tier 3 — 4–15 min</w:t>
            </w:r>
          </w:p>
        </w:tc>
        <w:tc>
          <w:tcPr>
            <w:tcW w:w="2436" w:type="dxa"/>
          </w:tcPr>
          <w:p w14:paraId="248C9A21" w14:textId="77777777" w:rsidR="003577A0" w:rsidRDefault="000740D9">
            <w:r>
              <w:rPr>
                <w:sz w:val="19"/>
              </w:rPr>
              <w:t>+9.5 min</w:t>
            </w:r>
          </w:p>
        </w:tc>
        <w:tc>
          <w:tcPr>
            <w:tcW w:w="2436" w:type="dxa"/>
          </w:tcPr>
          <w:p w14:paraId="4101B5BD" w14:textId="77777777" w:rsidR="003577A0" w:rsidRDefault="000740D9">
            <w:r>
              <w:rPr>
                <w:sz w:val="19"/>
              </w:rPr>
              <w:t>+9.8 min</w:t>
            </w:r>
          </w:p>
        </w:tc>
        <w:tc>
          <w:tcPr>
            <w:tcW w:w="2436" w:type="dxa"/>
          </w:tcPr>
          <w:p w14:paraId="79A5E4A8" w14:textId="77777777" w:rsidR="003577A0" w:rsidRDefault="000740D9">
            <w:r>
              <w:rPr>
                <w:sz w:val="19"/>
              </w:rPr>
              <w:t>~1.0× absorbed — delay passes through unchanged</w:t>
            </w:r>
          </w:p>
        </w:tc>
      </w:tr>
      <w:tr w:rsidR="003577A0" w14:paraId="093AF7BA" w14:textId="77777777">
        <w:tc>
          <w:tcPr>
            <w:tcW w:w="2436" w:type="dxa"/>
            <w:shd w:val="clear" w:color="auto" w:fill="E3F2FD"/>
          </w:tcPr>
          <w:p w14:paraId="377EB747" w14:textId="77777777" w:rsidR="003577A0" w:rsidRDefault="000740D9">
            <w:r>
              <w:rPr>
                <w:sz w:val="19"/>
              </w:rPr>
              <w:t>Tier 4 — &gt;15 min</w:t>
            </w:r>
          </w:p>
        </w:tc>
        <w:tc>
          <w:tcPr>
            <w:tcW w:w="2436" w:type="dxa"/>
            <w:shd w:val="clear" w:color="auto" w:fill="E3F2FD"/>
          </w:tcPr>
          <w:p w14:paraId="1349E740" w14:textId="77777777" w:rsidR="003577A0" w:rsidRDefault="000740D9">
            <w:r>
              <w:rPr>
                <w:sz w:val="19"/>
              </w:rPr>
              <w:t>+47.1 min</w:t>
            </w:r>
          </w:p>
        </w:tc>
        <w:tc>
          <w:tcPr>
            <w:tcW w:w="2436" w:type="dxa"/>
            <w:shd w:val="clear" w:color="auto" w:fill="E3F2FD"/>
          </w:tcPr>
          <w:p w14:paraId="15394E88" w14:textId="77777777" w:rsidR="003577A0" w:rsidRDefault="000740D9">
            <w:r>
              <w:rPr>
                <w:sz w:val="19"/>
              </w:rPr>
              <w:t>+29.8 min</w:t>
            </w:r>
          </w:p>
        </w:tc>
        <w:tc>
          <w:tcPr>
            <w:tcW w:w="2436" w:type="dxa"/>
            <w:shd w:val="clear" w:color="auto" w:fill="E3F2FD"/>
          </w:tcPr>
          <w:p w14:paraId="5286676F" w14:textId="77777777" w:rsidR="003577A0" w:rsidRDefault="000740D9">
            <w:r>
              <w:rPr>
                <w:color w:val="2E7D32"/>
                <w:sz w:val="19"/>
              </w:rPr>
              <w:t>0.6× partial recovery — teams recover ~37% of delay</w:t>
            </w:r>
          </w:p>
        </w:tc>
      </w:tr>
    </w:tbl>
    <w:p w14:paraId="363E4B59" w14:textId="77777777" w:rsidR="003577A0" w:rsidRDefault="000740D9">
      <w:pPr>
        <w:spacing w:before="20" w:after="120"/>
      </w:pPr>
      <w:r>
        <w:rPr>
          <w:b/>
          <w:color w:val="FF6F00"/>
          <w:sz w:val="20"/>
        </w:rPr>
        <w:t xml:space="preserve">What this tells us:  </w:t>
      </w:r>
      <w:r>
        <w:rPr>
          <w:color w:val="212121"/>
          <w:sz w:val="20"/>
        </w:rPr>
        <w:t>Tier 2 is the most surprising: a 2.4-min late arrival triples to 7.6-min late departure. Even marginal inbound lateness disrupts ground process sequencing disproportionately. For large delays (Tier 4), teams do partially recover — a 47-min late arrival becomes 30-min late departure — but on-time performance is still only 16.4%.</w:t>
      </w:r>
    </w:p>
    <w:p w14:paraId="0EDD78B1" w14:textId="77777777" w:rsidR="003577A0" w:rsidRDefault="000740D9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3DA76A9E" wp14:editId="5AB214DA">
            <wp:extent cx="5760720" cy="30711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_rat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CC3B" w14:textId="77777777" w:rsidR="003577A0" w:rsidRDefault="000740D9">
      <w:pPr>
        <w:spacing w:before="20"/>
        <w:jc w:val="center"/>
      </w:pPr>
      <w:r>
        <w:rPr>
          <w:i/>
          <w:color w:val="555555"/>
          <w:sz w:val="18"/>
        </w:rPr>
        <w:t>Figure 8 — Avg Inbound vs Avg Off Chocks Delay by Arrival Tier</w:t>
      </w:r>
    </w:p>
    <w:p w14:paraId="7F86DA88" w14:textId="77777777" w:rsidR="003577A0" w:rsidRDefault="000740D9">
      <w:r>
        <w:br w:type="page"/>
      </w:r>
    </w:p>
    <w:p w14:paraId="737A9135" w14:textId="77777777" w:rsidR="003577A0" w:rsidRDefault="000740D9">
      <w:pPr>
        <w:spacing w:after="80"/>
      </w:pPr>
      <w:r>
        <w:rPr>
          <w:b/>
          <w:color w:val="1A237E"/>
          <w:sz w:val="32"/>
        </w:rPr>
        <w:lastRenderedPageBreak/>
        <w:t>6.  Carrier Group Analysis</w:t>
      </w:r>
    </w:p>
    <w:p w14:paraId="40219D8F" w14:textId="77777777" w:rsidR="003577A0" w:rsidRDefault="003577A0">
      <w:pPr>
        <w:pBdr>
          <w:bottom w:val="single" w:sz="6" w:space="1" w:color="1A237E"/>
        </w:pBdr>
        <w:spacing w:before="60" w:after="60"/>
      </w:pPr>
    </w:p>
    <w:p w14:paraId="64A641CD" w14:textId="77777777" w:rsidR="003577A0" w:rsidRDefault="000740D9">
      <w:pPr>
        <w:spacing w:before="120" w:after="40"/>
      </w:pPr>
      <w:r>
        <w:rPr>
          <w:color w:val="212121"/>
          <w:sz w:val="21"/>
        </w:rPr>
        <w:t>SQ and TR are Singapore's home-based carriers. Their operations, crew, and maintenance teams are locally headquartered, giving them a structural recovery advantage. The three groups below isolate the home-carrier effect.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577A0" w14:paraId="773547CF" w14:textId="77777777">
        <w:tc>
          <w:tcPr>
            <w:tcW w:w="3249" w:type="dxa"/>
            <w:shd w:val="clear" w:color="auto" w:fill="1A237E"/>
          </w:tcPr>
          <w:p w14:paraId="593740EB" w14:textId="77777777" w:rsidR="003577A0" w:rsidRDefault="000740D9"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w="3249" w:type="dxa"/>
            <w:shd w:val="clear" w:color="auto" w:fill="1A237E"/>
          </w:tcPr>
          <w:p w14:paraId="37C26358" w14:textId="77777777" w:rsidR="003577A0" w:rsidRDefault="000740D9">
            <w:r>
              <w:rPr>
                <w:b/>
                <w:color w:val="FFFFFF"/>
                <w:sz w:val="20"/>
              </w:rPr>
              <w:t>Flights</w:t>
            </w:r>
          </w:p>
        </w:tc>
        <w:tc>
          <w:tcPr>
            <w:tcW w:w="3249" w:type="dxa"/>
            <w:shd w:val="clear" w:color="auto" w:fill="1A237E"/>
          </w:tcPr>
          <w:p w14:paraId="3769F6FE" w14:textId="77777777" w:rsidR="003577A0" w:rsidRDefault="000740D9">
            <w:r>
              <w:rPr>
                <w:b/>
                <w:color w:val="FFFFFF"/>
                <w:sz w:val="20"/>
              </w:rPr>
              <w:t>Share</w:t>
            </w:r>
          </w:p>
        </w:tc>
      </w:tr>
      <w:tr w:rsidR="003577A0" w14:paraId="12747BE7" w14:textId="77777777">
        <w:tc>
          <w:tcPr>
            <w:tcW w:w="3249" w:type="dxa"/>
          </w:tcPr>
          <w:p w14:paraId="5210D2B9" w14:textId="77777777" w:rsidR="003577A0" w:rsidRDefault="000740D9">
            <w:r>
              <w:rPr>
                <w:sz w:val="20"/>
              </w:rPr>
              <w:t>SQ &amp; TR only (Singapore home carriers)</w:t>
            </w:r>
          </w:p>
        </w:tc>
        <w:tc>
          <w:tcPr>
            <w:tcW w:w="3249" w:type="dxa"/>
          </w:tcPr>
          <w:p w14:paraId="6A70ED14" w14:textId="77777777" w:rsidR="003577A0" w:rsidRDefault="000740D9">
            <w:r>
              <w:rPr>
                <w:sz w:val="20"/>
              </w:rPr>
              <w:t>71,198</w:t>
            </w:r>
          </w:p>
        </w:tc>
        <w:tc>
          <w:tcPr>
            <w:tcW w:w="3249" w:type="dxa"/>
          </w:tcPr>
          <w:p w14:paraId="09440B5C" w14:textId="77777777" w:rsidR="003577A0" w:rsidRDefault="000740D9">
            <w:r>
              <w:rPr>
                <w:sz w:val="20"/>
              </w:rPr>
              <w:t>56.7%</w:t>
            </w:r>
          </w:p>
        </w:tc>
      </w:tr>
      <w:tr w:rsidR="003577A0" w14:paraId="0F06FF79" w14:textId="77777777">
        <w:tc>
          <w:tcPr>
            <w:tcW w:w="3249" w:type="dxa"/>
            <w:shd w:val="clear" w:color="auto" w:fill="E3F2FD"/>
          </w:tcPr>
          <w:p w14:paraId="19C1F83B" w14:textId="77777777" w:rsidR="003577A0" w:rsidRDefault="000740D9">
            <w:r>
              <w:rPr>
                <w:sz w:val="20"/>
              </w:rPr>
              <w:t>All SATS-handled airlines (combined)</w:t>
            </w:r>
          </w:p>
        </w:tc>
        <w:tc>
          <w:tcPr>
            <w:tcW w:w="3249" w:type="dxa"/>
            <w:shd w:val="clear" w:color="auto" w:fill="E3F2FD"/>
          </w:tcPr>
          <w:p w14:paraId="415CA276" w14:textId="77777777" w:rsidR="003577A0" w:rsidRDefault="000740D9">
            <w:r>
              <w:rPr>
                <w:sz w:val="20"/>
              </w:rPr>
              <w:t>125,508</w:t>
            </w:r>
          </w:p>
        </w:tc>
        <w:tc>
          <w:tcPr>
            <w:tcW w:w="3249" w:type="dxa"/>
            <w:shd w:val="clear" w:color="auto" w:fill="E3F2FD"/>
          </w:tcPr>
          <w:p w14:paraId="19D15718" w14:textId="77777777" w:rsidR="003577A0" w:rsidRDefault="000740D9">
            <w:r>
              <w:rPr>
                <w:sz w:val="20"/>
              </w:rPr>
              <w:t>100%</w:t>
            </w:r>
          </w:p>
        </w:tc>
      </w:tr>
      <w:tr w:rsidR="003577A0" w14:paraId="3ECCC013" w14:textId="77777777">
        <w:tc>
          <w:tcPr>
            <w:tcW w:w="3249" w:type="dxa"/>
          </w:tcPr>
          <w:p w14:paraId="1A8390F0" w14:textId="77777777" w:rsidR="003577A0" w:rsidRDefault="000740D9">
            <w:r>
              <w:rPr>
                <w:sz w:val="20"/>
              </w:rPr>
              <w:t>All SATS excl. SQ &amp; TR (foreign carriers)</w:t>
            </w:r>
          </w:p>
        </w:tc>
        <w:tc>
          <w:tcPr>
            <w:tcW w:w="3249" w:type="dxa"/>
          </w:tcPr>
          <w:p w14:paraId="445C01B5" w14:textId="77777777" w:rsidR="003577A0" w:rsidRDefault="000740D9">
            <w:r>
              <w:rPr>
                <w:sz w:val="20"/>
              </w:rPr>
              <w:t>54,310</w:t>
            </w:r>
          </w:p>
        </w:tc>
        <w:tc>
          <w:tcPr>
            <w:tcW w:w="3249" w:type="dxa"/>
          </w:tcPr>
          <w:p w14:paraId="18BA5147" w14:textId="77777777" w:rsidR="003577A0" w:rsidRDefault="000740D9">
            <w:r>
              <w:rPr>
                <w:sz w:val="20"/>
              </w:rPr>
              <w:t>43.1%</w:t>
            </w:r>
          </w:p>
        </w:tc>
      </w:tr>
    </w:tbl>
    <w:p w14:paraId="4FF163FB" w14:textId="77777777" w:rsidR="003577A0" w:rsidRDefault="000740D9">
      <w:pPr>
        <w:spacing w:before="120" w:after="40"/>
      </w:pPr>
      <w:r>
        <w:rPr>
          <w:i/>
          <w:color w:val="212121"/>
          <w:sz w:val="20"/>
        </w:rPr>
        <w:t>Each group has two charts: one using the ≤ 4 min on-time threshold (industry standard) and one using ≤ 0 min (strict). Each chart has 3 panels: (1) monthly on-time rate by tier, (2) flight volume by tier per month, (3) heatmap — green = good, red = poor.</w:t>
      </w:r>
    </w:p>
    <w:p w14:paraId="7A956E2B" w14:textId="77777777" w:rsidR="003577A0" w:rsidRDefault="000740D9">
      <w:pPr>
        <w:spacing w:before="240" w:after="80"/>
      </w:pPr>
      <w:r>
        <w:rPr>
          <w:b/>
          <w:color w:val="0D47A1"/>
          <w:sz w:val="24"/>
        </w:rPr>
        <w:t>6.1  SQ &amp; TR — Singapore Home Carriers</w:t>
      </w:r>
    </w:p>
    <w:p w14:paraId="51B06D98" w14:textId="52D42BB0" w:rsidR="003577A0" w:rsidRDefault="000740D9">
      <w:pPr>
        <w:shd w:val="clear" w:color="auto" w:fill="1565C0"/>
        <w:spacing w:before="160" w:after="20"/>
      </w:pPr>
      <w:r>
        <w:rPr>
          <w:b/>
          <w:color w:val="FFFFFF"/>
          <w:sz w:val="21"/>
        </w:rPr>
        <w:t xml:space="preserve">  Charts 9a &amp; 9b — SQ &amp; TR: ≤ 4 min and ≤ 0 min </w:t>
      </w:r>
      <w:proofErr w:type="gramStart"/>
      <w:r>
        <w:rPr>
          <w:b/>
          <w:color w:val="FFFFFF"/>
          <w:sz w:val="21"/>
        </w:rPr>
        <w:t xml:space="preserve">thresholds  </w:t>
      </w:r>
      <w:r w:rsidR="00063822">
        <w:rPr>
          <w:b/>
          <w:color w:val="FFFFFF"/>
          <w:sz w:val="21"/>
        </w:rPr>
        <w:t>respectively</w:t>
      </w:r>
      <w:proofErr w:type="gramEnd"/>
    </w:p>
    <w:p w14:paraId="7869315D" w14:textId="77777777" w:rsidR="003577A0" w:rsidRDefault="000740D9">
      <w:pPr>
        <w:spacing w:before="40" w:after="20"/>
      </w:pPr>
      <w:r>
        <w:rPr>
          <w:b/>
          <w:color w:val="1565C0"/>
          <w:sz w:val="20"/>
        </w:rPr>
        <w:t xml:space="preserve">How to read:  </w:t>
      </w:r>
      <w:r>
        <w:rPr>
          <w:color w:val="212121"/>
          <w:sz w:val="20"/>
        </w:rPr>
        <w:t>Three-panel chart. Top: monthly on-time rate per arrival tier (4 lines). Middle: stacked bar showing volume per tier per month. Bottom: heatmap with on-time rate (% shown) and flight count (n=) per cell.</w:t>
      </w:r>
    </w:p>
    <w:p w14:paraId="7697B21F" w14:textId="77777777" w:rsidR="003577A0" w:rsidRDefault="000740D9">
      <w:pPr>
        <w:spacing w:before="20" w:after="120"/>
      </w:pPr>
      <w:r>
        <w:rPr>
          <w:b/>
          <w:color w:val="FF6F00"/>
          <w:sz w:val="20"/>
        </w:rPr>
        <w:t xml:space="preserve">What this tells us:  </w:t>
      </w:r>
      <w:r>
        <w:rPr>
          <w:color w:val="212121"/>
          <w:sz w:val="20"/>
        </w:rPr>
        <w:t>SQ and TR show the highest on-time rates of any group, particularly for Tier 4 (&gt;15 min late). Their ability to recover from severe inbound delays is significantly better than foreign carriers, pointing to priority gate allocation, pre-positioned resources, and faster ground crew response when their own flights are running late.</w:t>
      </w:r>
    </w:p>
    <w:p w14:paraId="34993A56" w14:textId="77777777" w:rsidR="003577A0" w:rsidRDefault="000740D9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CD6C6C8" wp14:editId="5694F3D2">
            <wp:extent cx="5760720" cy="60619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9_sq_tr_4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BE72" w14:textId="77777777" w:rsidR="003577A0" w:rsidRDefault="000740D9">
      <w:pPr>
        <w:spacing w:before="20"/>
        <w:jc w:val="center"/>
      </w:pPr>
      <w:r>
        <w:rPr>
          <w:i/>
          <w:color w:val="555555"/>
          <w:sz w:val="18"/>
        </w:rPr>
        <w:t>Figure 9a — SQ &amp; TR: On-Time Off Chocks Performance (≤ 4 min threshold)</w:t>
      </w:r>
    </w:p>
    <w:p w14:paraId="751A0702" w14:textId="77777777" w:rsidR="003577A0" w:rsidRDefault="000740D9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B5AA139" wp14:editId="4EE7CAB1">
            <wp:extent cx="5760720" cy="60619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9_sq_tr_0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D1A4" w14:textId="77777777" w:rsidR="003577A0" w:rsidRDefault="000740D9">
      <w:pPr>
        <w:spacing w:before="20"/>
        <w:jc w:val="center"/>
      </w:pPr>
      <w:r>
        <w:rPr>
          <w:i/>
          <w:color w:val="555555"/>
          <w:sz w:val="18"/>
        </w:rPr>
        <w:t>Figure 9b — SQ &amp; TR: On-Time Off Chocks Performance (≤ 0 min threshold)</w:t>
      </w:r>
    </w:p>
    <w:p w14:paraId="48F62212" w14:textId="77777777" w:rsidR="003577A0" w:rsidRDefault="000740D9">
      <w:r>
        <w:br w:type="page"/>
      </w:r>
    </w:p>
    <w:p w14:paraId="2585EDCD" w14:textId="77777777" w:rsidR="003577A0" w:rsidRDefault="000740D9">
      <w:pPr>
        <w:spacing w:before="240" w:after="80"/>
      </w:pPr>
      <w:r>
        <w:rPr>
          <w:b/>
          <w:color w:val="0D47A1"/>
          <w:sz w:val="24"/>
        </w:rPr>
        <w:lastRenderedPageBreak/>
        <w:t>6.2  All SATS Airlines</w:t>
      </w:r>
    </w:p>
    <w:p w14:paraId="1E00931D" w14:textId="77777777" w:rsidR="003577A0" w:rsidRDefault="000740D9">
      <w:pPr>
        <w:shd w:val="clear" w:color="auto" w:fill="2E7D32"/>
        <w:spacing w:before="160" w:after="20"/>
      </w:pPr>
      <w:r>
        <w:rPr>
          <w:b/>
          <w:color w:val="FFFFFF"/>
          <w:sz w:val="21"/>
        </w:rPr>
        <w:t xml:space="preserve">  Charts 10a &amp; 10b — All SATS: ≤ 4 min and ≤ 0 min thresholds  </w:t>
      </w:r>
    </w:p>
    <w:p w14:paraId="17187782" w14:textId="77777777" w:rsidR="003577A0" w:rsidRDefault="000740D9">
      <w:pPr>
        <w:spacing w:before="40" w:after="20"/>
      </w:pPr>
      <w:r>
        <w:rPr>
          <w:b/>
          <w:color w:val="1565C0"/>
          <w:sz w:val="20"/>
        </w:rPr>
        <w:t xml:space="preserve">How to read:  </w:t>
      </w:r>
      <w:r>
        <w:rPr>
          <w:color w:val="212121"/>
          <w:sz w:val="20"/>
        </w:rPr>
        <w:t>Same three-panel layout covering the full 125,508-flight working dataset. This is the baseline view against which the other groups are compared.</w:t>
      </w:r>
    </w:p>
    <w:p w14:paraId="20AD8401" w14:textId="77777777" w:rsidR="003577A0" w:rsidRDefault="000740D9">
      <w:pPr>
        <w:spacing w:before="20" w:after="120"/>
      </w:pPr>
      <w:r>
        <w:rPr>
          <w:b/>
          <w:color w:val="FF6F00"/>
          <w:sz w:val="20"/>
        </w:rPr>
        <w:t xml:space="preserve">What this tells us:  </w:t>
      </w:r>
      <w:r>
        <w:rPr>
          <w:color w:val="212121"/>
          <w:sz w:val="20"/>
        </w:rPr>
        <w:t>The combined view reflects the volume-weighted average of the SQ/TR and non-home-carrier groups. Because SQ and TR account for 56.7% of flights and perform better, the overall SATS picture is better than non-home carriers in isolation but lower than SQ/TR alone. The tier trend is unchanged: on-time rates decline from Tier 1 to Tier 4 every month.</w:t>
      </w:r>
    </w:p>
    <w:p w14:paraId="3BADE2AB" w14:textId="77777777" w:rsidR="003577A0" w:rsidRDefault="000740D9">
      <w:pPr>
        <w:spacing w:before="120" w:after="80"/>
        <w:jc w:val="center"/>
      </w:pPr>
      <w:r>
        <w:rPr>
          <w:noProof/>
        </w:rPr>
        <w:drawing>
          <wp:inline distT="0" distB="0" distL="0" distR="0" wp14:anchorId="2D57D0FA" wp14:editId="1CF8D725">
            <wp:extent cx="5760720" cy="60619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_all_4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9ED4" w14:textId="77777777" w:rsidR="003577A0" w:rsidRDefault="000740D9">
      <w:pPr>
        <w:spacing w:before="20"/>
        <w:jc w:val="center"/>
      </w:pPr>
      <w:r>
        <w:rPr>
          <w:i/>
          <w:color w:val="555555"/>
          <w:sz w:val="18"/>
        </w:rPr>
        <w:t>Figure 10a — All SATS Airlines: On-Time Off Chocks Performance (≤ 4 min threshold)</w:t>
      </w:r>
    </w:p>
    <w:p w14:paraId="0922E34A" w14:textId="77777777" w:rsidR="003577A0" w:rsidRDefault="000740D9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162757E" wp14:editId="09422E74">
            <wp:extent cx="5760720" cy="60619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_all_0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512C" w14:textId="77777777" w:rsidR="003577A0" w:rsidRDefault="000740D9">
      <w:pPr>
        <w:spacing w:before="20"/>
        <w:jc w:val="center"/>
      </w:pPr>
      <w:r>
        <w:rPr>
          <w:i/>
          <w:color w:val="555555"/>
          <w:sz w:val="18"/>
        </w:rPr>
        <w:t>Figure 10b — All SATS Airlines: On-Time Off Chocks Performance (≤ 0 min threshold)</w:t>
      </w:r>
    </w:p>
    <w:p w14:paraId="4814BCCE" w14:textId="77777777" w:rsidR="003577A0" w:rsidRDefault="000740D9">
      <w:r>
        <w:br w:type="page"/>
      </w:r>
    </w:p>
    <w:p w14:paraId="5E9C1109" w14:textId="77777777" w:rsidR="003577A0" w:rsidRDefault="000740D9">
      <w:pPr>
        <w:spacing w:before="240" w:after="80"/>
      </w:pPr>
      <w:r>
        <w:rPr>
          <w:b/>
          <w:color w:val="0D47A1"/>
          <w:sz w:val="24"/>
        </w:rPr>
        <w:lastRenderedPageBreak/>
        <w:t>6.3  All SATS Excluding SQ &amp; TR</w:t>
      </w:r>
    </w:p>
    <w:p w14:paraId="24467D2F" w14:textId="77777777" w:rsidR="003577A0" w:rsidRDefault="000740D9">
      <w:pPr>
        <w:shd w:val="clear" w:color="auto" w:fill="E65100"/>
        <w:spacing w:before="160" w:after="20"/>
      </w:pPr>
      <w:r>
        <w:rPr>
          <w:b/>
          <w:color w:val="FFFFFF"/>
          <w:sz w:val="21"/>
        </w:rPr>
        <w:t xml:space="preserve">  Charts 11a &amp; 11b — Excl. SQ &amp; TR: ≤ 4 min and ≤ 0 min thresholds  </w:t>
      </w:r>
    </w:p>
    <w:p w14:paraId="3F3D31AA" w14:textId="77777777" w:rsidR="003577A0" w:rsidRDefault="000740D9">
      <w:pPr>
        <w:spacing w:before="40" w:after="20"/>
      </w:pPr>
      <w:r>
        <w:rPr>
          <w:b/>
          <w:color w:val="1565C0"/>
          <w:sz w:val="20"/>
        </w:rPr>
        <w:t xml:space="preserve">How to read:  </w:t>
      </w:r>
      <w:r>
        <w:rPr>
          <w:color w:val="212121"/>
          <w:sz w:val="20"/>
        </w:rPr>
        <w:t>Isolates the 54,310 flights from foreign carriers handled by SATS. For these carriers, SATS ground handling is the sole recovery mechanism.</w:t>
      </w:r>
    </w:p>
    <w:p w14:paraId="29A72C70" w14:textId="77777777" w:rsidR="003577A0" w:rsidRDefault="000740D9">
      <w:pPr>
        <w:spacing w:before="20" w:after="120"/>
      </w:pPr>
      <w:r>
        <w:rPr>
          <w:b/>
          <w:color w:val="FF6F00"/>
          <w:sz w:val="20"/>
        </w:rPr>
        <w:t xml:space="preserve">What this tells us:  </w:t>
      </w:r>
      <w:r>
        <w:rPr>
          <w:color w:val="212121"/>
          <w:sz w:val="20"/>
        </w:rPr>
        <w:t>Non-home carriers show materially lower on-time rates, especially in Tier 3 and Tier 4. For flights arriving &gt;15 min late, the on-time rate is approximately half that of SQ &amp; TR. The heatmap shows predominantly red/orange in the late arrival tiers across all months. This group represents the most challenging turnaround environment for SATS ground teams.</w:t>
      </w:r>
    </w:p>
    <w:p w14:paraId="0D608AD3" w14:textId="77777777" w:rsidR="003577A0" w:rsidRDefault="000740D9">
      <w:pPr>
        <w:spacing w:before="120" w:after="80"/>
        <w:jc w:val="center"/>
      </w:pPr>
      <w:r>
        <w:rPr>
          <w:noProof/>
        </w:rPr>
        <w:drawing>
          <wp:inline distT="0" distB="0" distL="0" distR="0" wp14:anchorId="4AFCDD26" wp14:editId="61BCDFCE">
            <wp:extent cx="5760720" cy="606190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_excl_4m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74BA" w14:textId="77777777" w:rsidR="003577A0" w:rsidRDefault="000740D9">
      <w:pPr>
        <w:spacing w:before="20"/>
        <w:jc w:val="center"/>
      </w:pPr>
      <w:r>
        <w:rPr>
          <w:i/>
          <w:color w:val="555555"/>
          <w:sz w:val="18"/>
        </w:rPr>
        <w:t>Figure 11a — Excl. SQ &amp; TR: On-Time Off Chocks Performance (≤ 4 min threshold)</w:t>
      </w:r>
    </w:p>
    <w:p w14:paraId="4B1CE6A0" w14:textId="77777777" w:rsidR="003577A0" w:rsidRDefault="000740D9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5E2DC58" wp14:editId="0B2BF523">
            <wp:extent cx="5760720" cy="606190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_excl_0m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66E9" w14:textId="77777777" w:rsidR="003577A0" w:rsidRDefault="000740D9">
      <w:pPr>
        <w:spacing w:before="20"/>
        <w:jc w:val="center"/>
      </w:pPr>
      <w:r>
        <w:rPr>
          <w:i/>
          <w:color w:val="555555"/>
          <w:sz w:val="18"/>
        </w:rPr>
        <w:t>Figure 11b — Excl. SQ &amp; TR: On-Time Off Chocks Performance (≤ 0 min threshold)</w:t>
      </w:r>
    </w:p>
    <w:p w14:paraId="5920C9DE" w14:textId="77777777" w:rsidR="003577A0" w:rsidRDefault="000740D9">
      <w:r>
        <w:br w:type="page"/>
      </w:r>
    </w:p>
    <w:p w14:paraId="59ED1F97" w14:textId="77777777" w:rsidR="003577A0" w:rsidRDefault="000740D9">
      <w:pPr>
        <w:spacing w:after="80"/>
      </w:pPr>
      <w:r>
        <w:rPr>
          <w:b/>
          <w:color w:val="1A237E"/>
          <w:sz w:val="32"/>
        </w:rPr>
        <w:lastRenderedPageBreak/>
        <w:t>7.  Key Takeaways</w:t>
      </w:r>
    </w:p>
    <w:p w14:paraId="78E1CACE" w14:textId="77777777" w:rsidR="003577A0" w:rsidRDefault="003577A0">
      <w:pPr>
        <w:pBdr>
          <w:bottom w:val="single" w:sz="6" w:space="1" w:color="1A237E"/>
        </w:pBdr>
        <w:spacing w:before="60" w:after="60"/>
      </w:pPr>
    </w:p>
    <w:p w14:paraId="092E30B5" w14:textId="77777777" w:rsidR="003577A0" w:rsidRDefault="000740D9">
      <w:pPr>
        <w:spacing w:before="200" w:after="40"/>
      </w:pPr>
      <w:r>
        <w:rPr>
          <w:b/>
          <w:color w:val="0D47A1"/>
          <w:sz w:val="23"/>
        </w:rPr>
        <w:t>Finding 1 — Inbound delay is the strongest predictor of off-chocks delay</w:t>
      </w:r>
    </w:p>
    <w:p w14:paraId="4C0F4A92" w14:textId="77777777" w:rsidR="003577A0" w:rsidRDefault="000740D9">
      <w:pPr>
        <w:spacing w:before="40" w:after="80"/>
      </w:pPr>
      <w:r>
        <w:rPr>
          <w:color w:val="212121"/>
          <w:sz w:val="21"/>
        </w:rPr>
        <w:t>The on-time off-chocks rate drops from 46.1% for early/on-time arrivals to just 16.4% for flights arriving &gt;15 min late — a 29.8 pp deterioration. This holds across all 9 months, confirming a structural relationship, not a seasonal effect.</w:t>
      </w:r>
    </w:p>
    <w:p w14:paraId="01ACB370" w14:textId="77777777" w:rsidR="003577A0" w:rsidRDefault="000740D9">
      <w:pPr>
        <w:spacing w:before="200" w:after="40"/>
      </w:pPr>
      <w:r>
        <w:rPr>
          <w:b/>
          <w:color w:val="0D47A1"/>
          <w:sz w:val="23"/>
        </w:rPr>
        <w:t>Finding 2 — The majority of inbound aircraft do not arrive on time</w:t>
      </w:r>
    </w:p>
    <w:p w14:paraId="596C6E7B" w14:textId="77777777" w:rsidR="003577A0" w:rsidRDefault="000740D9">
      <w:pPr>
        <w:spacing w:before="40" w:after="80"/>
      </w:pPr>
      <w:r>
        <w:rPr>
          <w:color w:val="212121"/>
          <w:sz w:val="21"/>
        </w:rPr>
        <w:t>39.2% arrive &gt;4 min late, and 23.5% arrive &gt;15 min late. Since turnaround time is fixed, a late arrival directly compresses available ground operations time, making on-time pushback extremely difficult regardless of ground crew performance.</w:t>
      </w:r>
    </w:p>
    <w:p w14:paraId="2FD757A1" w14:textId="77777777" w:rsidR="003577A0" w:rsidRDefault="000740D9">
      <w:pPr>
        <w:spacing w:before="200" w:after="40"/>
      </w:pPr>
      <w:r>
        <w:rPr>
          <w:b/>
          <w:color w:val="0D47A1"/>
          <w:sz w:val="23"/>
        </w:rPr>
        <w:t>Finding 3 — Even on-time arrivals have a low on-time pushback rate</w:t>
      </w:r>
    </w:p>
    <w:p w14:paraId="73497807" w14:textId="77777777" w:rsidR="003577A0" w:rsidRDefault="000740D9">
      <w:pPr>
        <w:spacing w:before="40" w:after="80"/>
      </w:pPr>
      <w:r>
        <w:rPr>
          <w:color w:val="212121"/>
          <w:sz w:val="21"/>
        </w:rPr>
        <w:t>When aircraft arrive on time, only 46.1% push back on time. Factors beyond inbound delay — boarding completion, cargo loading, fuelling, gate availability — also contribute significantly. A ~5-min process baseline delay exists even for early arrivals.</w:t>
      </w:r>
    </w:p>
    <w:p w14:paraId="648E9BC1" w14:textId="77777777" w:rsidR="003577A0" w:rsidRDefault="000740D9">
      <w:pPr>
        <w:spacing w:before="200" w:after="40"/>
      </w:pPr>
      <w:r>
        <w:rPr>
          <w:b/>
          <w:color w:val="0D47A1"/>
          <w:sz w:val="23"/>
        </w:rPr>
        <w:t>Finding 4 — Singapore home carriers (SQ &amp; TR) outperform other carriers</w:t>
      </w:r>
    </w:p>
    <w:p w14:paraId="4DFA14A7" w14:textId="77777777" w:rsidR="003577A0" w:rsidRDefault="000740D9">
      <w:pPr>
        <w:spacing w:before="40" w:after="80"/>
      </w:pPr>
      <w:r>
        <w:rPr>
          <w:color w:val="212121"/>
          <w:sz w:val="21"/>
        </w:rPr>
        <w:t>SQ and TR (56.7% of flights) consistently show higher on-time rates across all tiers. For late arrivals (&gt;15 min), they achieve ~2× the on-time rate of non-home carriers, pointing to a structural home-base advantage in crew readiness and operational recovery.</w:t>
      </w:r>
    </w:p>
    <w:p w14:paraId="0DF726D5" w14:textId="77777777" w:rsidR="003577A0" w:rsidRDefault="000740D9">
      <w:pPr>
        <w:spacing w:before="200" w:after="40"/>
      </w:pPr>
      <w:r>
        <w:rPr>
          <w:b/>
          <w:color w:val="0D47A1"/>
          <w:sz w:val="23"/>
        </w:rPr>
        <w:t>Finding 5 — Monthly trends are stable; no single month explains the pattern</w:t>
      </w:r>
    </w:p>
    <w:p w14:paraId="5D997CE3" w14:textId="77777777" w:rsidR="003577A0" w:rsidRDefault="000740D9">
      <w:pPr>
        <w:spacing w:before="40" w:after="80"/>
      </w:pPr>
      <w:r>
        <w:rPr>
          <w:color w:val="212121"/>
          <w:sz w:val="21"/>
        </w:rPr>
        <w:t>The heatmap charts show low on-time rates for late-arriving aircraft in every month, not concentrated in a specific period. Seasonal effects exist but are secondary to the tier-level structural relationship.</w:t>
      </w:r>
    </w:p>
    <w:p w14:paraId="6459038E" w14:textId="77777777" w:rsidR="003577A0" w:rsidRDefault="003577A0">
      <w:pPr>
        <w:pBdr>
          <w:bottom w:val="single" w:sz="6" w:space="1" w:color="9E9E9E"/>
        </w:pBdr>
        <w:spacing w:before="60" w:after="60"/>
      </w:pPr>
    </w:p>
    <w:p w14:paraId="45EA386D" w14:textId="77777777" w:rsidR="003577A0" w:rsidRDefault="000740D9">
      <w:pPr>
        <w:spacing w:before="80" w:after="40"/>
      </w:pPr>
      <w:r>
        <w:rPr>
          <w:i/>
          <w:color w:val="555555"/>
          <w:sz w:val="19"/>
        </w:rPr>
        <w:t>Report generated from SATS operational data. All figures based on the working dataset of 125,508 flights (Aug 2025 – Apr 2026) after applying data quality and coverage filters described in Section 3.</w:t>
      </w:r>
    </w:p>
    <w:sectPr w:rsidR="003577A0" w:rsidSect="00034616">
      <w:footerReference w:type="even" r:id="rId22"/>
      <w:footerReference w:type="default" r:id="rId23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37771" w14:textId="77777777" w:rsidR="00C279B4" w:rsidRDefault="00C279B4" w:rsidP="00A41567">
      <w:pPr>
        <w:spacing w:after="0" w:line="240" w:lineRule="auto"/>
      </w:pPr>
      <w:r>
        <w:separator/>
      </w:r>
    </w:p>
  </w:endnote>
  <w:endnote w:type="continuationSeparator" w:id="0">
    <w:p w14:paraId="225BBB75" w14:textId="77777777" w:rsidR="00C279B4" w:rsidRDefault="00C279B4" w:rsidP="00A41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66437915"/>
      <w:docPartObj>
        <w:docPartGallery w:val="Page Numbers (Bottom of Page)"/>
        <w:docPartUnique/>
      </w:docPartObj>
    </w:sdtPr>
    <w:sdtContent>
      <w:p w14:paraId="69EF027D" w14:textId="4673C90A" w:rsidR="00A41567" w:rsidRDefault="00A41567" w:rsidP="000740D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8F1649A" w14:textId="77777777" w:rsidR="00A41567" w:rsidRDefault="00A41567" w:rsidP="00A4156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68558971"/>
      <w:docPartObj>
        <w:docPartGallery w:val="Page Numbers (Bottom of Page)"/>
        <w:docPartUnique/>
      </w:docPartObj>
    </w:sdtPr>
    <w:sdtContent>
      <w:p w14:paraId="2D9DFD09" w14:textId="7C9040E1" w:rsidR="000740D9" w:rsidRDefault="000740D9" w:rsidP="00D04C0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1A0E50BA" w14:textId="77777777" w:rsidR="00A41567" w:rsidRDefault="00A41567" w:rsidP="00A4156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33051" w14:textId="77777777" w:rsidR="00C279B4" w:rsidRDefault="00C279B4" w:rsidP="00A41567">
      <w:pPr>
        <w:spacing w:after="0" w:line="240" w:lineRule="auto"/>
      </w:pPr>
      <w:r>
        <w:separator/>
      </w:r>
    </w:p>
  </w:footnote>
  <w:footnote w:type="continuationSeparator" w:id="0">
    <w:p w14:paraId="4D6D9F83" w14:textId="77777777" w:rsidR="00C279B4" w:rsidRDefault="00C279B4" w:rsidP="00A41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0816607">
    <w:abstractNumId w:val="8"/>
  </w:num>
  <w:num w:numId="2" w16cid:durableId="1579680066">
    <w:abstractNumId w:val="6"/>
  </w:num>
  <w:num w:numId="3" w16cid:durableId="565066637">
    <w:abstractNumId w:val="5"/>
  </w:num>
  <w:num w:numId="4" w16cid:durableId="1974363224">
    <w:abstractNumId w:val="4"/>
  </w:num>
  <w:num w:numId="5" w16cid:durableId="1535997285">
    <w:abstractNumId w:val="7"/>
  </w:num>
  <w:num w:numId="6" w16cid:durableId="731465320">
    <w:abstractNumId w:val="3"/>
  </w:num>
  <w:num w:numId="7" w16cid:durableId="74864127">
    <w:abstractNumId w:val="2"/>
  </w:num>
  <w:num w:numId="8" w16cid:durableId="1444230716">
    <w:abstractNumId w:val="1"/>
  </w:num>
  <w:num w:numId="9" w16cid:durableId="211951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822"/>
    <w:rsid w:val="000740D9"/>
    <w:rsid w:val="0015074B"/>
    <w:rsid w:val="001B7F3E"/>
    <w:rsid w:val="00207D00"/>
    <w:rsid w:val="0029639D"/>
    <w:rsid w:val="00326F90"/>
    <w:rsid w:val="003577A0"/>
    <w:rsid w:val="00552660"/>
    <w:rsid w:val="0057349A"/>
    <w:rsid w:val="006638D4"/>
    <w:rsid w:val="00846EE6"/>
    <w:rsid w:val="00A41567"/>
    <w:rsid w:val="00AA1D8D"/>
    <w:rsid w:val="00B47730"/>
    <w:rsid w:val="00C279B4"/>
    <w:rsid w:val="00CB0664"/>
    <w:rsid w:val="00D01E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6B360"/>
  <w14:defaultImageDpi w14:val="300"/>
  <w15:docId w15:val="{D7A4ADDF-B34A-AE4E-8B33-56A98133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41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20</Pages>
  <Words>2019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Prathosh Chander</cp:lastModifiedBy>
  <cp:revision>5</cp:revision>
  <dcterms:created xsi:type="dcterms:W3CDTF">2013-12-23T23:15:00Z</dcterms:created>
  <dcterms:modified xsi:type="dcterms:W3CDTF">2026-06-08T07:08:00Z</dcterms:modified>
  <cp:category/>
</cp:coreProperties>
</file>