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rPr/>
      </w:pPr>
      <w:bookmarkStart w:colFirst="0" w:colLast="0" w:name="_r5irirxzgcbs" w:id="0"/>
      <w:bookmarkEnd w:id="0"/>
      <w:r w:rsidDel="00000000" w:rsidR="00000000" w:rsidRPr="00000000">
        <w:rPr>
          <w:rtl w:val="0"/>
        </w:rPr>
        <w:t xml:space="preserve">Date: 26 June 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Team ID: LTVIP2025TMID32616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Project Name: HealthAI: Intelligent Healthcare Assistant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Maximum Marks: 2 Marks</w:t>
        <w:br w:type="textWrapping"/>
        <w:br w:type="textWrapping"/>
      </w:r>
    </w:p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rtl w:val="0"/>
        </w:rPr>
        <w:t xml:space="preserve">Proposed Solution Template: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Project team shall fill the following information in the proposed solution template.</w:t>
        <w:br w:type="textWrapping"/>
      </w:r>
    </w:p>
    <w:tbl>
      <w:tblPr>
        <w:tblStyle w:val="Table1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S.No.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Problem Statement (Problem to be solved)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Access to immediate, reliable, and understandable healthcare advice is limited, especially for individuals who cannot consult a doctor instantly. Many lack personalized insights into symptoms or health data.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Idea / Solution 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HealthAI is an intelligent assistant powered by IBM Watson ML and the Granite model. It answers health-related questions, predicts conditions based on symptoms, suggests treatment plans, and visualizes health data—all via a simple Streamlit UI.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Novelty / Uniqueness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Unlike generic symptom checkers, HealthAI combines real-time patient chat with predictive analytics and visual feedback using advanced AI. It provides empathetic, medically sound, and structured responses.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Social Impact / Customer Satisfaction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Improves health literacy, empowers proactive care, and bridges gaps in healthcare access. Offers peace of mind with AI-generated suggestions that guide users toward professional consultation when needed.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Business Model (Revenue Model)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Freemium model: Basic chat and prediction features for free, advanced analytics and personalized insights via subscription. Revenue streams include B2C subscriptions and B2B integrations for clinics.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Scalability of the Solution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supports expansion through IBM Cloud infrastructure, enabling regional model customization, wearable integrations, and multi-language support for broader accessibility.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40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40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75e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