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AI GTM Revenue Command Center</w:t>
      </w:r>
    </w:p>
    <w:p>
      <w:pPr>
        <w:jc w:val="center"/>
      </w:pPr>
      <w:r>
        <w:rPr>
          <w:b/>
          <w:sz w:val="32"/>
        </w:rPr>
        <w:t>Project Planning &amp; Portfolio Breakdown</w:t>
      </w:r>
    </w:p>
    <w:p>
      <w:pPr>
        <w:jc w:val="center"/>
      </w:pPr>
      <w:r>
        <w:rPr>
          <w:i/>
        </w:rPr>
        <w:t>A practical portfolio project for an AI GTM Engineer</w:t>
      </w:r>
    </w:p>
    <w:p>
      <w:pPr>
        <w:jc w:val="center"/>
      </w:pPr>
      <w:r>
        <w:rPr>
          <w:b/>
        </w:rPr>
        <w:t>Prepared for Pratibha Rana</w:t>
      </w:r>
    </w:p>
    <w:p>
      <w:r>
        <w:br w:type="page"/>
      </w:r>
    </w:p>
    <w:p>
      <w:pPr>
        <w:pStyle w:val="Heading1"/>
      </w:pPr>
      <w:r>
        <w:t>1. Executive Summary</w:t>
      </w:r>
    </w:p>
    <w:p>
      <w:r>
        <w:t>This project is a working prototype of an AI-powered revenue system for a fictional enterprise Salesforce DevOps company called CloudRelease AI. It demonstrates how a GTM Engineer can connect account discovery, enrichment, AI research, qualification, CRM updates, sales actions, analytics, and continuous improvement into one measurable workflow.</w:t>
      </w:r>
    </w:p>
    <w:p>
      <w:r>
        <w:t>It is not a simple chatbot or prompt collection. It is a closed-loop revenue-engineering system: data enters, AI makes a structured decision, an action is created in the CRM, an outcome is recorded, and the outcome is used to improve future decisions.</w:t>
      </w:r>
    </w:p>
    <w:p>
      <w:pPr>
        <w:pStyle w:val="Heading1"/>
      </w:pPr>
      <w:r>
        <w:t>2. What We Are Building</w:t>
      </w:r>
    </w:p>
    <w:p>
      <w:r>
        <w:t>Working name: CloudRelease AI Revenue Command Center</w:t>
      </w:r>
    </w:p>
    <w:p>
      <w:pPr>
        <w:pStyle w:val="ListBullet"/>
      </w:pPr>
      <w:r>
        <w:t>Product: Salesforce-native DevOps, release management, governance, compliance, and data-protection software.</w:t>
      </w:r>
    </w:p>
    <w:p>
      <w:pPr>
        <w:pStyle w:val="ListBullet"/>
      </w:pPr>
      <w:r>
        <w:t>Buyers: Salesforce leaders, Salesforce architects, DevOps/release managers, CIO/CTO stakeholders, and security/compliance teams.</w:t>
      </w:r>
    </w:p>
    <w:p>
      <w:pPr>
        <w:pStyle w:val="ListBullet"/>
      </w:pPr>
      <w:r>
        <w:t>Purpose: identify the right accounts, prioritize them, respond to inbound leads, reduce sales administration, and learn from pipeline outcomes.</w:t>
      </w:r>
    </w:p>
    <w:p>
      <w:pPr>
        <w:pStyle w:val="Heading1"/>
      </w:pPr>
      <w:r>
        <w:t>3. End-to-End Walkthrough</w:t>
      </w:r>
    </w:p>
    <w:p>
      <w:pPr>
        <w:pStyle w:val="ListNumber"/>
      </w:pPr>
      <w:r>
        <w:t>Define the Ideal Customer Profile (ICP)</w:t>
      </w:r>
    </w:p>
    <w:p>
      <w:pPr>
        <w:pStyle w:val="ListNumber"/>
      </w:pPr>
      <w:r>
        <w:t>Find companies using Clay</w:t>
      </w:r>
    </w:p>
    <w:p>
      <w:pPr>
        <w:pStyle w:val="ListNumber"/>
      </w:pPr>
      <w:r>
        <w:t>Enrich accounts with firmographic, technographic, hiring, and business signals</w:t>
      </w:r>
    </w:p>
    <w:p>
      <w:pPr>
        <w:pStyle w:val="ListNumber"/>
      </w:pPr>
      <w:r>
        <w:t>Use AI to research the account and explain the likely business problem</w:t>
      </w:r>
    </w:p>
    <w:p>
      <w:pPr>
        <w:pStyle w:val="ListNumber"/>
      </w:pPr>
      <w:r>
        <w:t>Score and tier the account</w:t>
      </w:r>
    </w:p>
    <w:p>
      <w:pPr>
        <w:pStyle w:val="ListNumber"/>
      </w:pPr>
      <w:r>
        <w:t>Store the account and decision in Salesforce</w:t>
      </w:r>
    </w:p>
    <w:p>
      <w:pPr>
        <w:pStyle w:val="ListNumber"/>
      </w:pPr>
      <w:r>
        <w:t>Qualify inbound form submissions in real time</w:t>
      </w:r>
    </w:p>
    <w:p>
      <w:pPr>
        <w:pStyle w:val="ListNumber"/>
      </w:pPr>
      <w:r>
        <w:t>Generate a recommended next action or personalized outreach draft</w:t>
      </w:r>
    </w:p>
    <w:p>
      <w:pPr>
        <w:pStyle w:val="ListNumber"/>
      </w:pPr>
      <w:r>
        <w:t>Record every event and outcome</w:t>
      </w:r>
    </w:p>
    <w:p>
      <w:pPr>
        <w:pStyle w:val="ListNumber"/>
      </w:pPr>
      <w:r>
        <w:t>Analyze conversion and agent performance</w:t>
      </w:r>
    </w:p>
    <w:p>
      <w:pPr>
        <w:pStyle w:val="ListNumber"/>
      </w:pPr>
      <w:r>
        <w:t>Refine prompts, rules, and data sources based on outcomes</w:t>
      </w:r>
    </w:p>
    <w:p>
      <w:pPr>
        <w:pStyle w:val="Heading1"/>
      </w:pPr>
      <w:r>
        <w:t>4. What the Project Achieves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Capability</w:t>
            </w:r>
          </w:p>
        </w:tc>
        <w:tc>
          <w:tcPr>
            <w:tcW w:type="dxa" w:w="3360"/>
            <w:vAlign w:val="center"/>
            <w:shd w:fill="D9EAF7"/>
          </w:tcPr>
          <w:p>
            <w:r/>
            <w:r>
              <w:rPr>
                <w:rFonts w:ascii="Arial" w:hAnsi="Arial"/>
                <w:b/>
                <w:sz w:val="18"/>
              </w:rPr>
              <w:t>What will exist</w:t>
            </w:r>
          </w:p>
        </w:tc>
        <w:tc>
          <w:tcPr>
            <w:tcW w:type="dxa" w:w="3360"/>
            <w:vAlign w:val="center"/>
            <w:shd w:fill="D9EAF7"/>
          </w:tcPr>
          <w:p>
            <w:r/>
            <w:r>
              <w:rPr>
                <w:rFonts w:ascii="Arial" w:hAnsi="Arial"/>
                <w:b/>
                <w:sz w:val="18"/>
              </w:rPr>
              <w:t>Business value</w:t>
            </w:r>
          </w:p>
        </w:tc>
      </w:tr>
      <w:tr>
        <w:tc>
          <w:tcPr>
            <w:tcW w:type="dxa" w:w="3360"/>
            <w:vAlign w:val="center"/>
          </w:tcPr>
          <w:p>
            <w:r/>
            <w:r>
              <w:rPr>
                <w:rFonts w:ascii="Arial" w:hAnsi="Arial"/>
                <w:b w:val="0"/>
                <w:sz w:val="18"/>
              </w:rPr>
              <w:t>Account discovery</w:t>
            </w:r>
          </w:p>
        </w:tc>
        <w:tc>
          <w:tcPr>
            <w:tcW w:type="dxa" w:w="3360"/>
            <w:vAlign w:val="center"/>
          </w:tcPr>
          <w:p>
            <w:r/>
            <w:r>
              <w:rPr>
                <w:rFonts w:ascii="Arial" w:hAnsi="Arial"/>
                <w:b w:val="0"/>
                <w:sz w:val="18"/>
              </w:rPr>
              <w:t>Clay-based lookalike and ICP-fit company search</w:t>
            </w:r>
          </w:p>
        </w:tc>
        <w:tc>
          <w:tcPr>
            <w:tcW w:type="dxa" w:w="3360"/>
            <w:vAlign w:val="center"/>
          </w:tcPr>
          <w:p>
            <w:r/>
            <w:r>
              <w:rPr>
                <w:rFonts w:ascii="Arial" w:hAnsi="Arial"/>
                <w:b w:val="0"/>
                <w:sz w:val="18"/>
              </w:rPr>
              <w:t>Repeatable target-account engine</w:t>
            </w:r>
          </w:p>
        </w:tc>
      </w:tr>
      <w:tr>
        <w:tc>
          <w:tcPr>
            <w:tcW w:type="dxa" w:w="3360"/>
            <w:vAlign w:val="center"/>
          </w:tcPr>
          <w:p>
            <w:r/>
            <w:r>
              <w:rPr>
                <w:rFonts w:ascii="Arial" w:hAnsi="Arial"/>
                <w:b w:val="0"/>
                <w:sz w:val="18"/>
              </w:rPr>
              <w:t>Enrichment</w:t>
            </w:r>
          </w:p>
        </w:tc>
        <w:tc>
          <w:tcPr>
            <w:tcW w:type="dxa" w:w="3360"/>
            <w:vAlign w:val="center"/>
          </w:tcPr>
          <w:p>
            <w:r/>
            <w:r>
              <w:rPr>
                <w:rFonts w:ascii="Arial" w:hAnsi="Arial"/>
                <w:b w:val="0"/>
                <w:sz w:val="18"/>
              </w:rPr>
              <w:t>Company, technology, hiring, and business signals</w:t>
            </w:r>
          </w:p>
        </w:tc>
        <w:tc>
          <w:tcPr>
            <w:tcW w:type="dxa" w:w="3360"/>
            <w:vAlign w:val="center"/>
          </w:tcPr>
          <w:p>
            <w:r/>
            <w:r>
              <w:rPr>
                <w:rFonts w:ascii="Arial" w:hAnsi="Arial"/>
                <w:b w:val="0"/>
                <w:sz w:val="18"/>
              </w:rPr>
              <w:t>Less manual research</w:t>
            </w:r>
          </w:p>
        </w:tc>
      </w:tr>
      <w:tr>
        <w:tc>
          <w:tcPr>
            <w:tcW w:type="dxa" w:w="3360"/>
            <w:vAlign w:val="center"/>
          </w:tcPr>
          <w:p>
            <w:r/>
            <w:r>
              <w:rPr>
                <w:rFonts w:ascii="Arial" w:hAnsi="Arial"/>
                <w:b w:val="0"/>
                <w:sz w:val="18"/>
              </w:rPr>
              <w:t>AI research</w:t>
            </w:r>
          </w:p>
        </w:tc>
        <w:tc>
          <w:tcPr>
            <w:tcW w:type="dxa" w:w="3360"/>
            <w:vAlign w:val="center"/>
          </w:tcPr>
          <w:p>
            <w:r/>
            <w:r>
              <w:rPr>
                <w:rFonts w:ascii="Arial" w:hAnsi="Arial"/>
                <w:b w:val="0"/>
                <w:sz w:val="18"/>
              </w:rPr>
              <w:t>Structured summary, pain hypothesis, personas, and reason-to-contact</w:t>
            </w:r>
          </w:p>
        </w:tc>
        <w:tc>
          <w:tcPr>
            <w:tcW w:type="dxa" w:w="3360"/>
            <w:vAlign w:val="center"/>
          </w:tcPr>
          <w:p>
            <w:r/>
            <w:r>
              <w:rPr>
                <w:rFonts w:ascii="Arial" w:hAnsi="Arial"/>
                <w:b w:val="0"/>
                <w:sz w:val="18"/>
              </w:rPr>
              <w:t>Better sales context</w:t>
            </w:r>
          </w:p>
        </w:tc>
      </w:tr>
      <w:tr>
        <w:tc>
          <w:tcPr>
            <w:tcW w:type="dxa" w:w="3360"/>
            <w:vAlign w:val="center"/>
          </w:tcPr>
          <w:p>
            <w:r/>
            <w:r>
              <w:rPr>
                <w:rFonts w:ascii="Arial" w:hAnsi="Arial"/>
                <w:b w:val="0"/>
                <w:sz w:val="18"/>
              </w:rPr>
              <w:t>ICP scoring</w:t>
            </w:r>
          </w:p>
        </w:tc>
        <w:tc>
          <w:tcPr>
            <w:tcW w:type="dxa" w:w="3360"/>
            <w:vAlign w:val="center"/>
          </w:tcPr>
          <w:p>
            <w:r/>
            <w:r>
              <w:rPr>
                <w:rFonts w:ascii="Arial" w:hAnsi="Arial"/>
                <w:b w:val="0"/>
                <w:sz w:val="18"/>
              </w:rPr>
              <w:t>Transparent score with evidence and tier</w:t>
            </w:r>
          </w:p>
        </w:tc>
        <w:tc>
          <w:tcPr>
            <w:tcW w:type="dxa" w:w="3360"/>
            <w:vAlign w:val="center"/>
          </w:tcPr>
          <w:p>
            <w:r/>
            <w:r>
              <w:rPr>
                <w:rFonts w:ascii="Arial" w:hAnsi="Arial"/>
                <w:b w:val="0"/>
                <w:sz w:val="18"/>
              </w:rPr>
              <w:t>Consistent prioritization</w:t>
            </w:r>
          </w:p>
        </w:tc>
      </w:tr>
      <w:tr>
        <w:tc>
          <w:tcPr>
            <w:tcW w:type="dxa" w:w="3360"/>
            <w:vAlign w:val="center"/>
          </w:tcPr>
          <w:p>
            <w:r/>
            <w:r>
              <w:rPr>
                <w:rFonts w:ascii="Arial" w:hAnsi="Arial"/>
                <w:b w:val="0"/>
                <w:sz w:val="18"/>
              </w:rPr>
              <w:t>CRM integration</w:t>
            </w:r>
          </w:p>
        </w:tc>
        <w:tc>
          <w:tcPr>
            <w:tcW w:type="dxa" w:w="3360"/>
            <w:vAlign w:val="center"/>
          </w:tcPr>
          <w:p>
            <w:r/>
            <w:r>
              <w:rPr>
                <w:rFonts w:ascii="Arial" w:hAnsi="Arial"/>
                <w:b w:val="0"/>
                <w:sz w:val="18"/>
              </w:rPr>
              <w:t>Accounts, leads, tasks, and fields written to Salesforce</w:t>
            </w:r>
          </w:p>
        </w:tc>
        <w:tc>
          <w:tcPr>
            <w:tcW w:type="dxa" w:w="3360"/>
            <w:vAlign w:val="center"/>
          </w:tcPr>
          <w:p>
            <w:r/>
            <w:r>
              <w:rPr>
                <w:rFonts w:ascii="Arial" w:hAnsi="Arial"/>
                <w:b w:val="0"/>
                <w:sz w:val="18"/>
              </w:rPr>
              <w:t>One source of truth</w:t>
            </w:r>
          </w:p>
        </w:tc>
      </w:tr>
      <w:tr>
        <w:tc>
          <w:tcPr>
            <w:tcW w:type="dxa" w:w="3360"/>
            <w:vAlign w:val="center"/>
          </w:tcPr>
          <w:p>
            <w:r/>
            <w:r>
              <w:rPr>
                <w:rFonts w:ascii="Arial" w:hAnsi="Arial"/>
                <w:b w:val="0"/>
                <w:sz w:val="18"/>
              </w:rPr>
              <w:t>Inbound qualification</w:t>
            </w:r>
          </w:p>
        </w:tc>
        <w:tc>
          <w:tcPr>
            <w:tcW w:type="dxa" w:w="3360"/>
            <w:vAlign w:val="center"/>
          </w:tcPr>
          <w:p>
            <w:r/>
            <w:r>
              <w:rPr>
                <w:rFonts w:ascii="Arial" w:hAnsi="Arial"/>
                <w:b w:val="0"/>
                <w:sz w:val="18"/>
              </w:rPr>
              <w:t>Form → AI qualification → routing → CRM/Slack</w:t>
            </w:r>
          </w:p>
        </w:tc>
        <w:tc>
          <w:tcPr>
            <w:tcW w:type="dxa" w:w="3360"/>
            <w:vAlign w:val="center"/>
          </w:tcPr>
          <w:p>
            <w:r/>
            <w:r>
              <w:rPr>
                <w:rFonts w:ascii="Arial" w:hAnsi="Arial"/>
                <w:b w:val="0"/>
                <w:sz w:val="18"/>
              </w:rPr>
              <w:t>Faster response and less lead loss</w:t>
            </w:r>
          </w:p>
        </w:tc>
      </w:tr>
      <w:tr>
        <w:tc>
          <w:tcPr>
            <w:tcW w:type="dxa" w:w="3360"/>
            <w:vAlign w:val="center"/>
          </w:tcPr>
          <w:p>
            <w:r/>
            <w:r>
              <w:rPr>
                <w:rFonts w:ascii="Arial" w:hAnsi="Arial"/>
                <w:b w:val="0"/>
                <w:sz w:val="18"/>
              </w:rPr>
              <w:t>AI SDR support</w:t>
            </w:r>
          </w:p>
        </w:tc>
        <w:tc>
          <w:tcPr>
            <w:tcW w:type="dxa" w:w="3360"/>
            <w:vAlign w:val="center"/>
          </w:tcPr>
          <w:p>
            <w:r/>
            <w:r>
              <w:rPr>
                <w:rFonts w:ascii="Arial" w:hAnsi="Arial"/>
                <w:b w:val="0"/>
                <w:sz w:val="18"/>
              </w:rPr>
              <w:t>Personalized drafts and next-action recommendations</w:t>
            </w:r>
          </w:p>
        </w:tc>
        <w:tc>
          <w:tcPr>
            <w:tcW w:type="dxa" w:w="3360"/>
            <w:vAlign w:val="center"/>
          </w:tcPr>
          <w:p>
            <w:r/>
            <w:r>
              <w:rPr>
                <w:rFonts w:ascii="Arial" w:hAnsi="Arial"/>
                <w:b w:val="0"/>
                <w:sz w:val="18"/>
              </w:rPr>
              <w:t>Higher seller productivity</w:t>
            </w:r>
          </w:p>
        </w:tc>
      </w:tr>
      <w:tr>
        <w:tc>
          <w:tcPr>
            <w:tcW w:type="dxa" w:w="3360"/>
            <w:vAlign w:val="center"/>
          </w:tcPr>
          <w:p>
            <w:r/>
            <w:r>
              <w:rPr>
                <w:rFonts w:ascii="Arial" w:hAnsi="Arial"/>
                <w:b w:val="0"/>
                <w:sz w:val="18"/>
              </w:rPr>
              <w:t>Analytics</w:t>
            </w:r>
          </w:p>
        </w:tc>
        <w:tc>
          <w:tcPr>
            <w:tcW w:type="dxa" w:w="3360"/>
            <w:vAlign w:val="center"/>
          </w:tcPr>
          <w:p>
            <w:r/>
            <w:r>
              <w:rPr>
                <w:rFonts w:ascii="Arial" w:hAnsi="Arial"/>
                <w:b w:val="0"/>
                <w:sz w:val="18"/>
              </w:rPr>
              <w:t>Funnel, activity, and agent-performance metrics</w:t>
            </w:r>
          </w:p>
        </w:tc>
        <w:tc>
          <w:tcPr>
            <w:tcW w:type="dxa" w:w="3360"/>
            <w:vAlign w:val="center"/>
          </w:tcPr>
          <w:p>
            <w:r/>
            <w:r>
              <w:rPr>
                <w:rFonts w:ascii="Arial" w:hAnsi="Arial"/>
                <w:b w:val="0"/>
                <w:sz w:val="18"/>
              </w:rPr>
              <w:t>Connection to revenue outcomes</w:t>
            </w:r>
          </w:p>
        </w:tc>
      </w:tr>
      <w:tr>
        <w:tc>
          <w:tcPr>
            <w:tcW w:type="dxa" w:w="3360"/>
            <w:vAlign w:val="center"/>
          </w:tcPr>
          <w:p>
            <w:r/>
            <w:r>
              <w:rPr>
                <w:rFonts w:ascii="Arial" w:hAnsi="Arial"/>
                <w:b w:val="0"/>
                <w:sz w:val="18"/>
              </w:rPr>
              <w:t>Learning loop</w:t>
            </w:r>
          </w:p>
        </w:tc>
        <w:tc>
          <w:tcPr>
            <w:tcW w:type="dxa" w:w="3360"/>
            <w:vAlign w:val="center"/>
          </w:tcPr>
          <w:p>
            <w:r/>
            <w:r>
              <w:rPr>
                <w:rFonts w:ascii="Arial" w:hAnsi="Arial"/>
                <w:b w:val="0"/>
                <w:sz w:val="18"/>
              </w:rPr>
              <w:t>Versioned prompts, evaluations, and refinement log</w:t>
            </w:r>
          </w:p>
        </w:tc>
        <w:tc>
          <w:tcPr>
            <w:tcW w:type="dxa" w:w="3360"/>
            <w:vAlign w:val="center"/>
          </w:tcPr>
          <w:p>
            <w:r/>
            <w:r>
              <w:rPr>
                <w:rFonts w:ascii="Arial" w:hAnsi="Arial"/>
                <w:b w:val="0"/>
                <w:sz w:val="18"/>
              </w:rPr>
              <w:t>Continuous improvement</w:t>
            </w:r>
          </w:p>
        </w:tc>
      </w:tr>
    </w:tbl>
    <w:p/>
    <w:p>
      <w:pPr>
        <w:pStyle w:val="Heading1"/>
      </w:pPr>
      <w:r>
        <w:t>5. Scope: MVP vs Advanced</w:t>
      </w:r>
    </w:p>
    <w:p>
      <w:pPr>
        <w:pStyle w:val="Heading2"/>
      </w:pPr>
      <w:r>
        <w:t>MVP — complete first</w:t>
      </w:r>
    </w:p>
    <w:p>
      <w:pPr>
        <w:pStyle w:val="ListBullet"/>
      </w:pPr>
      <w:r>
        <w:t>Clay account discovery and enrichment</w:t>
      </w:r>
    </w:p>
    <w:p>
      <w:pPr>
        <w:pStyle w:val="ListBullet"/>
      </w:pPr>
      <w:r>
        <w:t>ICP scoring model</w:t>
      </w:r>
    </w:p>
    <w:p>
      <w:pPr>
        <w:pStyle w:val="ListBullet"/>
      </w:pPr>
      <w:r>
        <w:t>Salesforce data model and API integration</w:t>
      </w:r>
    </w:p>
    <w:p>
      <w:pPr>
        <w:pStyle w:val="ListBullet"/>
      </w:pPr>
      <w:r>
        <w:t>AI account research agent</w:t>
      </w:r>
    </w:p>
    <w:p>
      <w:pPr>
        <w:pStyle w:val="ListBullet"/>
      </w:pPr>
      <w:r>
        <w:t>Inbound qualification workflow</w:t>
      </w:r>
    </w:p>
    <w:p>
      <w:pPr>
        <w:pStyle w:val="ListBullet"/>
      </w:pPr>
      <w:r>
        <w:t>n8n orchestration</w:t>
      </w:r>
    </w:p>
    <w:p>
      <w:pPr>
        <w:pStyle w:val="ListBullet"/>
      </w:pPr>
      <w:r>
        <w:t>Python/FastAPI service</w:t>
      </w:r>
    </w:p>
    <w:p>
      <w:pPr>
        <w:pStyle w:val="ListBullet"/>
      </w:pPr>
      <w:r>
        <w:t>Event logging and SQL analytics</w:t>
      </w:r>
    </w:p>
    <w:p>
      <w:pPr>
        <w:pStyle w:val="ListBullet"/>
      </w:pPr>
      <w:r>
        <w:t>Documentation, tests, and Loom walkthrough</w:t>
      </w:r>
    </w:p>
    <w:p>
      <w:pPr>
        <w:pStyle w:val="Heading2"/>
      </w:pPr>
      <w:r>
        <w:t>Advanced modules — add after MVP</w:t>
      </w:r>
    </w:p>
    <w:p>
      <w:pPr>
        <w:pStyle w:val="ListBullet"/>
      </w:pPr>
      <w:r>
        <w:t>Gong-style meeting transcript intelligence</w:t>
      </w:r>
    </w:p>
    <w:p>
      <w:pPr>
        <w:pStyle w:val="ListBullet"/>
      </w:pPr>
      <w:r>
        <w:t>Competitive intelligence monitoring</w:t>
      </w:r>
    </w:p>
    <w:p>
      <w:pPr>
        <w:pStyle w:val="ListBullet"/>
      </w:pPr>
      <w:r>
        <w:t>Customer health and churn-risk scoring</w:t>
      </w:r>
    </w:p>
    <w:p>
      <w:pPr>
        <w:pStyle w:val="ListBullet"/>
      </w:pPr>
      <w:r>
        <w:t>Multi-agent orchestration and duplicate-outreach prevention</w:t>
      </w:r>
    </w:p>
    <w:p>
      <w:pPr>
        <w:pStyle w:val="ListBullet"/>
      </w:pPr>
      <w:r>
        <w:t>Agentforce/Salesforce-native AI concepts</w:t>
      </w:r>
    </w:p>
    <w:p>
      <w:pPr>
        <w:pStyle w:val="ListBullet"/>
      </w:pPr>
      <w:r>
        <w:t>Vendor evaluation and bakeoff framework</w:t>
      </w:r>
    </w:p>
    <w:p>
      <w:pPr>
        <w:pStyle w:val="Heading1"/>
      </w:pPr>
      <w:r>
        <w:t>6. Recommended Architecture</w:t>
      </w:r>
    </w:p>
    <w:p>
      <w:pPr>
        <w:pStyle w:val="ListBullet"/>
      </w:pPr>
      <w:r>
        <w:t>Clay: finds and enriches target accounts</w:t>
      </w:r>
    </w:p>
    <w:p>
      <w:pPr>
        <w:pStyle w:val="ListBullet"/>
      </w:pPr>
      <w:r>
        <w:t>Python/FastAPI: reusable business logic and AI endpoints</w:t>
      </w:r>
    </w:p>
    <w:p>
      <w:pPr>
        <w:pStyle w:val="ListBullet"/>
      </w:pPr>
      <w:r>
        <w:t>LLM API: structured research and qualification outputs</w:t>
      </w:r>
    </w:p>
    <w:p>
      <w:pPr>
        <w:pStyle w:val="ListBullet"/>
      </w:pPr>
      <w:r>
        <w:t>n8n: orchestration, routing, retries, and notifications</w:t>
      </w:r>
    </w:p>
    <w:p>
      <w:pPr>
        <w:pStyle w:val="ListBullet"/>
      </w:pPr>
      <w:r>
        <w:t>Salesforce: system of record for accounts, leads, tasks, and opportunities</w:t>
      </w:r>
    </w:p>
    <w:p>
      <w:pPr>
        <w:pStyle w:val="ListBullet"/>
      </w:pPr>
      <w:r>
        <w:t>PostgreSQL: events, agent versions, outcomes, and analytics</w:t>
      </w:r>
    </w:p>
    <w:p>
      <w:pPr>
        <w:pStyle w:val="ListBullet"/>
      </w:pPr>
      <w:r>
        <w:t>Slack/email: internal alerts and recommended actions</w:t>
      </w:r>
    </w:p>
    <w:p>
      <w:pPr>
        <w:pStyle w:val="ListBullet"/>
      </w:pPr>
      <w:r>
        <w:t>GitHub: code, workflows, prompts, documentation, and evaluations</w:t>
      </w:r>
    </w:p>
    <w:p>
      <w:pPr>
        <w:pStyle w:val="Heading1"/>
      </w:pPr>
      <w:r>
        <w:t>7. 30-Day Delivery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Days</w:t>
            </w:r>
          </w:p>
        </w:tc>
        <w:tc>
          <w:tcPr>
            <w:tcW w:type="dxa" w:w="2520"/>
            <w:vAlign w:val="center"/>
            <w:shd w:fill="D9EAF7"/>
          </w:tcPr>
          <w:p>
            <w:r/>
            <w:r>
              <w:rPr>
                <w:rFonts w:ascii="Arial" w:hAnsi="Arial"/>
                <w:b/>
                <w:sz w:val="18"/>
              </w:rPr>
              <w:t>Phase</w:t>
            </w:r>
          </w:p>
        </w:tc>
        <w:tc>
          <w:tcPr>
            <w:tcW w:type="dxa" w:w="2520"/>
            <w:vAlign w:val="center"/>
            <w:shd w:fill="D9EAF7"/>
          </w:tcPr>
          <w:p>
            <w:r/>
            <w:r>
              <w:rPr>
                <w:rFonts w:ascii="Arial" w:hAnsi="Arial"/>
                <w:b/>
                <w:sz w:val="18"/>
              </w:rPr>
              <w:t>Main work</w:t>
            </w:r>
          </w:p>
        </w:tc>
        <w:tc>
          <w:tcPr>
            <w:tcW w:type="dxa" w:w="2520"/>
            <w:vAlign w:val="center"/>
            <w:shd w:fill="D9EAF7"/>
          </w:tcPr>
          <w:p>
            <w:r/>
            <w:r>
              <w:rPr>
                <w:rFonts w:ascii="Arial" w:hAnsi="Arial"/>
                <w:b/>
                <w:sz w:val="18"/>
              </w:rPr>
              <w:t>Deliverable</w:t>
            </w:r>
          </w:p>
        </w:tc>
      </w:tr>
      <w:tr>
        <w:tc>
          <w:tcPr>
            <w:tcW w:type="dxa" w:w="2520"/>
            <w:vAlign w:val="center"/>
          </w:tcPr>
          <w:p>
            <w:r/>
            <w:r>
              <w:rPr>
                <w:rFonts w:ascii="Arial" w:hAnsi="Arial"/>
                <w:b w:val="0"/>
                <w:sz w:val="18"/>
              </w:rPr>
              <w:t>1–3</w:t>
            </w:r>
          </w:p>
        </w:tc>
        <w:tc>
          <w:tcPr>
            <w:tcW w:type="dxa" w:w="2520"/>
            <w:vAlign w:val="center"/>
          </w:tcPr>
          <w:p>
            <w:r/>
            <w:r>
              <w:rPr>
                <w:rFonts w:ascii="Arial" w:hAnsi="Arial"/>
                <w:b w:val="0"/>
                <w:sz w:val="18"/>
              </w:rPr>
              <w:t>GTM foundation</w:t>
            </w:r>
          </w:p>
        </w:tc>
        <w:tc>
          <w:tcPr>
            <w:tcW w:type="dxa" w:w="2520"/>
            <w:vAlign w:val="center"/>
          </w:tcPr>
          <w:p>
            <w:r/>
            <w:r>
              <w:rPr>
                <w:rFonts w:ascii="Arial" w:hAnsi="Arial"/>
                <w:b w:val="0"/>
                <w:sz w:val="18"/>
              </w:rPr>
              <w:t>ICP, personas, buyer problems, pipeline assumptions</w:t>
            </w:r>
          </w:p>
        </w:tc>
        <w:tc>
          <w:tcPr>
            <w:tcW w:type="dxa" w:w="2520"/>
            <w:vAlign w:val="center"/>
          </w:tcPr>
          <w:p>
            <w:r/>
            <w:r>
              <w:rPr>
                <w:rFonts w:ascii="Arial" w:hAnsi="Arial"/>
                <w:b w:val="0"/>
                <w:sz w:val="18"/>
              </w:rPr>
              <w:t>GTM strategy</w:t>
            </w:r>
          </w:p>
        </w:tc>
      </w:tr>
      <w:tr>
        <w:tc>
          <w:tcPr>
            <w:tcW w:type="dxa" w:w="2520"/>
            <w:vAlign w:val="center"/>
          </w:tcPr>
          <w:p>
            <w:r/>
            <w:r>
              <w:rPr>
                <w:rFonts w:ascii="Arial" w:hAnsi="Arial"/>
                <w:b w:val="0"/>
                <w:sz w:val="18"/>
              </w:rPr>
              <w:t>4–6</w:t>
            </w:r>
          </w:p>
        </w:tc>
        <w:tc>
          <w:tcPr>
            <w:tcW w:type="dxa" w:w="2520"/>
            <w:vAlign w:val="center"/>
          </w:tcPr>
          <w:p>
            <w:r/>
            <w:r>
              <w:rPr>
                <w:rFonts w:ascii="Arial" w:hAnsi="Arial"/>
                <w:b w:val="0"/>
                <w:sz w:val="18"/>
              </w:rPr>
              <w:t>Salesforce foundation</w:t>
            </w:r>
          </w:p>
        </w:tc>
        <w:tc>
          <w:tcPr>
            <w:tcW w:type="dxa" w:w="2520"/>
            <w:vAlign w:val="center"/>
          </w:tcPr>
          <w:p>
            <w:r/>
            <w:r>
              <w:rPr>
                <w:rFonts w:ascii="Arial" w:hAnsi="Arial"/>
                <w:b w:val="0"/>
                <w:sz w:val="18"/>
              </w:rPr>
              <w:t>Objects, fields, sample records, API authentication</w:t>
            </w:r>
          </w:p>
        </w:tc>
        <w:tc>
          <w:tcPr>
            <w:tcW w:type="dxa" w:w="2520"/>
            <w:vAlign w:val="center"/>
          </w:tcPr>
          <w:p>
            <w:r/>
            <w:r>
              <w:rPr>
                <w:rFonts w:ascii="Arial" w:hAnsi="Arial"/>
                <w:b w:val="0"/>
                <w:sz w:val="18"/>
              </w:rPr>
              <w:t>Data model + Python integration</w:t>
            </w:r>
          </w:p>
        </w:tc>
      </w:tr>
      <w:tr>
        <w:tc>
          <w:tcPr>
            <w:tcW w:type="dxa" w:w="2520"/>
            <w:vAlign w:val="center"/>
          </w:tcPr>
          <w:p>
            <w:r/>
            <w:r>
              <w:rPr>
                <w:rFonts w:ascii="Arial" w:hAnsi="Arial"/>
                <w:b w:val="0"/>
                <w:sz w:val="18"/>
              </w:rPr>
              <w:t>7–10</w:t>
            </w:r>
          </w:p>
        </w:tc>
        <w:tc>
          <w:tcPr>
            <w:tcW w:type="dxa" w:w="2520"/>
            <w:vAlign w:val="center"/>
          </w:tcPr>
          <w:p>
            <w:r/>
            <w:r>
              <w:rPr>
                <w:rFonts w:ascii="Arial" w:hAnsi="Arial"/>
                <w:b w:val="0"/>
                <w:sz w:val="18"/>
              </w:rPr>
              <w:t>Clay account engine</w:t>
            </w:r>
          </w:p>
        </w:tc>
        <w:tc>
          <w:tcPr>
            <w:tcW w:type="dxa" w:w="2520"/>
            <w:vAlign w:val="center"/>
          </w:tcPr>
          <w:p>
            <w:r/>
            <w:r>
              <w:rPr>
                <w:rFonts w:ascii="Arial" w:hAnsi="Arial"/>
                <w:b w:val="0"/>
                <w:sz w:val="18"/>
              </w:rPr>
              <w:t>Find companies, lookalikes, enrichment, filters</w:t>
            </w:r>
          </w:p>
        </w:tc>
        <w:tc>
          <w:tcPr>
            <w:tcW w:type="dxa" w:w="2520"/>
            <w:vAlign w:val="center"/>
          </w:tcPr>
          <w:p>
            <w:r/>
            <w:r>
              <w:rPr>
                <w:rFonts w:ascii="Arial" w:hAnsi="Arial"/>
                <w:b w:val="0"/>
                <w:sz w:val="18"/>
              </w:rPr>
              <w:t>Target-account dataset</w:t>
            </w:r>
          </w:p>
        </w:tc>
      </w:tr>
      <w:tr>
        <w:tc>
          <w:tcPr>
            <w:tcW w:type="dxa" w:w="2520"/>
            <w:vAlign w:val="center"/>
          </w:tcPr>
          <w:p>
            <w:r/>
            <w:r>
              <w:rPr>
                <w:rFonts w:ascii="Arial" w:hAnsi="Arial"/>
                <w:b w:val="0"/>
                <w:sz w:val="18"/>
              </w:rPr>
              <w:t>11–13</w:t>
            </w:r>
          </w:p>
        </w:tc>
        <w:tc>
          <w:tcPr>
            <w:tcW w:type="dxa" w:w="2520"/>
            <w:vAlign w:val="center"/>
          </w:tcPr>
          <w:p>
            <w:r/>
            <w:r>
              <w:rPr>
                <w:rFonts w:ascii="Arial" w:hAnsi="Arial"/>
                <w:b w:val="0"/>
                <w:sz w:val="18"/>
              </w:rPr>
              <w:t>Scoring and CRM sync</w:t>
            </w:r>
          </w:p>
        </w:tc>
        <w:tc>
          <w:tcPr>
            <w:tcW w:type="dxa" w:w="2520"/>
            <w:vAlign w:val="center"/>
          </w:tcPr>
          <w:p>
            <w:r/>
            <w:r>
              <w:rPr>
                <w:rFonts w:ascii="Arial" w:hAnsi="Arial"/>
                <w:b w:val="0"/>
                <w:sz w:val="18"/>
              </w:rPr>
              <w:t>Evidence-based score, tiers, CSV/API sync</w:t>
            </w:r>
          </w:p>
        </w:tc>
        <w:tc>
          <w:tcPr>
            <w:tcW w:type="dxa" w:w="2520"/>
            <w:vAlign w:val="center"/>
          </w:tcPr>
          <w:p>
            <w:r/>
            <w:r>
              <w:rPr>
                <w:rFonts w:ascii="Arial" w:hAnsi="Arial"/>
                <w:b w:val="0"/>
                <w:sz w:val="18"/>
              </w:rPr>
              <w:t>Prioritized accounts in Salesforce</w:t>
            </w:r>
          </w:p>
        </w:tc>
      </w:tr>
      <w:tr>
        <w:tc>
          <w:tcPr>
            <w:tcW w:type="dxa" w:w="2520"/>
            <w:vAlign w:val="center"/>
          </w:tcPr>
          <w:p>
            <w:r/>
            <w:r>
              <w:rPr>
                <w:rFonts w:ascii="Arial" w:hAnsi="Arial"/>
                <w:b w:val="0"/>
                <w:sz w:val="18"/>
              </w:rPr>
              <w:t>14–17</w:t>
            </w:r>
          </w:p>
        </w:tc>
        <w:tc>
          <w:tcPr>
            <w:tcW w:type="dxa" w:w="2520"/>
            <w:vAlign w:val="center"/>
          </w:tcPr>
          <w:p>
            <w:r/>
            <w:r>
              <w:rPr>
                <w:rFonts w:ascii="Arial" w:hAnsi="Arial"/>
                <w:b w:val="0"/>
                <w:sz w:val="18"/>
              </w:rPr>
              <w:t>AI research agent</w:t>
            </w:r>
          </w:p>
        </w:tc>
        <w:tc>
          <w:tcPr>
            <w:tcW w:type="dxa" w:w="2520"/>
            <w:vAlign w:val="center"/>
          </w:tcPr>
          <w:p>
            <w:r/>
            <w:r>
              <w:rPr>
                <w:rFonts w:ascii="Arial" w:hAnsi="Arial"/>
                <w:b w:val="0"/>
                <w:sz w:val="18"/>
              </w:rPr>
              <w:t>Structured output, prompt versioning, validation</w:t>
            </w:r>
          </w:p>
        </w:tc>
        <w:tc>
          <w:tcPr>
            <w:tcW w:type="dxa" w:w="2520"/>
            <w:vAlign w:val="center"/>
          </w:tcPr>
          <w:p>
            <w:r/>
            <w:r>
              <w:rPr>
                <w:rFonts w:ascii="Arial" w:hAnsi="Arial"/>
                <w:b w:val="0"/>
                <w:sz w:val="18"/>
              </w:rPr>
              <w:t>Research endpoint</w:t>
            </w:r>
          </w:p>
        </w:tc>
      </w:tr>
      <w:tr>
        <w:tc>
          <w:tcPr>
            <w:tcW w:type="dxa" w:w="2520"/>
            <w:vAlign w:val="center"/>
          </w:tcPr>
          <w:p>
            <w:r/>
            <w:r>
              <w:rPr>
                <w:rFonts w:ascii="Arial" w:hAnsi="Arial"/>
                <w:b w:val="0"/>
                <w:sz w:val="18"/>
              </w:rPr>
              <w:t>18–21</w:t>
            </w:r>
          </w:p>
        </w:tc>
        <w:tc>
          <w:tcPr>
            <w:tcW w:type="dxa" w:w="2520"/>
            <w:vAlign w:val="center"/>
          </w:tcPr>
          <w:p>
            <w:r/>
            <w:r>
              <w:rPr>
                <w:rFonts w:ascii="Arial" w:hAnsi="Arial"/>
                <w:b w:val="0"/>
                <w:sz w:val="18"/>
              </w:rPr>
              <w:t>Inbound qualification</w:t>
            </w:r>
          </w:p>
        </w:tc>
        <w:tc>
          <w:tcPr>
            <w:tcW w:type="dxa" w:w="2520"/>
            <w:vAlign w:val="center"/>
          </w:tcPr>
          <w:p>
            <w:r/>
            <w:r>
              <w:rPr>
                <w:rFonts w:ascii="Arial" w:hAnsi="Arial"/>
                <w:b w:val="0"/>
                <w:sz w:val="18"/>
              </w:rPr>
              <w:t>Form, webhook, AI qualification, routing</w:t>
            </w:r>
          </w:p>
        </w:tc>
        <w:tc>
          <w:tcPr>
            <w:tcW w:type="dxa" w:w="2520"/>
            <w:vAlign w:val="center"/>
          </w:tcPr>
          <w:p>
            <w:r/>
            <w:r>
              <w:rPr>
                <w:rFonts w:ascii="Arial" w:hAnsi="Arial"/>
                <w:b w:val="0"/>
                <w:sz w:val="18"/>
              </w:rPr>
              <w:t>Working n8n workflow</w:t>
            </w:r>
          </w:p>
        </w:tc>
      </w:tr>
      <w:tr>
        <w:tc>
          <w:tcPr>
            <w:tcW w:type="dxa" w:w="2520"/>
            <w:vAlign w:val="center"/>
          </w:tcPr>
          <w:p>
            <w:r/>
            <w:r>
              <w:rPr>
                <w:rFonts w:ascii="Arial" w:hAnsi="Arial"/>
                <w:b w:val="0"/>
                <w:sz w:val="18"/>
              </w:rPr>
              <w:t>22–24</w:t>
            </w:r>
          </w:p>
        </w:tc>
        <w:tc>
          <w:tcPr>
            <w:tcW w:type="dxa" w:w="2520"/>
            <w:vAlign w:val="center"/>
          </w:tcPr>
          <w:p>
            <w:r/>
            <w:r>
              <w:rPr>
                <w:rFonts w:ascii="Arial" w:hAnsi="Arial"/>
                <w:b w:val="0"/>
                <w:sz w:val="18"/>
              </w:rPr>
              <w:t>AI SDR support</w:t>
            </w:r>
          </w:p>
        </w:tc>
        <w:tc>
          <w:tcPr>
            <w:tcW w:type="dxa" w:w="2520"/>
            <w:vAlign w:val="center"/>
          </w:tcPr>
          <w:p>
            <w:r/>
            <w:r>
              <w:rPr>
                <w:rFonts w:ascii="Arial" w:hAnsi="Arial"/>
                <w:b w:val="0"/>
                <w:sz w:val="18"/>
              </w:rPr>
              <w:t>Personalization, next action, draft sequence</w:t>
            </w:r>
          </w:p>
        </w:tc>
        <w:tc>
          <w:tcPr>
            <w:tcW w:type="dxa" w:w="2520"/>
            <w:vAlign w:val="center"/>
          </w:tcPr>
          <w:p>
            <w:r/>
            <w:r>
              <w:rPr>
                <w:rFonts w:ascii="Arial" w:hAnsi="Arial"/>
                <w:b w:val="0"/>
                <w:sz w:val="18"/>
              </w:rPr>
              <w:t>Controlled outreach demo</w:t>
            </w:r>
          </w:p>
        </w:tc>
      </w:tr>
      <w:tr>
        <w:tc>
          <w:tcPr>
            <w:tcW w:type="dxa" w:w="2520"/>
            <w:vAlign w:val="center"/>
          </w:tcPr>
          <w:p>
            <w:r/>
            <w:r>
              <w:rPr>
                <w:rFonts w:ascii="Arial" w:hAnsi="Arial"/>
                <w:b w:val="0"/>
                <w:sz w:val="18"/>
              </w:rPr>
              <w:t>25–27</w:t>
            </w:r>
          </w:p>
        </w:tc>
        <w:tc>
          <w:tcPr>
            <w:tcW w:type="dxa" w:w="2520"/>
            <w:vAlign w:val="center"/>
          </w:tcPr>
          <w:p>
            <w:r/>
            <w:r>
              <w:rPr>
                <w:rFonts w:ascii="Arial" w:hAnsi="Arial"/>
                <w:b w:val="0"/>
                <w:sz w:val="18"/>
              </w:rPr>
              <w:t>Analytics</w:t>
            </w:r>
          </w:p>
        </w:tc>
        <w:tc>
          <w:tcPr>
            <w:tcW w:type="dxa" w:w="2520"/>
            <w:vAlign w:val="center"/>
          </w:tcPr>
          <w:p>
            <w:r/>
            <w:r>
              <w:rPr>
                <w:rFonts w:ascii="Arial" w:hAnsi="Arial"/>
                <w:b w:val="0"/>
                <w:sz w:val="18"/>
              </w:rPr>
              <w:t>Event schema and SQL funnel metrics</w:t>
            </w:r>
          </w:p>
        </w:tc>
        <w:tc>
          <w:tcPr>
            <w:tcW w:type="dxa" w:w="2520"/>
            <w:vAlign w:val="center"/>
          </w:tcPr>
          <w:p>
            <w:r/>
            <w:r>
              <w:rPr>
                <w:rFonts w:ascii="Arial" w:hAnsi="Arial"/>
                <w:b w:val="0"/>
                <w:sz w:val="18"/>
              </w:rPr>
              <w:t>Analytics report</w:t>
            </w:r>
          </w:p>
        </w:tc>
      </w:tr>
      <w:tr>
        <w:tc>
          <w:tcPr>
            <w:tcW w:type="dxa" w:w="2520"/>
            <w:vAlign w:val="center"/>
          </w:tcPr>
          <w:p>
            <w:r/>
            <w:r>
              <w:rPr>
                <w:rFonts w:ascii="Arial" w:hAnsi="Arial"/>
                <w:b w:val="0"/>
                <w:sz w:val="18"/>
              </w:rPr>
              <w:t>28–30</w:t>
            </w:r>
          </w:p>
        </w:tc>
        <w:tc>
          <w:tcPr>
            <w:tcW w:type="dxa" w:w="2520"/>
            <w:vAlign w:val="center"/>
          </w:tcPr>
          <w:p>
            <w:r/>
            <w:r>
              <w:rPr>
                <w:rFonts w:ascii="Arial" w:hAnsi="Arial"/>
                <w:b w:val="0"/>
                <w:sz w:val="18"/>
              </w:rPr>
              <w:t>Packaging</w:t>
            </w:r>
          </w:p>
        </w:tc>
        <w:tc>
          <w:tcPr>
            <w:tcW w:type="dxa" w:w="2520"/>
            <w:vAlign w:val="center"/>
          </w:tcPr>
          <w:p>
            <w:r/>
            <w:r>
              <w:rPr>
                <w:rFonts w:ascii="Arial" w:hAnsi="Arial"/>
                <w:b w:val="0"/>
                <w:sz w:val="18"/>
              </w:rPr>
              <w:t>Tests, README, architecture, Loom, limitations</w:t>
            </w:r>
          </w:p>
        </w:tc>
        <w:tc>
          <w:tcPr>
            <w:tcW w:type="dxa" w:w="2520"/>
            <w:vAlign w:val="center"/>
          </w:tcPr>
          <w:p>
            <w:r/>
            <w:r>
              <w:rPr>
                <w:rFonts w:ascii="Arial" w:hAnsi="Arial"/>
                <w:b w:val="0"/>
                <w:sz w:val="18"/>
              </w:rPr>
              <w:t>Portfolio repository</w:t>
            </w:r>
          </w:p>
        </w:tc>
      </w:tr>
    </w:tbl>
    <w:p/>
    <w:p>
      <w:pPr>
        <w:pStyle w:val="Heading1"/>
      </w:pPr>
      <w:r>
        <w:t>8. Concrete Demo Scenario</w:t>
      </w:r>
    </w:p>
    <w:p>
      <w:pPr>
        <w:pStyle w:val="ListNumber"/>
      </w:pPr>
      <w:r>
        <w:t>A target account is found in Clay because it matches enterprise size, Salesforce usage, and relevant DevOps/compliance signals.</w:t>
      </w:r>
    </w:p>
    <w:p>
      <w:pPr>
        <w:pStyle w:val="ListNumber"/>
      </w:pPr>
      <w:r>
        <w:t>Clay enriches the account and sends the record to the Python/n8n layer.</w:t>
      </w:r>
    </w:p>
    <w:p>
      <w:pPr>
        <w:pStyle w:val="ListNumber"/>
      </w:pPr>
      <w:r>
        <w:t>The AI research agent returns a score, evidence, likely pain, relevant personas, and a reason-to-contact.</w:t>
      </w:r>
    </w:p>
    <w:p>
      <w:pPr>
        <w:pStyle w:val="ListNumber"/>
      </w:pPr>
      <w:r>
        <w:t>The system creates or updates the account in Salesforce and records the agent version.</w:t>
      </w:r>
    </w:p>
    <w:p>
      <w:pPr>
        <w:pStyle w:val="ListNumber"/>
      </w:pPr>
      <w:r>
        <w:t>A simulated inbound form submission arrives from a Salesforce leader with a near-term deployment problem.</w:t>
      </w:r>
    </w:p>
    <w:p>
      <w:pPr>
        <w:pStyle w:val="ListNumber"/>
      </w:pPr>
      <w:r>
        <w:t>The qualification agent classifies the lead, explains the decision, and recommends routing.</w:t>
      </w:r>
    </w:p>
    <w:p>
      <w:pPr>
        <w:pStyle w:val="ListNumber"/>
      </w:pPr>
      <w:r>
        <w:t>n8n creates a Salesforce task and sends an internal Slack alert.</w:t>
      </w:r>
    </w:p>
    <w:p>
      <w:pPr>
        <w:pStyle w:val="ListNumber"/>
      </w:pPr>
      <w:r>
        <w:t>The system records the event and later accepts an outcome such as meeting booked, SQL, opportunity, or lost.</w:t>
      </w:r>
    </w:p>
    <w:p>
      <w:pPr>
        <w:pStyle w:val="ListNumber"/>
      </w:pPr>
      <w:r>
        <w:t>Analytics compares outcomes by source, persona, signal, and agent version.</w:t>
      </w:r>
    </w:p>
    <w:p>
      <w:pPr>
        <w:pStyle w:val="Heading1"/>
      </w:pPr>
      <w:r>
        <w:t>9. Example Data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Object/table</w:t>
            </w:r>
          </w:p>
        </w:tc>
        <w:tc>
          <w:tcPr>
            <w:tcW w:type="dxa" w:w="5040"/>
            <w:vAlign w:val="center"/>
            <w:shd w:fill="D9EAF7"/>
          </w:tcPr>
          <w:p>
            <w:r/>
            <w:r>
              <w:rPr>
                <w:rFonts w:ascii="Arial" w:hAnsi="Arial"/>
                <w:b/>
                <w:sz w:val="18"/>
              </w:rPr>
              <w:t>Important fields</w:t>
            </w:r>
          </w:p>
        </w:tc>
      </w:tr>
      <w:tr>
        <w:tc>
          <w:tcPr>
            <w:tcW w:type="dxa" w:w="5040"/>
            <w:vAlign w:val="center"/>
          </w:tcPr>
          <w:p>
            <w:r/>
            <w:r>
              <w:rPr>
                <w:rFonts w:ascii="Arial" w:hAnsi="Arial"/>
                <w:b w:val="0"/>
                <w:sz w:val="18"/>
              </w:rPr>
              <w:t>Account</w:t>
            </w:r>
          </w:p>
        </w:tc>
        <w:tc>
          <w:tcPr>
            <w:tcW w:type="dxa" w:w="5040"/>
            <w:vAlign w:val="center"/>
          </w:tcPr>
          <w:p>
            <w:r/>
            <w:r>
              <w:rPr>
                <w:rFonts w:ascii="Arial" w:hAnsi="Arial"/>
                <w:b w:val="0"/>
                <w:sz w:val="18"/>
              </w:rPr>
              <w:t>name, domain, industry, employees, Salesforce signal, DevOps signal, compliance signal, ICP score, ICP tier</w:t>
            </w:r>
          </w:p>
        </w:tc>
      </w:tr>
      <w:tr>
        <w:tc>
          <w:tcPr>
            <w:tcW w:type="dxa" w:w="5040"/>
            <w:vAlign w:val="center"/>
          </w:tcPr>
          <w:p>
            <w:r/>
            <w:r>
              <w:rPr>
                <w:rFonts w:ascii="Arial" w:hAnsi="Arial"/>
                <w:b w:val="0"/>
                <w:sz w:val="18"/>
              </w:rPr>
              <w:t>Lead</w:t>
            </w:r>
          </w:p>
        </w:tc>
        <w:tc>
          <w:tcPr>
            <w:tcW w:type="dxa" w:w="5040"/>
            <w:vAlign w:val="center"/>
          </w:tcPr>
          <w:p>
            <w:r/>
            <w:r>
              <w:rPr>
                <w:rFonts w:ascii="Arial" w:hAnsi="Arial"/>
                <w:b w:val="0"/>
                <w:sz w:val="18"/>
              </w:rPr>
              <w:t>name, email, company, title, source, qualification score, qualification reason, next action</w:t>
            </w:r>
          </w:p>
        </w:tc>
      </w:tr>
      <w:tr>
        <w:tc>
          <w:tcPr>
            <w:tcW w:type="dxa" w:w="5040"/>
            <w:vAlign w:val="center"/>
          </w:tcPr>
          <w:p>
            <w:r/>
            <w:r>
              <w:rPr>
                <w:rFonts w:ascii="Arial" w:hAnsi="Arial"/>
                <w:b w:val="0"/>
                <w:sz w:val="18"/>
              </w:rPr>
              <w:t>Agent run</w:t>
            </w:r>
          </w:p>
        </w:tc>
        <w:tc>
          <w:tcPr>
            <w:tcW w:type="dxa" w:w="5040"/>
            <w:vAlign w:val="center"/>
          </w:tcPr>
          <w:p>
            <w:r/>
            <w:r>
              <w:rPr>
                <w:rFonts w:ascii="Arial" w:hAnsi="Arial"/>
                <w:b w:val="0"/>
                <w:sz w:val="18"/>
              </w:rPr>
              <w:t>agent name, version, input, output, confidence, timestamp, status, error</w:t>
            </w:r>
          </w:p>
        </w:tc>
      </w:tr>
      <w:tr>
        <w:tc>
          <w:tcPr>
            <w:tcW w:type="dxa" w:w="5040"/>
            <w:vAlign w:val="center"/>
          </w:tcPr>
          <w:p>
            <w:r/>
            <w:r>
              <w:rPr>
                <w:rFonts w:ascii="Arial" w:hAnsi="Arial"/>
                <w:b w:val="0"/>
                <w:sz w:val="18"/>
              </w:rPr>
              <w:t>Activity event</w:t>
            </w:r>
          </w:p>
        </w:tc>
        <w:tc>
          <w:tcPr>
            <w:tcW w:type="dxa" w:w="5040"/>
            <w:vAlign w:val="center"/>
          </w:tcPr>
          <w:p>
            <w:r/>
            <w:r>
              <w:rPr>
                <w:rFonts w:ascii="Arial" w:hAnsi="Arial"/>
                <w:b w:val="0"/>
                <w:sz w:val="18"/>
              </w:rPr>
              <w:t>event type, account/contact, channel, timestamp, campaign, outcome</w:t>
            </w:r>
          </w:p>
        </w:tc>
      </w:tr>
      <w:tr>
        <w:tc>
          <w:tcPr>
            <w:tcW w:type="dxa" w:w="5040"/>
            <w:vAlign w:val="center"/>
          </w:tcPr>
          <w:p>
            <w:r/>
            <w:r>
              <w:rPr>
                <w:rFonts w:ascii="Arial" w:hAnsi="Arial"/>
                <w:b w:val="0"/>
                <w:sz w:val="18"/>
              </w:rPr>
              <w:t>Opportunity</w:t>
            </w:r>
          </w:p>
        </w:tc>
        <w:tc>
          <w:tcPr>
            <w:tcW w:type="dxa" w:w="5040"/>
            <w:vAlign w:val="center"/>
          </w:tcPr>
          <w:p>
            <w:r/>
            <w:r>
              <w:rPr>
                <w:rFonts w:ascii="Arial" w:hAnsi="Arial"/>
                <w:b w:val="0"/>
                <w:sz w:val="18"/>
              </w:rPr>
              <w:t>stage, amount, close date, competitor, deal risk, next best action</w:t>
            </w:r>
          </w:p>
        </w:tc>
      </w:tr>
      <w:tr>
        <w:tc>
          <w:tcPr>
            <w:tcW w:type="dxa" w:w="5040"/>
            <w:vAlign w:val="center"/>
          </w:tcPr>
          <w:p>
            <w:r/>
            <w:r>
              <w:rPr>
                <w:rFonts w:ascii="Arial" w:hAnsi="Arial"/>
                <w:b w:val="0"/>
                <w:sz w:val="18"/>
              </w:rPr>
              <w:t>Evaluation case</w:t>
            </w:r>
          </w:p>
        </w:tc>
        <w:tc>
          <w:tcPr>
            <w:tcW w:type="dxa" w:w="5040"/>
            <w:vAlign w:val="center"/>
          </w:tcPr>
          <w:p>
            <w:r/>
            <w:r>
              <w:rPr>
                <w:rFonts w:ascii="Arial" w:hAnsi="Arial"/>
                <w:b w:val="0"/>
                <w:sz w:val="18"/>
              </w:rPr>
              <w:t>input, expected result, actual result, pass/fail, notes, agent version</w:t>
            </w:r>
          </w:p>
        </w:tc>
      </w:tr>
    </w:tbl>
    <w:p/>
    <w:p>
      <w:pPr>
        <w:pStyle w:val="Heading1"/>
      </w:pPr>
      <w:r>
        <w:t>10. Completion Criteria</w:t>
      </w:r>
    </w:p>
    <w:p>
      <w:pPr>
        <w:pStyle w:val="ListBullet"/>
      </w:pPr>
      <w:r>
        <w:t>20–50 accounts can be sourced and scored through a repeatable workflow.</w:t>
      </w:r>
    </w:p>
    <w:p>
      <w:pPr>
        <w:pStyle w:val="ListBullet"/>
      </w:pPr>
      <w:r>
        <w:t>The scoring model explains why each score was assigned.</w:t>
      </w:r>
    </w:p>
    <w:p>
      <w:pPr>
        <w:pStyle w:val="ListBullet"/>
      </w:pPr>
      <w:r>
        <w:t>At least one account and one lead can be created or updated in Salesforce through code.</w:t>
      </w:r>
    </w:p>
    <w:p>
      <w:pPr>
        <w:pStyle w:val="ListBullet"/>
      </w:pPr>
      <w:r>
        <w:t>The AI agent returns valid structured JSON and handles missing data.</w:t>
      </w:r>
    </w:p>
    <w:p>
      <w:pPr>
        <w:pStyle w:val="ListBullet"/>
      </w:pPr>
      <w:r>
        <w:t>An inbound lead can travel from form submission to qualification, routing, and CRM activity.</w:t>
      </w:r>
    </w:p>
    <w:p>
      <w:pPr>
        <w:pStyle w:val="ListBullet"/>
      </w:pPr>
      <w:r>
        <w:t>Every workflow has logging, error handling, and a clear failure path.</w:t>
      </w:r>
    </w:p>
    <w:p>
      <w:pPr>
        <w:pStyle w:val="ListBullet"/>
      </w:pPr>
      <w:r>
        <w:t>The project tracks agent version, prompt version, and outcome data.</w:t>
      </w:r>
    </w:p>
    <w:p>
      <w:pPr>
        <w:pStyle w:val="ListBullet"/>
      </w:pPr>
      <w:r>
        <w:t>The repository includes setup instructions, screenshots, architecture, sample data, and a Loom.</w:t>
      </w:r>
    </w:p>
    <w:p>
      <w:pPr>
        <w:pStyle w:val="ListBullet"/>
      </w:pPr>
      <w:r>
        <w:t>Simulated metrics are clearly labeled as simulated; no fabricated production results are claimed.</w:t>
      </w:r>
    </w:p>
    <w:p>
      <w:pPr>
        <w:pStyle w:val="Heading1"/>
      </w:pPr>
      <w:r>
        <w:t>11. What to Show in Your Portfolio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Section</w:t>
            </w:r>
          </w:p>
        </w:tc>
        <w:tc>
          <w:tcPr>
            <w:tcW w:type="dxa" w:w="5040"/>
            <w:vAlign w:val="center"/>
            <w:shd w:fill="D9EAF7"/>
          </w:tcPr>
          <w:p>
            <w:r/>
            <w:r>
              <w:rPr>
                <w:rFonts w:ascii="Arial" w:hAnsi="Arial"/>
                <w:b/>
                <w:sz w:val="18"/>
              </w:rPr>
              <w:t>What to include</w:t>
            </w:r>
          </w:p>
        </w:tc>
      </w:tr>
      <w:tr>
        <w:tc>
          <w:tcPr>
            <w:tcW w:type="dxa" w:w="5040"/>
            <w:vAlign w:val="center"/>
          </w:tcPr>
          <w:p>
            <w:r/>
            <w:r>
              <w:rPr>
                <w:rFonts w:ascii="Arial" w:hAnsi="Arial"/>
                <w:b w:val="0"/>
                <w:sz w:val="18"/>
              </w:rPr>
              <w:t>Problem</w:t>
            </w:r>
          </w:p>
        </w:tc>
        <w:tc>
          <w:tcPr>
            <w:tcW w:type="dxa" w:w="5040"/>
            <w:vAlign w:val="center"/>
          </w:tcPr>
          <w:p>
            <w:r/>
            <w:r>
              <w:rPr>
                <w:rFonts w:ascii="Arial" w:hAnsi="Arial"/>
                <w:b w:val="0"/>
                <w:sz w:val="18"/>
              </w:rPr>
              <w:t>Revenue teams lose time on research, qualification, CRM administration, and fragmented data.</w:t>
            </w:r>
          </w:p>
        </w:tc>
      </w:tr>
      <w:tr>
        <w:tc>
          <w:tcPr>
            <w:tcW w:type="dxa" w:w="5040"/>
            <w:vAlign w:val="center"/>
          </w:tcPr>
          <w:p>
            <w:r/>
            <w:r>
              <w:rPr>
                <w:rFonts w:ascii="Arial" w:hAnsi="Arial"/>
                <w:b w:val="0"/>
                <w:sz w:val="18"/>
              </w:rPr>
              <w:t>Solution</w:t>
            </w:r>
          </w:p>
        </w:tc>
        <w:tc>
          <w:tcPr>
            <w:tcW w:type="dxa" w:w="5040"/>
            <w:vAlign w:val="center"/>
          </w:tcPr>
          <w:p>
            <w:r/>
            <w:r>
              <w:rPr>
                <w:rFonts w:ascii="Arial" w:hAnsi="Arial"/>
                <w:b w:val="0"/>
                <w:sz w:val="18"/>
              </w:rPr>
              <w:t>Closed-loop AI GTM Revenue Command Center.</w:t>
            </w:r>
          </w:p>
        </w:tc>
      </w:tr>
      <w:tr>
        <w:tc>
          <w:tcPr>
            <w:tcW w:type="dxa" w:w="5040"/>
            <w:vAlign w:val="center"/>
          </w:tcPr>
          <w:p>
            <w:r/>
            <w:r>
              <w:rPr>
                <w:rFonts w:ascii="Arial" w:hAnsi="Arial"/>
                <w:b w:val="0"/>
                <w:sz w:val="18"/>
              </w:rPr>
              <w:t>Architecture</w:t>
            </w:r>
          </w:p>
        </w:tc>
        <w:tc>
          <w:tcPr>
            <w:tcW w:type="dxa" w:w="5040"/>
            <w:vAlign w:val="center"/>
          </w:tcPr>
          <w:p>
            <w:r/>
            <w:r>
              <w:rPr>
                <w:rFonts w:ascii="Arial" w:hAnsi="Arial"/>
                <w:b w:val="0"/>
                <w:sz w:val="18"/>
              </w:rPr>
              <w:t>Clay → n8n/Python → AI → Salesforce → PostgreSQL → analytics.</w:t>
            </w:r>
          </w:p>
        </w:tc>
      </w:tr>
      <w:tr>
        <w:tc>
          <w:tcPr>
            <w:tcW w:type="dxa" w:w="5040"/>
            <w:vAlign w:val="center"/>
          </w:tcPr>
          <w:p>
            <w:r/>
            <w:r>
              <w:rPr>
                <w:rFonts w:ascii="Arial" w:hAnsi="Arial"/>
                <w:b w:val="0"/>
                <w:sz w:val="18"/>
              </w:rPr>
              <w:t>Demo</w:t>
            </w:r>
          </w:p>
        </w:tc>
        <w:tc>
          <w:tcPr>
            <w:tcW w:type="dxa" w:w="5040"/>
            <w:vAlign w:val="center"/>
          </w:tcPr>
          <w:p>
            <w:r/>
            <w:r>
              <w:rPr>
                <w:rFonts w:ascii="Arial" w:hAnsi="Arial"/>
                <w:b w:val="0"/>
                <w:sz w:val="18"/>
              </w:rPr>
              <w:t>One inbound lead and one target-account walkthrough.</w:t>
            </w:r>
          </w:p>
        </w:tc>
      </w:tr>
      <w:tr>
        <w:tc>
          <w:tcPr>
            <w:tcW w:type="dxa" w:w="5040"/>
            <w:vAlign w:val="center"/>
          </w:tcPr>
          <w:p>
            <w:r/>
            <w:r>
              <w:rPr>
                <w:rFonts w:ascii="Arial" w:hAnsi="Arial"/>
                <w:b w:val="0"/>
                <w:sz w:val="18"/>
              </w:rPr>
              <w:t>Engineering</w:t>
            </w:r>
          </w:p>
        </w:tc>
        <w:tc>
          <w:tcPr>
            <w:tcW w:type="dxa" w:w="5040"/>
            <w:vAlign w:val="center"/>
          </w:tcPr>
          <w:p>
            <w:r/>
            <w:r>
              <w:rPr>
                <w:rFonts w:ascii="Arial" w:hAnsi="Arial"/>
                <w:b w:val="0"/>
                <w:sz w:val="18"/>
              </w:rPr>
              <w:t>API code, schemas, retries, validation, idempotency, logging, and tests.</w:t>
            </w:r>
          </w:p>
        </w:tc>
      </w:tr>
      <w:tr>
        <w:tc>
          <w:tcPr>
            <w:tcW w:type="dxa" w:w="5040"/>
            <w:vAlign w:val="center"/>
          </w:tcPr>
          <w:p>
            <w:r/>
            <w:r>
              <w:rPr>
                <w:rFonts w:ascii="Arial" w:hAnsi="Arial"/>
                <w:b w:val="0"/>
                <w:sz w:val="18"/>
              </w:rPr>
              <w:t>GTM thinking</w:t>
            </w:r>
          </w:p>
        </w:tc>
        <w:tc>
          <w:tcPr>
            <w:tcW w:type="dxa" w:w="5040"/>
            <w:vAlign w:val="center"/>
          </w:tcPr>
          <w:p>
            <w:r/>
            <w:r>
              <w:rPr>
                <w:rFonts w:ascii="Arial" w:hAnsi="Arial"/>
                <w:b w:val="0"/>
                <w:sz w:val="18"/>
              </w:rPr>
              <w:t>ICP, personas, funnel math, routing logic, sales stages, and business assumptions.</w:t>
            </w:r>
          </w:p>
        </w:tc>
      </w:tr>
      <w:tr>
        <w:tc>
          <w:tcPr>
            <w:tcW w:type="dxa" w:w="5040"/>
            <w:vAlign w:val="center"/>
          </w:tcPr>
          <w:p>
            <w:r/>
            <w:r>
              <w:rPr>
                <w:rFonts w:ascii="Arial" w:hAnsi="Arial"/>
                <w:b w:val="0"/>
                <w:sz w:val="18"/>
              </w:rPr>
              <w:t>AI discipline</w:t>
            </w:r>
          </w:p>
        </w:tc>
        <w:tc>
          <w:tcPr>
            <w:tcW w:type="dxa" w:w="5040"/>
            <w:vAlign w:val="center"/>
          </w:tcPr>
          <w:p>
            <w:r/>
            <w:r>
              <w:rPr>
                <w:rFonts w:ascii="Arial" w:hAnsi="Arial"/>
                <w:b w:val="0"/>
                <w:sz w:val="18"/>
              </w:rPr>
              <w:t>Prompt library, structured outputs, evaluation set, versioning, and human approval.</w:t>
            </w:r>
          </w:p>
        </w:tc>
      </w:tr>
      <w:tr>
        <w:tc>
          <w:tcPr>
            <w:tcW w:type="dxa" w:w="5040"/>
            <w:vAlign w:val="center"/>
          </w:tcPr>
          <w:p>
            <w:r/>
            <w:r>
              <w:rPr>
                <w:rFonts w:ascii="Arial" w:hAnsi="Arial"/>
                <w:b w:val="0"/>
                <w:sz w:val="18"/>
              </w:rPr>
              <w:t>Results</w:t>
            </w:r>
          </w:p>
        </w:tc>
        <w:tc>
          <w:tcPr>
            <w:tcW w:type="dxa" w:w="5040"/>
            <w:vAlign w:val="center"/>
          </w:tcPr>
          <w:p>
            <w:r/>
            <w:r>
              <w:rPr>
                <w:rFonts w:ascii="Arial" w:hAnsi="Arial"/>
                <w:b w:val="0"/>
                <w:sz w:val="18"/>
              </w:rPr>
              <w:t>Measured workflow latency, enrichment coverage, routing accuracy, and simulated funnel analysis.</w:t>
            </w:r>
          </w:p>
        </w:tc>
      </w:tr>
      <w:tr>
        <w:tc>
          <w:tcPr>
            <w:tcW w:type="dxa" w:w="5040"/>
            <w:vAlign w:val="center"/>
          </w:tcPr>
          <w:p>
            <w:r/>
            <w:r>
              <w:rPr>
                <w:rFonts w:ascii="Arial" w:hAnsi="Arial"/>
                <w:b w:val="0"/>
                <w:sz w:val="18"/>
              </w:rPr>
              <w:t>Limitations</w:t>
            </w:r>
          </w:p>
        </w:tc>
        <w:tc>
          <w:tcPr>
            <w:tcW w:type="dxa" w:w="5040"/>
            <w:vAlign w:val="center"/>
          </w:tcPr>
          <w:p>
            <w:r/>
            <w:r>
              <w:rPr>
                <w:rFonts w:ascii="Arial" w:hAnsi="Arial"/>
                <w:b w:val="0"/>
                <w:sz w:val="18"/>
              </w:rPr>
              <w:t>Clearly identify simulated integrations and data; do not claim production experience.</w:t>
            </w:r>
          </w:p>
        </w:tc>
      </w:tr>
    </w:tbl>
    <w:p/>
    <w:p>
      <w:pPr>
        <w:pStyle w:val="Heading1"/>
      </w:pPr>
      <w:r>
        <w:t>12. Does It Deserve a Place in Your Portfolio?</w:t>
      </w:r>
    </w:p>
    <w:p>
      <w:r>
        <w:t>Yes—provided you finish the core workflow and can demonstrate it live. It is relevant because it combines revenue-process design, account intelligence, CRM architecture, API integrations, AI agents, orchestration, data quality, analytics, and continuous optimization.</w:t>
      </w:r>
    </w:p>
    <w:p>
      <w:pPr>
        <w:pStyle w:val="ListBullet"/>
      </w:pPr>
      <w:r>
        <w:t>Software engineering: Python, APIs, data models, authentication, error handling, testing, SQL, and integration design.</w:t>
      </w:r>
    </w:p>
    <w:p>
      <w:pPr>
        <w:pStyle w:val="ListBullet"/>
      </w:pPr>
      <w:r>
        <w:t>GTM engineering: ICP, buyer personas, account prioritization, lead qualification, pipeline math, routing, sales productivity, and revenue measurement.</w:t>
      </w:r>
    </w:p>
    <w:p>
      <w:r>
        <w:t>It will not prove that you have already operated an AI SDR for 90 days in a live B2B sales organization. State that honestly. It does prove that you can design and build the underlying system, instrument it, evaluate it, and explain how it would be deployed safely in production.</w:t>
      </w:r>
    </w:p>
    <w:p>
      <w:pPr>
        <w:pStyle w:val="Heading1"/>
      </w:pPr>
      <w:r>
        <w:t>13. Interview Positioning</w:t>
      </w:r>
    </w:p>
    <w:p>
      <w:pPr>
        <w:ind w:left="432"/>
      </w:pPr>
      <w:r>
        <w:rPr>
          <w:i/>
        </w:rPr>
        <w:t>I built a closed-loop AI GTM Revenue Command Center for an enterprise Salesforce DevOps use case. It uses Clay for account discovery and enrichment, Python and n8n for orchestration, an LLM for structured research and qualification, Salesforce as the CRM system of record, and PostgreSQL for event analytics. The system does not stop at generating messages: it records decisions and outcomes so the scoring, prompts, and routing logic can be refined against measurable funnel data.</w:t>
      </w:r>
    </w:p>
    <w:p>
      <w:pPr>
        <w:pStyle w:val="Heading1"/>
      </w:pPr>
      <w:r>
        <w:t>14. Boundaries and Assumptions</w:t>
      </w:r>
    </w:p>
    <w:p>
      <w:pPr>
        <w:pStyle w:val="ListBullet"/>
      </w:pPr>
      <w:r>
        <w:t>CloudRelease AI is fictional and used only for portfolio demonstration.</w:t>
      </w:r>
    </w:p>
    <w:p>
      <w:pPr>
        <w:pStyle w:val="ListBullet"/>
      </w:pPr>
      <w:r>
        <w:t>Cushman &amp; Wakefield is a reference case for understanding an enterprise Salesforce DevOps problem, not a claim of customer access or work performed.</w:t>
      </w:r>
    </w:p>
    <w:p>
      <w:pPr>
        <w:pStyle w:val="ListBullet"/>
      </w:pPr>
      <w:r>
        <w:t>Outreach, customer data, conversion results, and revenue numbers must be labeled simulated unless obtained from an authorized real environment.</w:t>
      </w:r>
    </w:p>
    <w:p>
      <w:pPr>
        <w:pStyle w:val="ListBullet"/>
      </w:pPr>
      <w:r>
        <w:t>Production deployment requires consent, privacy controls, opt-out handling, rate limits, monitoring, security review, and human approval for sensitive actions.</w:t>
      </w:r>
    </w:p>
    <w:p>
      <w:pPr>
        <w:pStyle w:val="ListBullet"/>
      </w:pPr>
      <w:r>
        <w:t>The first version should prioritize reliability and explainability over autonomous sending.</w:t>
      </w:r>
    </w:p>
    <w:p>
      <w:pPr>
        <w:pStyle w:val="Heading1"/>
      </w:pPr>
      <w:r>
        <w:t>15. Final Project Definition</w:t>
      </w:r>
    </w:p>
    <w:p>
      <w:r>
        <w:t>This project is a portfolio-grade prototype of an AI-powered GTM operating system that turns target-account data and inbound signals into prioritized Salesforce actions, then measures outcomes and improves the system through a feedback loop.</w:t>
      </w:r>
    </w:p>
    <w:p>
      <w:r>
        <w:t>Recommended order: build the account engine first, connect Salesforce second, add AI qualification third, add analytics fourth, and only then add meeting intelligence, competitive intelligence, and customer health.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GTM Revenue Command Center | Project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