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B8862B"/>
          <w:sz w:val="19"/>
          <w:szCs w:val="19"/>
        </w:rPr>
        <w:t xml:space="preserve">DAY 2 SPEC SHEET · AI REVENUE COMMAND CENTER</w:t>
      </w:r>
    </w:p>
    <w:p>
      <w:pPr>
        <w:spacing w:after="240"/>
      </w:pPr>
      <w:r>
        <w:rPr>
          <w:rFonts w:ascii="Calibri" w:cs="Calibri" w:eastAsia="Calibri" w:hAnsi="Calibri"/>
          <w:b/>
          <w:bCs/>
          <w:color w:val="1B2A4A"/>
          <w:sz w:val="42"/>
          <w:szCs w:val="42"/>
        </w:rPr>
        <w:t xml:space="preserve">Account Discovery &amp; Scoring</w:t>
      </w:r>
    </w:p>
    <w:p>
      <w:pPr>
        <w:spacing w:after="140" w:line="300"/>
      </w:pPr>
      <w:r>
        <w:rPr>
          <w:rFonts w:ascii="Calibri" w:cs="Calibri" w:eastAsia="Calibri" w:hAnsi="Calibri"/>
          <w:i/>
          <w:iCs/>
          <w:color w:val="5F5A52"/>
          <w:sz w:val="22"/>
          <w:szCs w:val="22"/>
        </w:rPr>
        <w:t xml:space="preserve">Everything to paste into Clay, exactly as written — no guessing what to type.</w:t>
      </w:r>
    </w:p>
    <w:p>
      <w:pPr>
        <w:spacing w:after="80"/>
      </w:pPr>
    </w:p>
    <w:p>
      <w:pPr>
        <w:pStyle w:val="Heading1"/>
        <w:pBdr>
          <w:bottom w:val="single" w:color="B8862B" w:sz="12" w:space="4"/>
        </w:pBdr>
        <w:spacing w:after="160" w:before="380"/>
      </w:pPr>
      <w:r>
        <w:rPr>
          <w:rFonts w:ascii="Calibri" w:cs="Calibri" w:eastAsia="Calibri" w:hAnsi="Calibri"/>
          <w:b/>
          <w:bCs/>
          <w:color w:val="1B2A4A"/>
          <w:sz w:val="30"/>
          <w:szCs w:val="30"/>
        </w:rPr>
        <w:t xml:space="preserve">1. Sculptor Search Query</w:t>
      </w:r>
    </w:p>
    <w:p>
      <w:pPr>
        <w:spacing w:after="140" w:line="300"/>
      </w:pPr>
      <w:r>
        <w:rPr>
          <w:rFonts w:ascii="Calibri" w:cs="Calibri" w:eastAsia="Calibri" w:hAnsi="Calibri"/>
          <w:color w:val="20201C"/>
          <w:sz w:val="22"/>
          <w:szCs w:val="22"/>
        </w:rPr>
        <w:t xml:space="preserve">Paste this into the Sculptor search bar when you create your new Find Companies table:</w:t>
      </w:r>
    </w:p>
    <w:tbl>
      <w:tblPr>
        <w:tblW w:type="pct" w:w="100%"/>
        <w:tblBorders>
          <w:top w:val="single" w:color="C9C2B4" w:sz="2"/>
          <w:left w:val="single" w:color="C9C2B4" w:sz="2"/>
          <w:bottom w:val="single" w:color="C9C2B4" w:sz="2"/>
          <w:right w:val="single" w:color="C9C2B4" w:sz="2"/>
          <w:insideH w:val="single" w:color="auto" w:sz="4"/>
          <w:insideV w:val="single" w:color="auto" w:sz="4"/>
        </w:tblBorders>
      </w:tblPr>
      <w:tblGrid>
        <w:gridCol w:w="100"/>
      </w:tblGrid>
      <w:tr>
        <w:tc>
          <w:tcPr>
            <w:shd w:fill="FAF8F3" w:val="clear"/>
            <w:tcMar>
              <w:top w:type="dxa" w:w="140"/>
              <w:left w:type="dxa" w:w="220"/>
              <w:bottom w:type="dxa" w:w="140"/>
              <w:right w:type="dxa" w:w="220"/>
            </w:tcMar>
          </w:tcPr>
          <w:p>
            <w:r>
              <w:rPr>
                <w:rFonts w:ascii="Consolas" w:cs="Consolas" w:eastAsia="Consolas" w:hAnsi="Consolas"/>
                <w:color w:val="20201C"/>
                <w:sz w:val="20"/>
                <w:szCs w:val="20"/>
              </w:rPr>
              <w:t xml:space="preserve">Enterprise companies with 1,000+ employees in regulated industries (financial services, insurance, real estate, healthcare) headquartered in the US, that use Salesforce as a core business system.</w:t>
            </w:r>
          </w:p>
        </w:tc>
      </w:tr>
    </w:tbl>
    <w:tbl>
      <w:tblPr>
        <w:tblW w:type="pct" w:w="100%"/>
        <w:tblBorders>
          <w:top w:val="single" w:color="2F5233" w:sz="4"/>
          <w:left w:val="single" w:color="2F5233" w:sz="24"/>
          <w:bottom w:val="single" w:color="2F5233" w:sz="4"/>
          <w:right w:val="single" w:color="2F5233" w:sz="4"/>
          <w:insideH w:val="single" w:color="auto" w:sz="4"/>
          <w:insideV w:val="single" w:color="auto" w:sz="4"/>
        </w:tblBorders>
      </w:tblPr>
      <w:tblGrid>
        <w:gridCol w:w="100"/>
      </w:tblGrid>
      <w:tr>
        <w:tc>
          <w:tcPr>
            <w:shd w:fill="E7EFE6" w:val="clear"/>
            <w:tcMar>
              <w:top w:type="dxa" w:w="140"/>
              <w:left w:type="dxa" w:w="220"/>
              <w:bottom w:type="dxa" w:w="140"/>
              <w:right w:type="dxa" w:w="220"/>
            </w:tcMar>
          </w:tcPr>
          <w:p>
            <w:pPr>
              <w:spacing w:after="60"/>
            </w:pPr>
            <w:r>
              <w:rPr>
                <w:rFonts w:ascii="Calibri" w:cs="Calibri" w:eastAsia="Calibri" w:hAnsi="Calibri"/>
                <w:b/>
                <w:bCs/>
                <w:color w:val="2F5233"/>
                <w:sz w:val="20"/>
                <w:szCs w:val="20"/>
              </w:rPr>
              <w:t xml:space="preserve">WHY THESE FILTERS</w:t>
            </w:r>
          </w:p>
          <w:p>
            <w:pPr>
              <w:spacing w:after="0" w:line="280"/>
            </w:pPr>
            <w:r>
              <w:rPr>
                <w:rFonts w:ascii="Calibri" w:cs="Calibri" w:eastAsia="Calibri" w:hAnsi="Calibri"/>
                <w:color w:val="20201C"/>
                <w:sz w:val="20"/>
                <w:szCs w:val="20"/>
              </w:rPr>
              <w:t xml:space="preserve">1,000+ employees and regulated industries come straight from your Day 1 ICP sentence — SOX and compliance pressure is what made Cushman &amp; Wakefield's case study a fit, so you're deliberately searching for companies with that same pressure.</w:t>
            </w:r>
          </w:p>
        </w:tc>
      </w:tr>
    </w:tbl>
    <w:p>
      <w:pPr>
        <w:pStyle w:val="Heading1"/>
        <w:pBdr>
          <w:bottom w:val="single" w:color="B8862B" w:sz="12" w:space="4"/>
        </w:pBdr>
        <w:spacing w:after="160" w:before="380"/>
      </w:pPr>
      <w:r>
        <w:rPr>
          <w:rFonts w:ascii="Calibri" w:cs="Calibri" w:eastAsia="Calibri" w:hAnsi="Calibri"/>
          <w:b/>
          <w:bCs/>
          <w:color w:val="1B2A4A"/>
          <w:sz w:val="30"/>
          <w:szCs w:val="30"/>
        </w:rPr>
        <w:t xml:space="preserve">2. Filters to Check After Sculptor Runs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B2A4A" w:val="clear"/>
            <w:tcMar>
              <w:top w:type="dxa" w:w="100"/>
              <w:left w:type="dxa" w:w="120"/>
              <w:bottom w:type="dxa" w:w="100"/>
              <w:right w:type="dxa" w:w="120"/>
            </w:tcMar>
          </w:tcPr>
          <w:p>
            <w:r>
              <w:rPr>
                <w:rFonts w:ascii="Calibri" w:cs="Calibri" w:eastAsia="Calibri" w:hAnsi="Calibri"/>
                <w:b/>
                <w:bCs/>
                <w:color w:val="FFFFFF"/>
                <w:sz w:val="19"/>
                <w:szCs w:val="19"/>
              </w:rPr>
              <w:t xml:space="preserve">Filter</w:t>
            </w:r>
          </w:p>
        </w:tc>
        <w:tc>
          <w:tcPr>
            <w:tcW w:type="dxa" w:w="6000"/>
            <w:shd w:fill="1B2A4A" w:val="clear"/>
            <w:tcMar>
              <w:top w:type="dxa" w:w="100"/>
              <w:left w:type="dxa" w:w="120"/>
              <w:bottom w:type="dxa" w:w="100"/>
              <w:right w:type="dxa" w:w="120"/>
            </w:tcMar>
          </w:tcPr>
          <w:p>
            <w:r>
              <w:rPr>
                <w:rFonts w:ascii="Calibri" w:cs="Calibri" w:eastAsia="Calibri" w:hAnsi="Calibri"/>
                <w:b/>
                <w:bCs/>
                <w:color w:val="FFFFFF"/>
                <w:sz w:val="19"/>
                <w:szCs w:val="19"/>
              </w:rPr>
              <w:t xml:space="preserve">Setting</w:t>
            </w:r>
          </w:p>
        </w:tc>
      </w:tr>
      <w:tr>
        <w:tc>
          <w:tcPr>
            <w:tcW w:type="dxa" w:w="3000"/>
            <w:shd w:fill="FFFFFF"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Employee Count</w:t>
            </w:r>
          </w:p>
        </w:tc>
        <w:tc>
          <w:tcPr>
            <w:tcW w:type="dxa" w:w="6000"/>
            <w:shd w:fill="FFFFFF"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1,000+ (adjust to 500+ if results come back under 10)</w:t>
            </w:r>
          </w:p>
        </w:tc>
      </w:tr>
      <w:tr>
        <w:tc>
          <w:tcPr>
            <w:tcW w:type="dxa" w:w="3000"/>
            <w:shd w:fill="F2ECE0"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Industry</w:t>
            </w:r>
          </w:p>
        </w:tc>
        <w:tc>
          <w:tcPr>
            <w:tcW w:type="dxa" w:w="6000"/>
            <w:shd w:fill="F2ECE0"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Financial Services, Insurance, Real Estate, Healthcare (select any that Clay lists)</w:t>
            </w:r>
          </w:p>
        </w:tc>
      </w:tr>
      <w:tr>
        <w:tc>
          <w:tcPr>
            <w:tcW w:type="dxa" w:w="3000"/>
            <w:shd w:fill="FFFFFF"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HQ Location</w:t>
            </w:r>
          </w:p>
        </w:tc>
        <w:tc>
          <w:tcPr>
            <w:tcW w:type="dxa" w:w="6000"/>
            <w:shd w:fill="FFFFFF"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United States</w:t>
            </w:r>
          </w:p>
        </w:tc>
      </w:tr>
      <w:tr>
        <w:tc>
          <w:tcPr>
            <w:tcW w:type="dxa" w:w="3000"/>
            <w:shd w:fill="F2ECE0"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Row limit</w:t>
            </w:r>
          </w:p>
        </w:tc>
        <w:tc>
          <w:tcPr>
            <w:tcW w:type="dxa" w:w="6000"/>
            <w:shd w:fill="F2ECE0"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20</w:t>
            </w:r>
          </w:p>
        </w:tc>
      </w:tr>
    </w:tbl>
    <w:p>
      <w:pPr>
        <w:pStyle w:val="Heading1"/>
        <w:pBdr>
          <w:bottom w:val="single" w:color="B8862B" w:sz="12" w:space="4"/>
        </w:pBdr>
        <w:spacing w:after="160" w:before="380"/>
      </w:pPr>
      <w:r>
        <w:rPr>
          <w:rFonts w:ascii="Calibri" w:cs="Calibri" w:eastAsia="Calibri" w:hAnsi="Calibri"/>
          <w:b/>
          <w:bCs/>
          <w:color w:val="1B2A4A"/>
          <w:sz w:val="30"/>
          <w:szCs w:val="30"/>
        </w:rPr>
        <w:t xml:space="preserve">3. Columns to Add on All 20 Rows (cheap)</w:t>
      </w:r>
    </w:p>
    <w:p>
      <w:pPr>
        <w:pStyle w:val="ListParagraph"/>
        <w:numPr>
          <w:ilvl w:val="0"/>
          <w:numId w:val="2"/>
        </w:numPr>
        <w:spacing w:after="90" w:line="290"/>
      </w:pPr>
      <w:r>
        <w:rPr>
          <w:rFonts w:ascii="Calibri" w:cs="Calibri" w:eastAsia="Calibri" w:hAnsi="Calibri"/>
          <w:color w:val="20201C"/>
          <w:sz w:val="22"/>
          <w:szCs w:val="22"/>
        </w:rPr>
        <w:t xml:space="preserve">Employee Count (via Enrich Company, if not already present from the search)</w:t>
      </w:r>
    </w:p>
    <w:p>
      <w:pPr>
        <w:pStyle w:val="ListParagraph"/>
        <w:numPr>
          <w:ilvl w:val="0"/>
          <w:numId w:val="2"/>
        </w:numPr>
        <w:spacing w:after="90" w:line="290"/>
      </w:pPr>
      <w:r>
        <w:rPr>
          <w:rFonts w:ascii="Calibri" w:cs="Calibri" w:eastAsia="Calibri" w:hAnsi="Calibri"/>
          <w:color w:val="20201C"/>
          <w:sz w:val="22"/>
          <w:szCs w:val="22"/>
        </w:rPr>
        <w:t xml:space="preserve">Industry (via Enrich Company, if not already present)</w:t>
      </w:r>
    </w:p>
    <w:p>
      <w:pPr>
        <w:pStyle w:val="ListParagraph"/>
        <w:numPr>
          <w:ilvl w:val="0"/>
          <w:numId w:val="2"/>
        </w:numPr>
        <w:spacing w:after="90" w:line="290"/>
      </w:pPr>
      <w:r>
        <w:rPr>
          <w:rFonts w:ascii="Calibri" w:cs="Calibri" w:eastAsia="Calibri" w:hAnsi="Calibri"/>
          <w:color w:val="20201C"/>
          <w:sz w:val="22"/>
          <w:szCs w:val="22"/>
        </w:rPr>
        <w:t xml:space="preserve">Company LinkedIn URL (needed for the headcount-growth enrichment later)</w:t>
      </w:r>
    </w:p>
    <w:tbl>
      <w:tblPr>
        <w:tblW w:type="pct" w:w="100%"/>
        <w:tblBorders>
          <w:top w:val="single" w:color="B8862B" w:sz="4"/>
          <w:left w:val="single" w:color="B8862B" w:sz="24"/>
          <w:bottom w:val="single" w:color="B8862B" w:sz="4"/>
          <w:right w:val="single" w:color="B8862B" w:sz="4"/>
          <w:insideH w:val="single" w:color="auto" w:sz="4"/>
          <w:insideV w:val="single" w:color="auto" w:sz="4"/>
        </w:tblBorders>
      </w:tblPr>
      <w:tblGrid>
        <w:gridCol w:w="100"/>
      </w:tblGrid>
      <w:tr>
        <w:tc>
          <w:tcPr>
            <w:shd w:fill="FBEAE5" w:val="clear"/>
            <w:tcMar>
              <w:top w:type="dxa" w:w="140"/>
              <w:left w:type="dxa" w:w="220"/>
              <w:bottom w:type="dxa" w:w="140"/>
              <w:right w:type="dxa" w:w="220"/>
            </w:tcMar>
          </w:tcPr>
          <w:p>
            <w:pPr>
              <w:spacing w:after="60"/>
            </w:pPr>
            <w:r>
              <w:rPr>
                <w:rFonts w:ascii="Calibri" w:cs="Calibri" w:eastAsia="Calibri" w:hAnsi="Calibri"/>
                <w:b/>
                <w:bCs/>
                <w:color w:val="B8862B"/>
                <w:sz w:val="20"/>
                <w:szCs w:val="20"/>
              </w:rPr>
              <w:t xml:space="preserve">CREDIT NOTE</w:t>
            </w:r>
          </w:p>
          <w:p>
            <w:pPr>
              <w:spacing w:after="0" w:line="280"/>
            </w:pPr>
            <w:r>
              <w:rPr>
                <w:rFonts w:ascii="Calibri" w:cs="Calibri" w:eastAsia="Calibri" w:hAnsi="Calibri"/>
                <w:color w:val="20201C"/>
                <w:sz w:val="20"/>
                <w:szCs w:val="20"/>
              </w:rPr>
              <w:t xml:space="preserve">These two enrichments across 20 rows are cheap — this is the safe step to run on your full list before you narrow down.</w:t>
            </w:r>
          </w:p>
        </w:tc>
      </w:tr>
    </w:tbl>
    <w:p>
      <w:r>
        <w:br w:type="page"/>
      </w:r>
    </w:p>
    <w:p>
      <w:pPr>
        <w:pStyle w:val="Heading1"/>
        <w:pBdr>
          <w:bottom w:val="single" w:color="B8862B" w:sz="12" w:space="4"/>
        </w:pBdr>
        <w:spacing w:after="160" w:before="380"/>
      </w:pPr>
      <w:r>
        <w:rPr>
          <w:rFonts w:ascii="Calibri" w:cs="Calibri" w:eastAsia="Calibri" w:hAnsi="Calibri"/>
          <w:b/>
          <w:bCs/>
          <w:color w:val="1B2A4A"/>
          <w:sz w:val="30"/>
          <w:szCs w:val="30"/>
        </w:rPr>
        <w:t xml:space="preserve">4. Narrowing to Your Top 5</w:t>
      </w:r>
    </w:p>
    <w:p>
      <w:pPr>
        <w:spacing w:after="140" w:line="300"/>
      </w:pPr>
      <w:r>
        <w:rPr>
          <w:rFonts w:ascii="Calibri" w:cs="Calibri" w:eastAsia="Calibri" w:hAnsi="Calibri"/>
          <w:color w:val="20201C"/>
          <w:sz w:val="22"/>
          <w:szCs w:val="22"/>
        </w:rPr>
        <w:t xml:space="preserve">Manually scan your 20 rows and keep the 5 that look like the strongest fit — favor larger employee counts and industries with the heaviest compliance burden (financial services and insurance over general real estate, for instance). Delete or just ignore the other 15 for the rest of Day 2; you already have them saved if you want to revisit later.</w:t>
      </w:r>
    </w:p>
    <w:p>
      <w:pPr>
        <w:pStyle w:val="Heading1"/>
        <w:pBdr>
          <w:bottom w:val="single" w:color="B8862B" w:sz="12" w:space="4"/>
        </w:pBdr>
        <w:spacing w:after="160" w:before="380"/>
      </w:pPr>
      <w:r>
        <w:rPr>
          <w:rFonts w:ascii="Calibri" w:cs="Calibri" w:eastAsia="Calibri" w:hAnsi="Calibri"/>
          <w:b/>
          <w:bCs/>
          <w:color w:val="1B2A4A"/>
          <w:sz w:val="30"/>
          <w:szCs w:val="30"/>
        </w:rPr>
        <w:t xml:space="preserve">5. Enrichment Columns — Run Only on Your Top 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00"/>
      </w:tblGrid>
      <w:tr>
        <w:trPr>
          <w:tblHeader/>
        </w:trPr>
        <w:tc>
          <w:tcPr>
            <w:tcW w:type="dxa" w:w="2400"/>
            <w:shd w:fill="1B2A4A" w:val="clear"/>
            <w:tcMar>
              <w:top w:type="dxa" w:w="100"/>
              <w:left w:type="dxa" w:w="120"/>
              <w:bottom w:type="dxa" w:w="100"/>
              <w:right w:type="dxa" w:w="120"/>
            </w:tcMar>
          </w:tcPr>
          <w:p>
            <w:r>
              <w:rPr>
                <w:rFonts w:ascii="Calibri" w:cs="Calibri" w:eastAsia="Calibri" w:hAnsi="Calibri"/>
                <w:b/>
                <w:bCs/>
                <w:color w:val="FFFFFF"/>
                <w:sz w:val="19"/>
                <w:szCs w:val="19"/>
              </w:rPr>
              <w:t xml:space="preserve">Column to add</w:t>
            </w:r>
          </w:p>
        </w:tc>
        <w:tc>
          <w:tcPr>
            <w:tcW w:type="dxa" w:w="3600"/>
            <w:shd w:fill="1B2A4A" w:val="clear"/>
            <w:tcMar>
              <w:top w:type="dxa" w:w="100"/>
              <w:left w:type="dxa" w:w="120"/>
              <w:bottom w:type="dxa" w:w="100"/>
              <w:right w:type="dxa" w:w="120"/>
            </w:tcMar>
          </w:tcPr>
          <w:p>
            <w:r>
              <w:rPr>
                <w:rFonts w:ascii="Calibri" w:cs="Calibri" w:eastAsia="Calibri" w:hAnsi="Calibri"/>
                <w:b/>
                <w:bCs/>
                <w:color w:val="FFFFFF"/>
                <w:sz w:val="19"/>
                <w:szCs w:val="19"/>
              </w:rPr>
              <w:t xml:space="preserve">What to search for in Clay</w:t>
            </w:r>
          </w:p>
        </w:tc>
        <w:tc>
          <w:tcPr>
            <w:tcW w:type="dxa" w:w="3000"/>
            <w:shd w:fill="1B2A4A" w:val="clear"/>
            <w:tcMar>
              <w:top w:type="dxa" w:w="100"/>
              <w:left w:type="dxa" w:w="120"/>
              <w:bottom w:type="dxa" w:w="100"/>
              <w:right w:type="dxa" w:w="120"/>
            </w:tcMar>
          </w:tcPr>
          <w:p>
            <w:r>
              <w:rPr>
                <w:rFonts w:ascii="Calibri" w:cs="Calibri" w:eastAsia="Calibri" w:hAnsi="Calibri"/>
                <w:b/>
                <w:bCs/>
                <w:color w:val="FFFFFF"/>
                <w:sz w:val="19"/>
                <w:szCs w:val="19"/>
              </w:rPr>
              <w:t xml:space="preserve">Key input</w:t>
            </w:r>
          </w:p>
        </w:tc>
      </w:tr>
      <w:tr>
        <w:tc>
          <w:tcPr>
            <w:tcW w:type="dxa" w:w="2400"/>
            <w:shd w:fill="FFFFFF"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Tech Stack</w:t>
            </w:r>
          </w:p>
        </w:tc>
        <w:tc>
          <w:tcPr>
            <w:tcW w:type="dxa" w:w="3600"/>
            <w:shd w:fill="FFFFFF"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"Find technology stack" → BuiltWith</w:t>
            </w:r>
          </w:p>
        </w:tc>
        <w:tc>
          <w:tcPr>
            <w:tcW w:type="dxa" w:w="3000"/>
            <w:shd w:fill="FFFFFF"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Company Domain</w:t>
            </w:r>
          </w:p>
        </w:tc>
      </w:tr>
      <w:tr>
        <w:tc>
          <w:tcPr>
            <w:tcW w:type="dxa" w:w="2400"/>
            <w:shd w:fill="F2ECE0"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Job Openings</w:t>
            </w:r>
          </w:p>
        </w:tc>
        <w:tc>
          <w:tcPr>
            <w:tcW w:type="dxa" w:w="3600"/>
            <w:shd w:fill="F2ECE0"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"Find active job openings"</w:t>
            </w:r>
          </w:p>
        </w:tc>
        <w:tc>
          <w:tcPr>
            <w:tcW w:type="dxa" w:w="3000"/>
            <w:shd w:fill="F2ECE0"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Company Domain (see keyword box below)</w:t>
            </w:r>
          </w:p>
        </w:tc>
      </w:tr>
      <w:tr>
        <w:tc>
          <w:tcPr>
            <w:tcW w:type="dxa" w:w="2400"/>
            <w:shd w:fill="FFFFFF"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Headcount Growth</w:t>
            </w:r>
          </w:p>
        </w:tc>
        <w:tc>
          <w:tcPr>
            <w:tcW w:type="dxa" w:w="3600"/>
            <w:shd w:fill="FFFFFF"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"Find company headcount growth"</w:t>
            </w:r>
          </w:p>
        </w:tc>
        <w:tc>
          <w:tcPr>
            <w:tcW w:type="dxa" w:w="3000"/>
            <w:shd w:fill="FFFFFF" w:val="clear"/>
            <w:tcMar>
              <w:top w:type="dxa" w:w="90"/>
              <w:left w:type="dxa" w:w="120"/>
              <w:bottom w:type="dxa" w:w="90"/>
              <w:right w:type="dxa" w:w="120"/>
            </w:tcMar>
          </w:tcPr>
          <w:p>
            <w:pPr>
              <w:spacing w:line="250"/>
            </w:pPr>
            <w:r>
              <w:rPr>
                <w:rFonts w:ascii="Calibri" w:cs="Calibri" w:eastAsia="Calibri" w:hAnsi="Calibri"/>
                <w:color w:val="20201C"/>
                <w:sz w:val="19"/>
                <w:szCs w:val="19"/>
              </w:rPr>
              <w:t xml:space="preserve">Company LinkedIn URL, lookback 6 months</w:t>
            </w:r>
          </w:p>
        </w:tc>
      </w:tr>
    </w:tbl>
    <w:p>
      <w:pPr>
        <w:spacing w:after="60"/>
      </w:pPr>
    </w:p>
    <w:p>
      <w:pPr>
        <w:spacing w:after="140" w:line="300"/>
      </w:pPr>
      <w:r>
        <w:rPr>
          <w:rFonts w:ascii="Calibri" w:cs="Calibri" w:eastAsia="Calibri" w:hAnsi="Calibri"/>
          <w:color w:val="20201C"/>
          <w:sz w:val="22"/>
          <w:szCs w:val="22"/>
        </w:rPr>
        <w:t xml:space="preserve">Job Description Keywords for the Job Openings column (not Job Title Keywords — remember why from earlier):</w:t>
      </w:r>
    </w:p>
    <w:tbl>
      <w:tblPr>
        <w:tblW w:type="pct" w:w="100%"/>
        <w:tblBorders>
          <w:top w:val="single" w:color="C9C2B4" w:sz="2"/>
          <w:left w:val="single" w:color="C9C2B4" w:sz="2"/>
          <w:bottom w:val="single" w:color="C9C2B4" w:sz="2"/>
          <w:right w:val="single" w:color="C9C2B4" w:sz="2"/>
          <w:insideH w:val="single" w:color="auto" w:sz="4"/>
          <w:insideV w:val="single" w:color="auto" w:sz="4"/>
        </w:tblBorders>
      </w:tblPr>
      <w:tblGrid>
        <w:gridCol w:w="100"/>
      </w:tblGrid>
      <w:tr>
        <w:tc>
          <w:tcPr>
            <w:shd w:fill="FAF8F3" w:val="clear"/>
            <w:tcMar>
              <w:top w:type="dxa" w:w="140"/>
              <w:left w:type="dxa" w:w="220"/>
              <w:bottom w:type="dxa" w:w="140"/>
              <w:right w:type="dxa" w:w="220"/>
            </w:tcMar>
          </w:tcPr>
          <w:p>
            <w:r>
              <w:rPr>
                <w:rFonts w:ascii="Consolas" w:cs="Consolas" w:eastAsia="Consolas" w:hAnsi="Consolas"/>
                <w:color w:val="20201C"/>
                <w:sz w:val="20"/>
                <w:szCs w:val="20"/>
              </w:rPr>
              <w:t xml:space="preserve">DevOps, Release Manager, Salesforce Administrator, CI/CD, Release Engineer</w:t>
            </w:r>
          </w:p>
        </w:tc>
      </w:tr>
    </w:tbl>
    <w:p>
      <w:pPr>
        <w:pStyle w:val="Heading1"/>
        <w:pBdr>
          <w:bottom w:val="single" w:color="B8862B" w:sz="12" w:space="4"/>
        </w:pBdr>
        <w:spacing w:after="160" w:before="380"/>
      </w:pPr>
      <w:r>
        <w:rPr>
          <w:rFonts w:ascii="Calibri" w:cs="Calibri" w:eastAsia="Calibri" w:hAnsi="Calibri"/>
          <w:b/>
          <w:bCs/>
          <w:color w:val="1B2A4A"/>
          <w:sz w:val="30"/>
          <w:szCs w:val="30"/>
        </w:rPr>
        <w:t xml:space="preserve">6. The Two Project-Specific Signal Columns</w:t>
      </w:r>
    </w:p>
    <w:p>
      <w:pPr>
        <w:pStyle w:val="Heading2"/>
        <w:spacing w:after="110" w:before="260"/>
      </w:pPr>
      <w:r>
        <w:rPr>
          <w:rFonts w:ascii="Calibri" w:cs="Calibri" w:eastAsia="Calibri" w:hAnsi="Calibri"/>
          <w:b/>
          <w:bCs/>
          <w:color w:val="20201C"/>
          <w:sz w:val="24"/>
          <w:szCs w:val="24"/>
        </w:rPr>
        <w:t xml:space="preserve">Salesforce Relevance (0-3, Formula column)</w:t>
      </w:r>
    </w:p>
    <w:tbl>
      <w:tblPr>
        <w:tblW w:type="pct" w:w="100%"/>
        <w:tblBorders>
          <w:top w:val="single" w:color="C9C2B4" w:sz="2"/>
          <w:left w:val="single" w:color="C9C2B4" w:sz="2"/>
          <w:bottom w:val="single" w:color="C9C2B4" w:sz="2"/>
          <w:right w:val="single" w:color="C9C2B4" w:sz="2"/>
          <w:insideH w:val="single" w:color="auto" w:sz="4"/>
          <w:insideV w:val="single" w:color="auto" w:sz="4"/>
        </w:tblBorders>
      </w:tblPr>
      <w:tblGrid>
        <w:gridCol w:w="100"/>
      </w:tblGrid>
      <w:tr>
        <w:tc>
          <w:tcPr>
            <w:shd w:fill="FAF8F3" w:val="clear"/>
            <w:tcMar>
              <w:top w:type="dxa" w:w="140"/>
              <w:left w:type="dxa" w:w="220"/>
              <w:bottom w:type="dxa" w:w="140"/>
              <w:right w:type="dxa" w:w="220"/>
            </w:tcMar>
          </w:tcPr>
          <w:p>
            <w:r>
              <w:rPr>
                <w:rFonts w:ascii="Consolas" w:cs="Consolas" w:eastAsia="Consolas" w:hAnsi="Consolas"/>
                <w:color w:val="20201C"/>
                <w:sz w:val="20"/>
                <w:szCs w:val="20"/>
              </w:rPr>
              <w:t xml:space="preserve">If the Tech Stack field contains "Salesforce", return 2. If it also contains "Jenkins", add 1 more (total 3). Otherwise return 0.</w:t>
            </w:r>
          </w:p>
        </w:tc>
      </w:tr>
    </w:tbl>
    <w:p>
      <w:pPr>
        <w:spacing w:after="140" w:line="300"/>
      </w:pPr>
      <w:r>
        <w:rPr>
          <w:rFonts w:ascii="Calibri" w:cs="Calibri" w:eastAsia="Calibri" w:hAnsi="Calibri"/>
          <w:color w:val="20201C"/>
          <w:sz w:val="22"/>
          <w:szCs w:val="22"/>
        </w:rPr>
        <w:t xml:space="preserve">This directly encodes your Day 1 research: Jenkins-plus-Salesforce is the exact combination that made Cushman &amp; Wakefield a real buyer.</w:t>
      </w:r>
    </w:p>
    <w:p>
      <w:pPr>
        <w:pStyle w:val="Heading2"/>
        <w:spacing w:after="110" w:before="260"/>
      </w:pPr>
      <w:r>
        <w:rPr>
          <w:rFonts w:ascii="Calibri" w:cs="Calibri" w:eastAsia="Calibri" w:hAnsi="Calibri"/>
          <w:b/>
          <w:bCs/>
          <w:color w:val="20201C"/>
          <w:sz w:val="24"/>
          <w:szCs w:val="24"/>
        </w:rPr>
        <w:t xml:space="preserve">DevOps / Release Signal (0-3, Formula column)</w:t>
      </w:r>
    </w:p>
    <w:tbl>
      <w:tblPr>
        <w:tblW w:type="pct" w:w="100%"/>
        <w:tblBorders>
          <w:top w:val="single" w:color="C9C2B4" w:sz="2"/>
          <w:left w:val="single" w:color="C9C2B4" w:sz="2"/>
          <w:bottom w:val="single" w:color="C9C2B4" w:sz="2"/>
          <w:right w:val="single" w:color="C9C2B4" w:sz="2"/>
          <w:insideH w:val="single" w:color="auto" w:sz="4"/>
          <w:insideV w:val="single" w:color="auto" w:sz="4"/>
        </w:tblBorders>
      </w:tblPr>
      <w:tblGrid>
        <w:gridCol w:w="100"/>
      </w:tblGrid>
      <w:tr>
        <w:tc>
          <w:tcPr>
            <w:shd w:fill="FAF8F3" w:val="clear"/>
            <w:tcMar>
              <w:top w:type="dxa" w:w="140"/>
              <w:left w:type="dxa" w:w="220"/>
              <w:bottom w:type="dxa" w:w="140"/>
              <w:right w:type="dxa" w:w="220"/>
            </w:tcMar>
          </w:tcPr>
          <w:p>
            <w:r>
              <w:rPr>
                <w:rFonts w:ascii="Consolas" w:cs="Consolas" w:eastAsia="Consolas" w:hAnsi="Consolas"/>
                <w:color w:val="20201C"/>
                <w:sz w:val="20"/>
                <w:szCs w:val="20"/>
              </w:rPr>
              <w:t xml:space="preserve">If the Job Count from the Job Openings column is greater than 2, return 3. If it's between 1 and 2, return 2. If it's 0, return 0.</w:t>
            </w:r>
          </w:p>
        </w:tc>
      </w:tr>
    </w:tbl>
    <w:p>
      <w:pPr>
        <w:pStyle w:val="Heading1"/>
        <w:pBdr>
          <w:bottom w:val="single" w:color="B8862B" w:sz="12" w:space="4"/>
        </w:pBdr>
        <w:spacing w:after="160" w:before="380"/>
      </w:pPr>
      <w:r>
        <w:rPr>
          <w:rFonts w:ascii="Calibri" w:cs="Calibri" w:eastAsia="Calibri" w:hAnsi="Calibri"/>
          <w:b/>
          <w:bCs/>
          <w:color w:val="1B2A4A"/>
          <w:sz w:val="30"/>
          <w:szCs w:val="30"/>
        </w:rPr>
        <w:t xml:space="preserve">7. Final Score Formula</w:t>
      </w:r>
    </w:p>
    <w:tbl>
      <w:tblPr>
        <w:tblW w:type="pct" w:w="100%"/>
        <w:tblBorders>
          <w:top w:val="single" w:color="C9C2B4" w:sz="2"/>
          <w:left w:val="single" w:color="C9C2B4" w:sz="2"/>
          <w:bottom w:val="single" w:color="C9C2B4" w:sz="2"/>
          <w:right w:val="single" w:color="C9C2B4" w:sz="2"/>
          <w:insideH w:val="single" w:color="auto" w:sz="4"/>
          <w:insideV w:val="single" w:color="auto" w:sz="4"/>
        </w:tblBorders>
      </w:tblPr>
      <w:tblGrid>
        <w:gridCol w:w="100"/>
      </w:tblGrid>
      <w:tr>
        <w:tc>
          <w:tcPr>
            <w:shd w:fill="FAF8F3" w:val="clear"/>
            <w:tcMar>
              <w:top w:type="dxa" w:w="140"/>
              <w:left w:type="dxa" w:w="220"/>
              <w:bottom w:type="dxa" w:w="140"/>
              <w:right w:type="dxa" w:w="220"/>
            </w:tcMar>
          </w:tcPr>
          <w:p>
            <w:r>
              <w:rPr>
                <w:rFonts w:ascii="Consolas" w:cs="Consolas" w:eastAsia="Consolas" w:hAnsi="Consolas"/>
                <w:color w:val="20201C"/>
                <w:sz w:val="20"/>
                <w:szCs w:val="20"/>
              </w:rPr>
              <w:t xml:space="preserve">Add: Salesforce Relevance score + DevOps/Release Signal score + (4 if Percent Employee Growth Over Last 6 Months is above 20, else 0). Return the total.</w:t>
            </w:r>
          </w:p>
        </w:tc>
      </w:tr>
    </w:tbl>
    <w:p>
      <w:pPr>
        <w:spacing w:after="140" w:line="300"/>
      </w:pPr>
      <w:r>
        <w:rPr>
          <w:rFonts w:ascii="Calibri" w:cs="Calibri" w:eastAsia="Calibri" w:hAnsi="Calibri"/>
          <w:color w:val="20201C"/>
          <w:sz w:val="22"/>
          <w:szCs w:val="22"/>
        </w:rPr>
        <w:t xml:space="preserve">Maximum possible score is 10 (3 + 3 + 4) — sort your 5 rows by this descending.</w:t>
      </w:r>
    </w:p>
    <w:p>
      <w:pPr>
        <w:pStyle w:val="Heading1"/>
        <w:pBdr>
          <w:bottom w:val="single" w:color="B8862B" w:sz="12" w:space="4"/>
        </w:pBdr>
        <w:spacing w:after="160" w:before="380"/>
      </w:pPr>
      <w:r>
        <w:rPr>
          <w:rFonts w:ascii="Calibri" w:cs="Calibri" w:eastAsia="Calibri" w:hAnsi="Calibri"/>
          <w:b/>
          <w:bCs/>
          <w:color w:val="1B2A4A"/>
          <w:sz w:val="30"/>
          <w:szCs w:val="30"/>
        </w:rPr>
        <w:t xml:space="preserve">8. Exporting for Day 3</w:t>
      </w:r>
    </w:p>
    <w:p>
      <w:pPr>
        <w:pStyle w:val="ListParagraph"/>
        <w:numPr>
          <w:ilvl w:val="0"/>
          <w:numId w:val="2"/>
        </w:numPr>
        <w:spacing w:after="90" w:line="290"/>
      </w:pPr>
      <w:r>
        <w:rPr>
          <w:rFonts w:ascii="Calibri" w:cs="Calibri" w:eastAsia="Calibri" w:hAnsi="Calibri"/>
          <w:color w:val="20201C"/>
          <w:sz w:val="22"/>
          <w:szCs w:val="22"/>
        </w:rPr>
        <w:t xml:space="preserve">Select all 5 rows (or just leave the view as-is), click the table's menu (⋯) → Export → Export as CSV.</w:t>
      </w:r>
    </w:p>
    <w:p>
      <w:pPr>
        <w:pStyle w:val="ListParagraph"/>
        <w:numPr>
          <w:ilvl w:val="0"/>
          <w:numId w:val="2"/>
        </w:numPr>
        <w:spacing w:after="90" w:line="290"/>
      </w:pPr>
      <w:r>
        <w:rPr>
          <w:rFonts w:ascii="Calibri" w:cs="Calibri" w:eastAsia="Calibri" w:hAnsi="Calibri"/>
          <w:color w:val="20201C"/>
          <w:sz w:val="22"/>
          <w:szCs w:val="22"/>
        </w:rPr>
        <w:t xml:space="preserve">Save the file as top5_scored_accounts.csv</w:t>
      </w:r>
    </w:p>
    <w:p>
      <w:pPr>
        <w:pStyle w:val="ListParagraph"/>
        <w:numPr>
          <w:ilvl w:val="0"/>
          <w:numId w:val="2"/>
        </w:numPr>
        <w:spacing w:after="90" w:line="290"/>
      </w:pPr>
      <w:r>
        <w:rPr>
          <w:rFonts w:ascii="Calibri" w:cs="Calibri" w:eastAsia="Calibri" w:hAnsi="Calibri"/>
          <w:color w:val="20201C"/>
          <w:sz w:val="22"/>
          <w:szCs w:val="22"/>
        </w:rPr>
        <w:t xml:space="preserve">Move it into your repo's /clay folder, alongside a screenshot of the full scored table (for your Loom and README).</w:t>
      </w:r>
    </w:p>
    <w:tbl>
      <w:tblPr>
        <w:tblW w:type="pct" w:w="100%"/>
        <w:tblBorders>
          <w:top w:val="single" w:color="2F5233" w:sz="4"/>
          <w:left w:val="single" w:color="2F5233" w:sz="24"/>
          <w:bottom w:val="single" w:color="2F5233" w:sz="4"/>
          <w:right w:val="single" w:color="2F5233" w:sz="4"/>
          <w:insideH w:val="single" w:color="auto" w:sz="4"/>
          <w:insideV w:val="single" w:color="auto" w:sz="4"/>
        </w:tblBorders>
      </w:tblPr>
      <w:tblGrid>
        <w:gridCol w:w="100"/>
      </w:tblGrid>
      <w:tr>
        <w:tc>
          <w:tcPr>
            <w:shd w:fill="E7EFE6" w:val="clear"/>
            <w:tcMar>
              <w:top w:type="dxa" w:w="140"/>
              <w:left w:type="dxa" w:w="220"/>
              <w:bottom w:type="dxa" w:w="140"/>
              <w:right w:type="dxa" w:w="220"/>
            </w:tcMar>
          </w:tcPr>
          <w:p>
            <w:pPr>
              <w:spacing w:after="60"/>
            </w:pPr>
            <w:r>
              <w:rPr>
                <w:rFonts w:ascii="Calibri" w:cs="Calibri" w:eastAsia="Calibri" w:hAnsi="Calibri"/>
                <w:b/>
                <w:bCs/>
                <w:color w:val="2F5233"/>
                <w:sz w:val="20"/>
                <w:szCs w:val="20"/>
              </w:rPr>
              <w:t xml:space="preserve">CSV COLUMNS TO KEEP</w:t>
            </w:r>
          </w:p>
          <w:p>
            <w:pPr>
              <w:spacing w:after="0" w:line="280"/>
            </w:pPr>
            <w:r>
              <w:rPr>
                <w:rFonts w:ascii="Calibri" w:cs="Calibri" w:eastAsia="Calibri" w:hAnsi="Calibri"/>
                <w:color w:val="20201C"/>
                <w:sz w:val="20"/>
                <w:szCs w:val="20"/>
              </w:rPr>
              <w:t xml:space="preserve">Company Name, Domain, Company LinkedIn URL, Employee Count, Industry, Tech Stack, Job Count, Headcount Growth %, Salesforce Relevance, DevOps/Release Signal, Final Score — these are exactly what Day 3's Python script will read.</w:t>
            </w:r>
          </w:p>
        </w:tc>
      </w:tr>
    </w:tbl>
    <w:p>
      <w:pPr>
        <w:spacing w:after="200"/>
      </w:pPr>
    </w:p>
    <w:p>
      <w:pPr>
        <w:pBdr>
          <w:top w:val="single" w:color="B8862B" w:sz="8" w:space="8"/>
        </w:pBdr>
        <w:spacing w:before="200"/>
      </w:pPr>
      <w:r>
        <w:rPr>
          <w:rFonts w:ascii="Calibri" w:cs="Calibri" w:eastAsia="Calibri" w:hAnsi="Calibri"/>
          <w:i/>
          <w:iCs/>
          <w:color w:val="5F5A52"/>
          <w:sz w:val="18"/>
          <w:szCs w:val="18"/>
        </w:rPr>
        <w:t xml:space="preserve">Day 2 of 5 — AI Revenue Command Center. Every query, filter, and formula here is ready to paste directly into Clay.</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0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2026-09-18T18:01:59.732Z</dcterms:created>
  <dcterms:modified xsi:type="dcterms:W3CDTF">2026-09-18T18:01:59.740Z</dcterms:modified>
</cp:coreProperties>
</file>

<file path=docProps/custom.xml><?xml version="1.0" encoding="utf-8"?>
<Properties xmlns="http://schemas.openxmlformats.org/officeDocument/2006/custom-properties" xmlns:vt="http://schemas.openxmlformats.org/officeDocument/2006/docPropsVTypes"/>
</file>