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29D02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GLBA (Gramm-Leach-Bliley Act): what, who, and the 3 pillars</w:t>
      </w:r>
    </w:p>
    <w:p w14:paraId="52FE066E" w14:textId="77777777" w:rsidR="00D031B5" w:rsidRPr="00D031B5" w:rsidRDefault="00D031B5" w:rsidP="00D031B5">
      <w:r w:rsidRPr="00D031B5">
        <w:rPr>
          <w:b/>
          <w:bCs/>
        </w:rPr>
        <w:t>What it is:</w:t>
      </w:r>
      <w:r w:rsidRPr="00D031B5">
        <w:t xml:space="preserve"> U.S. federal law that requires “financial institutions” (broadly defined, including many non-banks) to protect </w:t>
      </w:r>
      <w:r w:rsidRPr="00D031B5">
        <w:rPr>
          <w:b/>
          <w:bCs/>
        </w:rPr>
        <w:t>nonpublic personal information (NPI)</w:t>
      </w:r>
      <w:r w:rsidRPr="00D031B5">
        <w:t xml:space="preserve"> about </w:t>
      </w:r>
      <w:r w:rsidRPr="00D031B5">
        <w:rPr>
          <w:b/>
          <w:bCs/>
        </w:rPr>
        <w:t>consumers/customers</w:t>
      </w:r>
      <w:r w:rsidRPr="00D031B5">
        <w:t xml:space="preserve"> and explain how it’s shared. Core implementing rules:</w:t>
      </w:r>
    </w:p>
    <w:p w14:paraId="76498658" w14:textId="77777777" w:rsidR="00D031B5" w:rsidRPr="00D031B5" w:rsidRDefault="00D031B5" w:rsidP="00D031B5">
      <w:pPr>
        <w:numPr>
          <w:ilvl w:val="0"/>
          <w:numId w:val="1"/>
        </w:numPr>
      </w:pPr>
      <w:r w:rsidRPr="00D031B5">
        <w:rPr>
          <w:b/>
          <w:bCs/>
        </w:rPr>
        <w:t>Privacy Rule</w:t>
      </w:r>
      <w:r w:rsidRPr="00D031B5">
        <w:t xml:space="preserve"> – disclosures &amp; opt-outs (FTC: </w:t>
      </w:r>
      <w:r w:rsidRPr="00D031B5">
        <w:rPr>
          <w:b/>
          <w:bCs/>
        </w:rPr>
        <w:t>16 CFR Part 313</w:t>
      </w:r>
      <w:r w:rsidRPr="00D031B5">
        <w:t xml:space="preserve">; banks follow </w:t>
      </w:r>
      <w:r w:rsidRPr="00D031B5">
        <w:rPr>
          <w:b/>
          <w:bCs/>
        </w:rPr>
        <w:t>Regulation P, 12 CFR Part 1016</w:t>
      </w:r>
      <w:r w:rsidRPr="00D031B5">
        <w:t xml:space="preserve">). </w:t>
      </w:r>
      <w:hyperlink r:id="rId5" w:tgtFrame="_blank" w:history="1">
        <w:r w:rsidRPr="00D031B5">
          <w:rPr>
            <w:rStyle w:val="Hyperlink"/>
          </w:rPr>
          <w:t>Legal Information Institute</w:t>
        </w:r>
      </w:hyperlink>
      <w:hyperlink r:id="rId6" w:tgtFrame="_blank" w:history="1">
        <w:r w:rsidRPr="00D031B5">
          <w:rPr>
            <w:rStyle w:val="Hyperlink"/>
          </w:rPr>
          <w:t>eCFR</w:t>
        </w:r>
      </w:hyperlink>
      <w:hyperlink r:id="rId7" w:tgtFrame="_blank" w:history="1">
        <w:r w:rsidRPr="00D031B5">
          <w:rPr>
            <w:rStyle w:val="Hyperlink"/>
          </w:rPr>
          <w:t>Federal Register</w:t>
        </w:r>
      </w:hyperlink>
    </w:p>
    <w:p w14:paraId="7DB3DCBE" w14:textId="77777777" w:rsidR="00D031B5" w:rsidRPr="00D031B5" w:rsidRDefault="00D031B5" w:rsidP="00D031B5">
      <w:pPr>
        <w:numPr>
          <w:ilvl w:val="0"/>
          <w:numId w:val="1"/>
        </w:numPr>
      </w:pPr>
      <w:r w:rsidRPr="00D031B5">
        <w:rPr>
          <w:b/>
          <w:bCs/>
        </w:rPr>
        <w:t>Safeguards Rule</w:t>
      </w:r>
      <w:r w:rsidRPr="00D031B5">
        <w:t xml:space="preserve"> – security program requirements (FTC: </w:t>
      </w:r>
      <w:r w:rsidRPr="00D031B5">
        <w:rPr>
          <w:b/>
          <w:bCs/>
        </w:rPr>
        <w:t>16 CFR Part 314</w:t>
      </w:r>
      <w:r w:rsidRPr="00D031B5">
        <w:t xml:space="preserve">). </w:t>
      </w:r>
      <w:hyperlink r:id="rId8" w:tgtFrame="_blank" w:history="1">
        <w:r w:rsidRPr="00D031B5">
          <w:rPr>
            <w:rStyle w:val="Hyperlink"/>
          </w:rPr>
          <w:t>eCFR</w:t>
        </w:r>
      </w:hyperlink>
    </w:p>
    <w:p w14:paraId="7828721C" w14:textId="77777777" w:rsidR="00D031B5" w:rsidRPr="00D031B5" w:rsidRDefault="00D031B5" w:rsidP="00D031B5">
      <w:pPr>
        <w:numPr>
          <w:ilvl w:val="0"/>
          <w:numId w:val="1"/>
        </w:numPr>
      </w:pPr>
      <w:r w:rsidRPr="00D031B5">
        <w:rPr>
          <w:b/>
          <w:bCs/>
        </w:rPr>
        <w:t>Pretexting (anti-social-engineering) Rule</w:t>
      </w:r>
      <w:r w:rsidRPr="00D031B5">
        <w:t xml:space="preserve"> – prohibits obtaining customer info by false pretenses (</w:t>
      </w:r>
      <w:r w:rsidRPr="00D031B5">
        <w:rPr>
          <w:b/>
          <w:bCs/>
        </w:rPr>
        <w:t>15 U.S.C. § 6821</w:t>
      </w:r>
      <w:r w:rsidRPr="00D031B5">
        <w:t xml:space="preserve">). </w:t>
      </w:r>
      <w:hyperlink r:id="rId9" w:tgtFrame="_blank" w:history="1">
        <w:r w:rsidRPr="00D031B5">
          <w:rPr>
            <w:rStyle w:val="Hyperlink"/>
          </w:rPr>
          <w:t>Legal Information Institute</w:t>
        </w:r>
      </w:hyperlink>
    </w:p>
    <w:p w14:paraId="42AE9D93" w14:textId="77777777" w:rsidR="00D031B5" w:rsidRPr="00D031B5" w:rsidRDefault="00D031B5" w:rsidP="00D031B5">
      <w:r w:rsidRPr="00D031B5">
        <w:rPr>
          <w:b/>
          <w:bCs/>
        </w:rPr>
        <w:t>Key definitions you’ll cite:</w:t>
      </w:r>
    </w:p>
    <w:p w14:paraId="3FDFDE8E" w14:textId="77777777" w:rsidR="00D031B5" w:rsidRPr="00D031B5" w:rsidRDefault="00D031B5" w:rsidP="00D031B5">
      <w:pPr>
        <w:numPr>
          <w:ilvl w:val="0"/>
          <w:numId w:val="2"/>
        </w:numPr>
      </w:pPr>
      <w:r w:rsidRPr="00D031B5">
        <w:rPr>
          <w:b/>
          <w:bCs/>
        </w:rPr>
        <w:t>Financial institution (FTC scope):</w:t>
      </w:r>
      <w:r w:rsidRPr="00D031B5">
        <w:t xml:space="preserve"> non-bank entities substantially engaged in financial activities (e.g., lenders, mortgage brokers, servicers, payday lenders, tax prep firms, certain “finders,” etc.). </w:t>
      </w:r>
      <w:hyperlink r:id="rId10" w:tgtFrame="_blank" w:history="1">
        <w:r w:rsidRPr="00D031B5">
          <w:rPr>
            <w:rStyle w:val="Hyperlink"/>
          </w:rPr>
          <w:t>eCFR</w:t>
        </w:r>
      </w:hyperlink>
    </w:p>
    <w:p w14:paraId="0A69B260" w14:textId="77777777" w:rsidR="00D031B5" w:rsidRPr="00D031B5" w:rsidRDefault="00D031B5" w:rsidP="00D031B5">
      <w:pPr>
        <w:numPr>
          <w:ilvl w:val="0"/>
          <w:numId w:val="2"/>
        </w:numPr>
      </w:pPr>
      <w:r w:rsidRPr="00D031B5">
        <w:rPr>
          <w:b/>
          <w:bCs/>
        </w:rPr>
        <w:t>Consumer vs. Customer:</w:t>
      </w:r>
      <w:r w:rsidRPr="00D031B5">
        <w:t xml:space="preserve"> a </w:t>
      </w:r>
      <w:r w:rsidRPr="00D031B5">
        <w:rPr>
          <w:b/>
          <w:bCs/>
        </w:rPr>
        <w:t>consumer</w:t>
      </w:r>
      <w:r w:rsidRPr="00D031B5">
        <w:t xml:space="preserve"> obtains a financial product/service; a </w:t>
      </w:r>
      <w:r w:rsidRPr="00D031B5">
        <w:rPr>
          <w:b/>
          <w:bCs/>
        </w:rPr>
        <w:t>customer</w:t>
      </w:r>
      <w:r w:rsidRPr="00D031B5">
        <w:t xml:space="preserve"> has a </w:t>
      </w:r>
      <w:r w:rsidRPr="00D031B5">
        <w:rPr>
          <w:b/>
          <w:bCs/>
        </w:rPr>
        <w:t>continuing relationship</w:t>
      </w:r>
      <w:r w:rsidRPr="00D031B5">
        <w:t xml:space="preserve">. Customers trigger stronger obligations (privacy notices, safeguards). </w:t>
      </w:r>
      <w:hyperlink r:id="rId11" w:tgtFrame="_blank" w:history="1">
        <w:r w:rsidRPr="00D031B5">
          <w:rPr>
            <w:rStyle w:val="Hyperlink"/>
          </w:rPr>
          <w:t>eCFR</w:t>
        </w:r>
      </w:hyperlink>
    </w:p>
    <w:p w14:paraId="13ECB69D" w14:textId="77777777" w:rsidR="00D031B5" w:rsidRPr="00D031B5" w:rsidRDefault="00D031B5" w:rsidP="00D031B5">
      <w:pPr>
        <w:numPr>
          <w:ilvl w:val="0"/>
          <w:numId w:val="2"/>
        </w:numPr>
      </w:pPr>
      <w:r w:rsidRPr="00D031B5">
        <w:rPr>
          <w:b/>
          <w:bCs/>
        </w:rPr>
        <w:t>NPI/Customer information:</w:t>
      </w:r>
      <w:r w:rsidRPr="00D031B5">
        <w:t xml:space="preserve"> any nonpublic personal info handled by/for the institution. </w:t>
      </w:r>
      <w:hyperlink r:id="rId12" w:tgtFrame="_blank" w:history="1">
        <w:r w:rsidRPr="00D031B5">
          <w:rPr>
            <w:rStyle w:val="Hyperlink"/>
          </w:rPr>
          <w:t>eCFR</w:t>
        </w:r>
      </w:hyperlink>
    </w:p>
    <w:p w14:paraId="7B265F2D" w14:textId="77777777" w:rsidR="00D031B5" w:rsidRPr="00D031B5" w:rsidRDefault="00D031B5" w:rsidP="00D031B5">
      <w:r w:rsidRPr="00D031B5">
        <w:pict w14:anchorId="6D869860">
          <v:rect id="_x0000_i1025" style="width:0;height:1.5pt" o:hralign="center" o:hrstd="t" o:hr="t" fillcolor="#a0a0a0" stroked="f"/>
        </w:pict>
      </w:r>
    </w:p>
    <w:p w14:paraId="0A1E3FC1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1) Privacy Rule (what you must show customers)</w:t>
      </w:r>
    </w:p>
    <w:p w14:paraId="45809313" w14:textId="77777777" w:rsidR="00D031B5" w:rsidRPr="00D031B5" w:rsidRDefault="00D031B5" w:rsidP="00D031B5">
      <w:r w:rsidRPr="00D031B5">
        <w:rPr>
          <w:b/>
          <w:bCs/>
        </w:rPr>
        <w:t>Obligations (high level):</w:t>
      </w:r>
    </w:p>
    <w:p w14:paraId="70971013" w14:textId="77777777" w:rsidR="00D031B5" w:rsidRPr="00D031B5" w:rsidRDefault="00D031B5" w:rsidP="00D031B5">
      <w:pPr>
        <w:numPr>
          <w:ilvl w:val="0"/>
          <w:numId w:val="3"/>
        </w:numPr>
      </w:pPr>
      <w:r w:rsidRPr="00D031B5">
        <w:rPr>
          <w:b/>
          <w:bCs/>
        </w:rPr>
        <w:t>Initial privacy notice</w:t>
      </w:r>
      <w:r w:rsidRPr="00D031B5">
        <w:t xml:space="preserve"> at relationship start; </w:t>
      </w:r>
      <w:r w:rsidRPr="00D031B5">
        <w:rPr>
          <w:b/>
          <w:bCs/>
        </w:rPr>
        <w:t>annual notice</w:t>
      </w:r>
      <w:r w:rsidRPr="00D031B5">
        <w:t xml:space="preserve"> thereafter (with a statutory </w:t>
      </w:r>
      <w:r w:rsidRPr="00D031B5">
        <w:rPr>
          <w:b/>
          <w:bCs/>
        </w:rPr>
        <w:t>exception</w:t>
      </w:r>
      <w:r w:rsidRPr="00D031B5">
        <w:t xml:space="preserve"> if you share only under specific exceptions and don’t change practices).</w:t>
      </w:r>
    </w:p>
    <w:p w14:paraId="6E509060" w14:textId="77777777" w:rsidR="00D031B5" w:rsidRPr="00D031B5" w:rsidRDefault="00D031B5" w:rsidP="00D031B5">
      <w:pPr>
        <w:numPr>
          <w:ilvl w:val="0"/>
          <w:numId w:val="3"/>
        </w:numPr>
      </w:pPr>
      <w:r w:rsidRPr="00D031B5">
        <w:rPr>
          <w:b/>
          <w:bCs/>
        </w:rPr>
        <w:t>Right to opt-out</w:t>
      </w:r>
      <w:r w:rsidRPr="00D031B5">
        <w:t xml:space="preserve"> before sharing NPI with </w:t>
      </w:r>
      <w:r w:rsidRPr="00D031B5">
        <w:rPr>
          <w:b/>
          <w:bCs/>
        </w:rPr>
        <w:t>non-affiliated</w:t>
      </w:r>
      <w:r w:rsidRPr="00D031B5">
        <w:t xml:space="preserve"> third parties (subject to exceptions).</w:t>
      </w:r>
    </w:p>
    <w:p w14:paraId="23BFAD3C" w14:textId="77777777" w:rsidR="00D031B5" w:rsidRPr="00D031B5" w:rsidRDefault="00D031B5" w:rsidP="00D031B5">
      <w:pPr>
        <w:numPr>
          <w:ilvl w:val="0"/>
          <w:numId w:val="3"/>
        </w:numPr>
      </w:pPr>
      <w:r w:rsidRPr="00D031B5">
        <w:rPr>
          <w:b/>
          <w:bCs/>
        </w:rPr>
        <w:t>Limits on redisclosure/reuse</w:t>
      </w:r>
      <w:r w:rsidRPr="00D031B5">
        <w:t xml:space="preserve"> by recipients; </w:t>
      </w:r>
      <w:r w:rsidRPr="00D031B5">
        <w:rPr>
          <w:b/>
          <w:bCs/>
        </w:rPr>
        <w:t>account number sharing restrictions</w:t>
      </w:r>
      <w:r w:rsidRPr="00D031B5">
        <w:t xml:space="preserve"> for marketing.</w:t>
      </w:r>
    </w:p>
    <w:p w14:paraId="0B65A21A" w14:textId="77777777" w:rsidR="00D031B5" w:rsidRPr="00D031B5" w:rsidRDefault="00D031B5" w:rsidP="00D031B5">
      <w:pPr>
        <w:numPr>
          <w:ilvl w:val="0"/>
          <w:numId w:val="3"/>
        </w:numPr>
      </w:pPr>
      <w:r w:rsidRPr="00D031B5">
        <w:t xml:space="preserve">Use of </w:t>
      </w:r>
      <w:r w:rsidRPr="00D031B5">
        <w:rPr>
          <w:b/>
          <w:bCs/>
        </w:rPr>
        <w:t>model privacy form</w:t>
      </w:r>
      <w:r w:rsidRPr="00D031B5">
        <w:t xml:space="preserve"> is strongly encouraged (safe-harbor style). </w:t>
      </w:r>
      <w:hyperlink r:id="rId13" w:tgtFrame="_blank" w:history="1">
        <w:r w:rsidRPr="00D031B5">
          <w:rPr>
            <w:rStyle w:val="Hyperlink"/>
          </w:rPr>
          <w:t>eCFR</w:t>
        </w:r>
      </w:hyperlink>
      <w:hyperlink r:id="rId14" w:tgtFrame="_blank" w:history="1">
        <w:r w:rsidRPr="00D031B5">
          <w:rPr>
            <w:rStyle w:val="Hyperlink"/>
          </w:rPr>
          <w:t>Consumer Financial Protection Bureau+1</w:t>
        </w:r>
      </w:hyperlink>
    </w:p>
    <w:p w14:paraId="550887FA" w14:textId="77777777" w:rsidR="00D031B5" w:rsidRPr="00D031B5" w:rsidRDefault="00D031B5" w:rsidP="00D031B5">
      <w:r w:rsidRPr="00D031B5">
        <w:rPr>
          <w:b/>
          <w:bCs/>
        </w:rPr>
        <w:lastRenderedPageBreak/>
        <w:t>Bank vs. non-bank supervision:</w:t>
      </w:r>
      <w:r w:rsidRPr="00D031B5">
        <w:t xml:space="preserve"> Banks follow </w:t>
      </w:r>
      <w:r w:rsidRPr="00D031B5">
        <w:rPr>
          <w:b/>
          <w:bCs/>
        </w:rPr>
        <w:t>Reg P</w:t>
      </w:r>
      <w:r w:rsidRPr="00D031B5">
        <w:t xml:space="preserve"> (CFPB/ prudential regulators); most non-banks follow the FTC Privacy Rule. </w:t>
      </w:r>
      <w:hyperlink r:id="rId15" w:tgtFrame="_blank" w:history="1">
        <w:r w:rsidRPr="00D031B5">
          <w:rPr>
            <w:rStyle w:val="Hyperlink"/>
          </w:rPr>
          <w:t>Consumer Financial Protection Bureau</w:t>
        </w:r>
      </w:hyperlink>
      <w:hyperlink r:id="rId16" w:tgtFrame="_blank" w:history="1">
        <w:r w:rsidRPr="00D031B5">
          <w:rPr>
            <w:rStyle w:val="Hyperlink"/>
          </w:rPr>
          <w:t>Federal Trade Commission</w:t>
        </w:r>
      </w:hyperlink>
    </w:p>
    <w:p w14:paraId="43555511" w14:textId="77777777" w:rsidR="00D031B5" w:rsidRPr="00D031B5" w:rsidRDefault="00D031B5" w:rsidP="00D031B5">
      <w:r w:rsidRPr="00D031B5">
        <w:rPr>
          <w:b/>
          <w:bCs/>
        </w:rPr>
        <w:t>Interview tips (Privacy):</w:t>
      </w:r>
    </w:p>
    <w:p w14:paraId="3BAD3F73" w14:textId="77777777" w:rsidR="00D031B5" w:rsidRPr="00D031B5" w:rsidRDefault="00D031B5" w:rsidP="00D031B5">
      <w:pPr>
        <w:numPr>
          <w:ilvl w:val="0"/>
          <w:numId w:val="4"/>
        </w:numPr>
      </w:pPr>
      <w:r w:rsidRPr="00D031B5">
        <w:t xml:space="preserve">Explain </w:t>
      </w:r>
      <w:r w:rsidRPr="00D031B5">
        <w:rPr>
          <w:b/>
          <w:bCs/>
        </w:rPr>
        <w:t>when annual notice is not required</w:t>
      </w:r>
      <w:r w:rsidRPr="00D031B5">
        <w:t xml:space="preserve"> (the FAST Act exception baked into Reg P; no material change; sharing only under exceptions).</w:t>
      </w:r>
    </w:p>
    <w:p w14:paraId="0067E331" w14:textId="77777777" w:rsidR="00D031B5" w:rsidRPr="00D031B5" w:rsidRDefault="00D031B5" w:rsidP="00D031B5">
      <w:pPr>
        <w:numPr>
          <w:ilvl w:val="0"/>
          <w:numId w:val="4"/>
        </w:numPr>
      </w:pPr>
      <w:r w:rsidRPr="00D031B5">
        <w:t xml:space="preserve">Be ready to map an institution’s </w:t>
      </w:r>
      <w:r w:rsidRPr="00D031B5">
        <w:rPr>
          <w:b/>
          <w:bCs/>
        </w:rPr>
        <w:t>data sharing matrix</w:t>
      </w:r>
      <w:r w:rsidRPr="00D031B5">
        <w:t xml:space="preserve"> to opt-out requirements and exceptions. </w:t>
      </w:r>
      <w:hyperlink r:id="rId17" w:tgtFrame="_blank" w:history="1">
        <w:r w:rsidRPr="00D031B5">
          <w:rPr>
            <w:rStyle w:val="Hyperlink"/>
          </w:rPr>
          <w:t>Federal Register</w:t>
        </w:r>
      </w:hyperlink>
      <w:hyperlink r:id="rId18" w:tgtFrame="_blank" w:history="1">
        <w:r w:rsidRPr="00D031B5">
          <w:rPr>
            <w:rStyle w:val="Hyperlink"/>
          </w:rPr>
          <w:t>FDIC</w:t>
        </w:r>
      </w:hyperlink>
    </w:p>
    <w:p w14:paraId="2C837C0F" w14:textId="77777777" w:rsidR="00D031B5" w:rsidRPr="00D031B5" w:rsidRDefault="00D031B5" w:rsidP="00D031B5">
      <w:r w:rsidRPr="00D031B5">
        <w:pict w14:anchorId="5F908845">
          <v:rect id="_x0000_i1026" style="width:0;height:1.5pt" o:hralign="center" o:hrstd="t" o:hr="t" fillcolor="#a0a0a0" stroked="f"/>
        </w:pict>
      </w:r>
    </w:p>
    <w:p w14:paraId="4B3B1A33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2) Safeguards Rule (the security program)</w:t>
      </w:r>
    </w:p>
    <w:p w14:paraId="3568FB15" w14:textId="77777777" w:rsidR="00D031B5" w:rsidRPr="00D031B5" w:rsidRDefault="00D031B5" w:rsidP="00D031B5">
      <w:r w:rsidRPr="00D031B5">
        <w:rPr>
          <w:b/>
          <w:bCs/>
        </w:rPr>
        <w:t>Program elements you must evidence</w:t>
      </w:r>
      <w:r w:rsidRPr="00D031B5">
        <w:t xml:space="preserve"> (16 CFR §314.4):</w:t>
      </w:r>
    </w:p>
    <w:p w14:paraId="17752554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Qualified Individual</w:t>
      </w:r>
      <w:r w:rsidRPr="00D031B5">
        <w:t xml:space="preserve"> (QI) designated to run the program; </w:t>
      </w:r>
      <w:r w:rsidRPr="00D031B5">
        <w:rPr>
          <w:b/>
          <w:bCs/>
        </w:rPr>
        <w:t>written</w:t>
      </w:r>
      <w:r w:rsidRPr="00D031B5">
        <w:t xml:space="preserve"> information security program.</w:t>
      </w:r>
    </w:p>
    <w:p w14:paraId="0425D30C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Written risk assessment</w:t>
      </w:r>
      <w:r w:rsidRPr="00D031B5">
        <w:t xml:space="preserve"> with criteria for risk eval/categorization and CIA impact; periodic updates.</w:t>
      </w:r>
    </w:p>
    <w:p w14:paraId="3A1E2A6F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Controls:</w:t>
      </w:r>
    </w:p>
    <w:p w14:paraId="324EAB35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t>Access control &amp; least privilege</w:t>
      </w:r>
    </w:p>
    <w:p w14:paraId="0F0AE3A7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rPr>
          <w:b/>
          <w:bCs/>
        </w:rPr>
        <w:t>Asset/data inventory &amp; classification</w:t>
      </w:r>
    </w:p>
    <w:p w14:paraId="2FCC3784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rPr>
          <w:b/>
          <w:bCs/>
        </w:rPr>
        <w:t>Encryption of customer info in transit &amp; at rest</w:t>
      </w:r>
      <w:r w:rsidRPr="00D031B5">
        <w:t xml:space="preserve"> (or QI-approved compensating controls)</w:t>
      </w:r>
    </w:p>
    <w:p w14:paraId="487A7F1F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rPr>
          <w:b/>
          <w:bCs/>
        </w:rPr>
        <w:t>MFA</w:t>
      </w:r>
      <w:r w:rsidRPr="00D031B5">
        <w:t xml:space="preserve"> for any information system access (QI may approve equivalent)</w:t>
      </w:r>
    </w:p>
    <w:p w14:paraId="1E6B9CA2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t>Secure SDLC for in-house and vetting for third-party apps</w:t>
      </w:r>
    </w:p>
    <w:p w14:paraId="2164BA8F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rPr>
          <w:b/>
          <w:bCs/>
        </w:rPr>
        <w:t>Data retention &amp; secure disposal</w:t>
      </w:r>
      <w:r w:rsidRPr="00D031B5">
        <w:t xml:space="preserve"> (generally ≤2 years unless needed/required)</w:t>
      </w:r>
    </w:p>
    <w:p w14:paraId="3055D345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t>Change management</w:t>
      </w:r>
    </w:p>
    <w:p w14:paraId="6796D74E" w14:textId="77777777" w:rsidR="00D031B5" w:rsidRPr="00D031B5" w:rsidRDefault="00D031B5" w:rsidP="00D031B5">
      <w:pPr>
        <w:numPr>
          <w:ilvl w:val="1"/>
          <w:numId w:val="5"/>
        </w:numPr>
      </w:pPr>
      <w:r w:rsidRPr="00D031B5">
        <w:rPr>
          <w:b/>
          <w:bCs/>
        </w:rPr>
        <w:t>Monitoring &amp; logging</w:t>
      </w:r>
      <w:r w:rsidRPr="00D031B5">
        <w:t xml:space="preserve"> of authorized users</w:t>
      </w:r>
    </w:p>
    <w:p w14:paraId="20CEB1FD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Testing/Monitoring:</w:t>
      </w:r>
      <w:r w:rsidRPr="00D031B5">
        <w:t xml:space="preserve"> continuous monitoring </w:t>
      </w:r>
      <w:r w:rsidRPr="00D031B5">
        <w:rPr>
          <w:b/>
          <w:bCs/>
        </w:rPr>
        <w:t>or</w:t>
      </w:r>
      <w:r w:rsidRPr="00D031B5">
        <w:t xml:space="preserve"> at least </w:t>
      </w:r>
      <w:r w:rsidRPr="00D031B5">
        <w:rPr>
          <w:b/>
          <w:bCs/>
        </w:rPr>
        <w:t>annual penetration testing</w:t>
      </w:r>
      <w:r w:rsidRPr="00D031B5">
        <w:t xml:space="preserve"> and </w:t>
      </w:r>
      <w:r w:rsidRPr="00D031B5">
        <w:rPr>
          <w:b/>
          <w:bCs/>
        </w:rPr>
        <w:t>semiannual vulnerability assessments</w:t>
      </w:r>
      <w:r w:rsidRPr="00D031B5">
        <w:t>.</w:t>
      </w:r>
    </w:p>
    <w:p w14:paraId="348F0AE8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Training &amp; staffing</w:t>
      </w:r>
      <w:r w:rsidRPr="00D031B5">
        <w:t xml:space="preserve"> (qualified security personnel).</w:t>
      </w:r>
    </w:p>
    <w:p w14:paraId="6EA23182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lastRenderedPageBreak/>
        <w:t>Service provider oversight</w:t>
      </w:r>
      <w:r w:rsidRPr="00D031B5">
        <w:t xml:space="preserve"> (due diligence, contractual security requirements, periodic assessment).</w:t>
      </w:r>
    </w:p>
    <w:p w14:paraId="5F523027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Incident response plan</w:t>
      </w:r>
      <w:r w:rsidRPr="00D031B5">
        <w:t xml:space="preserve"> with roles, comms, remediation, documentation, and post-incident review.</w:t>
      </w:r>
    </w:p>
    <w:p w14:paraId="6F0E1F9B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Board (or senior officer) reporting</w:t>
      </w:r>
      <w:r w:rsidRPr="00D031B5">
        <w:t xml:space="preserve"> </w:t>
      </w:r>
      <w:r w:rsidRPr="00D031B5">
        <w:rPr>
          <w:b/>
          <w:bCs/>
        </w:rPr>
        <w:t>at least annually</w:t>
      </w:r>
      <w:r w:rsidRPr="00D031B5">
        <w:t xml:space="preserve"> on program status, testing, service providers, incidents, and recommendations.</w:t>
      </w:r>
    </w:p>
    <w:p w14:paraId="0BDF7C8A" w14:textId="77777777" w:rsidR="00D031B5" w:rsidRPr="00D031B5" w:rsidRDefault="00D031B5" w:rsidP="00D031B5">
      <w:pPr>
        <w:numPr>
          <w:ilvl w:val="0"/>
          <w:numId w:val="5"/>
        </w:numPr>
      </w:pPr>
      <w:r w:rsidRPr="00D031B5">
        <w:rPr>
          <w:b/>
          <w:bCs/>
        </w:rPr>
        <w:t>Adjust program</w:t>
      </w:r>
      <w:r w:rsidRPr="00D031B5">
        <w:t xml:space="preserve"> as risks/operations change. </w:t>
      </w:r>
      <w:hyperlink r:id="rId19" w:tgtFrame="_blank" w:history="1">
        <w:r w:rsidRPr="00D031B5">
          <w:rPr>
            <w:rStyle w:val="Hyperlink"/>
          </w:rPr>
          <w:t>eCFR+1</w:t>
        </w:r>
      </w:hyperlink>
    </w:p>
    <w:p w14:paraId="17B97E18" w14:textId="77777777" w:rsidR="00D031B5" w:rsidRPr="00D031B5" w:rsidRDefault="00D031B5" w:rsidP="00D031B5">
      <w:r w:rsidRPr="00D031B5">
        <w:rPr>
          <w:b/>
          <w:bCs/>
        </w:rPr>
        <w:t>Breach notification (newer):</w:t>
      </w:r>
    </w:p>
    <w:p w14:paraId="42272EE4" w14:textId="77777777" w:rsidR="00D031B5" w:rsidRPr="00D031B5" w:rsidRDefault="00D031B5" w:rsidP="00D031B5">
      <w:pPr>
        <w:numPr>
          <w:ilvl w:val="0"/>
          <w:numId w:val="6"/>
        </w:numPr>
      </w:pPr>
      <w:r w:rsidRPr="00D031B5">
        <w:rPr>
          <w:b/>
          <w:bCs/>
        </w:rPr>
        <w:t>Notify the FTC within 30 days</w:t>
      </w:r>
      <w:r w:rsidRPr="00D031B5">
        <w:t xml:space="preserve"> of discovery if a security event </w:t>
      </w:r>
      <w:r w:rsidRPr="00D031B5">
        <w:rPr>
          <w:b/>
          <w:bCs/>
        </w:rPr>
        <w:t>involves 500+ consumers</w:t>
      </w:r>
      <w:r w:rsidRPr="00D031B5">
        <w:t xml:space="preserve"> (Safeguards Rule §314.4(j)). </w:t>
      </w:r>
      <w:r w:rsidRPr="00D031B5">
        <w:rPr>
          <w:b/>
          <w:bCs/>
        </w:rPr>
        <w:t>Effective May 13, 2024</w:t>
      </w:r>
      <w:r w:rsidRPr="00D031B5">
        <w:t>.</w:t>
      </w:r>
    </w:p>
    <w:p w14:paraId="743EC84D" w14:textId="77777777" w:rsidR="00D031B5" w:rsidRPr="00D031B5" w:rsidRDefault="00D031B5" w:rsidP="00D031B5">
      <w:pPr>
        <w:numPr>
          <w:ilvl w:val="0"/>
          <w:numId w:val="6"/>
        </w:numPr>
      </w:pPr>
      <w:r w:rsidRPr="00D031B5">
        <w:rPr>
          <w:b/>
          <w:bCs/>
        </w:rPr>
        <w:t>Definition</w:t>
      </w:r>
      <w:r w:rsidRPr="00D031B5">
        <w:t xml:space="preserve"> of “notification event/security event” is in §314.2/§314.4(j). </w:t>
      </w:r>
      <w:hyperlink r:id="rId20" w:tgtFrame="_blank" w:history="1">
        <w:r w:rsidRPr="00D031B5">
          <w:rPr>
            <w:rStyle w:val="Hyperlink"/>
          </w:rPr>
          <w:t>eCFR</w:t>
        </w:r>
      </w:hyperlink>
      <w:hyperlink r:id="rId21" w:tgtFrame="_blank" w:history="1">
        <w:r w:rsidRPr="00D031B5">
          <w:rPr>
            <w:rStyle w:val="Hyperlink"/>
          </w:rPr>
          <w:t>Federal Trade Commission</w:t>
        </w:r>
      </w:hyperlink>
    </w:p>
    <w:p w14:paraId="27972C42" w14:textId="77777777" w:rsidR="00D031B5" w:rsidRPr="00D031B5" w:rsidRDefault="00D031B5" w:rsidP="00D031B5">
      <w:r w:rsidRPr="00D031B5">
        <w:rPr>
          <w:b/>
          <w:bCs/>
        </w:rPr>
        <w:t>Small entity carve-outs:</w:t>
      </w:r>
      <w:r w:rsidRPr="00D031B5">
        <w:t xml:space="preserve"> If you maintain customer info on </w:t>
      </w:r>
      <w:r w:rsidRPr="00D031B5">
        <w:rPr>
          <w:b/>
          <w:bCs/>
        </w:rPr>
        <w:t>&lt;5,000 consumers</w:t>
      </w:r>
      <w:r w:rsidRPr="00D031B5">
        <w:t xml:space="preserve">, some specifics (written risk-assessment detail, pen-test/vuln frequency specifics, incident response plan, and board reporting) </w:t>
      </w:r>
      <w:r w:rsidRPr="00D031B5">
        <w:rPr>
          <w:b/>
          <w:bCs/>
        </w:rPr>
        <w:t>don’t apply</w:t>
      </w:r>
      <w:r w:rsidRPr="00D031B5">
        <w:t xml:space="preserve">—but you still need a reasonable security program. </w:t>
      </w:r>
      <w:hyperlink r:id="rId22" w:tgtFrame="_blank" w:history="1">
        <w:r w:rsidRPr="00D031B5">
          <w:rPr>
            <w:rStyle w:val="Hyperlink"/>
          </w:rPr>
          <w:t>eCFR</w:t>
        </w:r>
      </w:hyperlink>
    </w:p>
    <w:p w14:paraId="6D89A43C" w14:textId="77777777" w:rsidR="00D031B5" w:rsidRPr="00D031B5" w:rsidRDefault="00D031B5" w:rsidP="00D031B5">
      <w:r w:rsidRPr="00D031B5">
        <w:pict w14:anchorId="46C8A066">
          <v:rect id="_x0000_i1027" style="width:0;height:1.5pt" o:hralign="center" o:hrstd="t" o:hr="t" fillcolor="#a0a0a0" stroked="f"/>
        </w:pict>
      </w:r>
    </w:p>
    <w:p w14:paraId="546E7DD8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3) Pretexting (anti-social-engineering)</w:t>
      </w:r>
    </w:p>
    <w:p w14:paraId="2DDE9E9D" w14:textId="77777777" w:rsidR="00D031B5" w:rsidRPr="00D031B5" w:rsidRDefault="00D031B5" w:rsidP="00D031B5">
      <w:r w:rsidRPr="00D031B5">
        <w:t xml:space="preserve">Prohibits obtaining customer info by deception (posing as a customer/employee, etc.). Expect to tie this to </w:t>
      </w:r>
      <w:r w:rsidRPr="00D031B5">
        <w:rPr>
          <w:b/>
          <w:bCs/>
        </w:rPr>
        <w:t>phishing/social engineering</w:t>
      </w:r>
      <w:r w:rsidRPr="00D031B5">
        <w:t xml:space="preserve"> controls and training. </w:t>
      </w:r>
      <w:hyperlink r:id="rId23" w:tgtFrame="_blank" w:history="1">
        <w:r w:rsidRPr="00D031B5">
          <w:rPr>
            <w:rStyle w:val="Hyperlink"/>
          </w:rPr>
          <w:t>Legal Information Institute</w:t>
        </w:r>
      </w:hyperlink>
    </w:p>
    <w:p w14:paraId="5077AA07" w14:textId="77777777" w:rsidR="00D031B5" w:rsidRPr="00D031B5" w:rsidRDefault="00D031B5" w:rsidP="00D031B5">
      <w:r w:rsidRPr="00D031B5">
        <w:pict w14:anchorId="19BE4106">
          <v:rect id="_x0000_i1028" style="width:0;height:1.5pt" o:hralign="center" o:hrstd="t" o:hr="t" fillcolor="#a0a0a0" stroked="f"/>
        </w:pict>
      </w:r>
    </w:p>
    <w:p w14:paraId="19C2A2D7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How you’ll run a GLBA compliance program (implementation view)</w:t>
      </w:r>
    </w:p>
    <w:p w14:paraId="5AEDD2D8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Scope &amp; data inventory:</w:t>
      </w:r>
      <w:r w:rsidRPr="00D031B5">
        <w:t xml:space="preserve"> Identify systems, vendors, and processes touching </w:t>
      </w:r>
      <w:r w:rsidRPr="00D031B5">
        <w:rPr>
          <w:b/>
          <w:bCs/>
        </w:rPr>
        <w:t>NPI/customer info</w:t>
      </w:r>
      <w:r w:rsidRPr="00D031B5">
        <w:t xml:space="preserve">; classify data. (Safeguards Rule) </w:t>
      </w:r>
      <w:hyperlink r:id="rId24" w:tgtFrame="_blank" w:history="1">
        <w:r w:rsidRPr="00D031B5">
          <w:rPr>
            <w:rStyle w:val="Hyperlink"/>
          </w:rPr>
          <w:t>eCFR</w:t>
        </w:r>
      </w:hyperlink>
    </w:p>
    <w:p w14:paraId="70BE7FE8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Risk assessment:</w:t>
      </w:r>
      <w:r w:rsidRPr="00D031B5">
        <w:t xml:space="preserve"> Written; cover threats, CIA impact, control sufficiency; define risk treatment. </w:t>
      </w:r>
      <w:hyperlink r:id="rId25" w:tgtFrame="_blank" w:history="1">
        <w:r w:rsidRPr="00D031B5">
          <w:rPr>
            <w:rStyle w:val="Hyperlink"/>
          </w:rPr>
          <w:t>eCFR</w:t>
        </w:r>
      </w:hyperlink>
    </w:p>
    <w:p w14:paraId="573DE682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Policies &amp; controls:</w:t>
      </w:r>
      <w:r w:rsidRPr="00D031B5">
        <w:t xml:space="preserve"> Access, encryption, MFA, SDLC, logging, retention/disposal, change mgmt. </w:t>
      </w:r>
      <w:hyperlink r:id="rId26" w:tgtFrame="_blank" w:history="1">
        <w:r w:rsidRPr="00D031B5">
          <w:rPr>
            <w:rStyle w:val="Hyperlink"/>
          </w:rPr>
          <w:t>eCFR</w:t>
        </w:r>
      </w:hyperlink>
    </w:p>
    <w:p w14:paraId="7CC0F38C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lastRenderedPageBreak/>
        <w:t>Vendor risk mgmt:</w:t>
      </w:r>
      <w:r w:rsidRPr="00D031B5">
        <w:t xml:space="preserve"> Due diligence, contracts with security clauses, ongoing monitoring. </w:t>
      </w:r>
      <w:hyperlink r:id="rId27" w:tgtFrame="_blank" w:history="1">
        <w:r w:rsidRPr="00D031B5">
          <w:rPr>
            <w:rStyle w:val="Hyperlink"/>
          </w:rPr>
          <w:t>eCFR</w:t>
        </w:r>
      </w:hyperlink>
    </w:p>
    <w:p w14:paraId="114C3866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Privacy notices &amp; opt-outs:</w:t>
      </w:r>
      <w:r w:rsidRPr="00D031B5">
        <w:t xml:space="preserve"> Use Reg P/FTC model forms; ensure processes to honor opt-outs and redisclosure limits. </w:t>
      </w:r>
      <w:hyperlink r:id="rId28" w:tgtFrame="_blank" w:history="1">
        <w:r w:rsidRPr="00D031B5">
          <w:rPr>
            <w:rStyle w:val="Hyperlink"/>
          </w:rPr>
          <w:t>Consumer Financial Protection Bureau</w:t>
        </w:r>
      </w:hyperlink>
      <w:hyperlink r:id="rId29" w:tgtFrame="_blank" w:history="1">
        <w:r w:rsidRPr="00D031B5">
          <w:rPr>
            <w:rStyle w:val="Hyperlink"/>
          </w:rPr>
          <w:t>Legal Information Institute</w:t>
        </w:r>
      </w:hyperlink>
    </w:p>
    <w:p w14:paraId="341C6251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Training:</w:t>
      </w:r>
      <w:r w:rsidRPr="00D031B5">
        <w:t xml:space="preserve"> Security awareness + role-based, including pretexting scenarios. </w:t>
      </w:r>
      <w:hyperlink r:id="rId30" w:tgtFrame="_blank" w:history="1">
        <w:r w:rsidRPr="00D031B5">
          <w:rPr>
            <w:rStyle w:val="Hyperlink"/>
          </w:rPr>
          <w:t>eCFR</w:t>
        </w:r>
      </w:hyperlink>
    </w:p>
    <w:p w14:paraId="3FF49F48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Testing &amp; monitoring:</w:t>
      </w:r>
      <w:r w:rsidRPr="00D031B5">
        <w:t xml:space="preserve"> Continuous monitoring </w:t>
      </w:r>
      <w:r w:rsidRPr="00D031B5">
        <w:rPr>
          <w:b/>
          <w:bCs/>
        </w:rPr>
        <w:t>or</w:t>
      </w:r>
      <w:r w:rsidRPr="00D031B5">
        <w:t xml:space="preserve"> annual pen test + semiannual vuln scans; track findings to closure. </w:t>
      </w:r>
      <w:hyperlink r:id="rId31" w:tgtFrame="_blank" w:history="1">
        <w:r w:rsidRPr="00D031B5">
          <w:rPr>
            <w:rStyle w:val="Hyperlink"/>
          </w:rPr>
          <w:t>eCFR</w:t>
        </w:r>
      </w:hyperlink>
    </w:p>
    <w:p w14:paraId="268F6F8A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IR &amp; breach notification:</w:t>
      </w:r>
      <w:r w:rsidRPr="00D031B5">
        <w:t xml:space="preserve"> Tabletop; clarify triggers, content, and </w:t>
      </w:r>
      <w:r w:rsidRPr="00D031B5">
        <w:rPr>
          <w:b/>
          <w:bCs/>
        </w:rPr>
        <w:t>FTC 30-day</w:t>
      </w:r>
      <w:r w:rsidRPr="00D031B5">
        <w:t xml:space="preserve"> timeline. </w:t>
      </w:r>
      <w:hyperlink r:id="rId32" w:tgtFrame="_blank" w:history="1">
        <w:r w:rsidRPr="00D031B5">
          <w:rPr>
            <w:rStyle w:val="Hyperlink"/>
          </w:rPr>
          <w:t>eCFR</w:t>
        </w:r>
      </w:hyperlink>
      <w:hyperlink r:id="rId33" w:tgtFrame="_blank" w:history="1">
        <w:r w:rsidRPr="00D031B5">
          <w:rPr>
            <w:rStyle w:val="Hyperlink"/>
          </w:rPr>
          <w:t>Federal Trade Commission</w:t>
        </w:r>
      </w:hyperlink>
    </w:p>
    <w:p w14:paraId="67B6C790" w14:textId="77777777" w:rsidR="00D031B5" w:rsidRPr="00D031B5" w:rsidRDefault="00D031B5" w:rsidP="00D031B5">
      <w:pPr>
        <w:numPr>
          <w:ilvl w:val="0"/>
          <w:numId w:val="7"/>
        </w:numPr>
      </w:pPr>
      <w:r w:rsidRPr="00D031B5">
        <w:rPr>
          <w:b/>
          <w:bCs/>
        </w:rPr>
        <w:t>Governance:</w:t>
      </w:r>
      <w:r w:rsidRPr="00D031B5">
        <w:t xml:space="preserve"> QI in place; </w:t>
      </w:r>
      <w:r w:rsidRPr="00D031B5">
        <w:rPr>
          <w:b/>
          <w:bCs/>
        </w:rPr>
        <w:t>annual Board report</w:t>
      </w:r>
      <w:r w:rsidRPr="00D031B5">
        <w:t xml:space="preserve">; program updates after changes/incidents. </w:t>
      </w:r>
      <w:hyperlink r:id="rId34" w:tgtFrame="_blank" w:history="1">
        <w:r w:rsidRPr="00D031B5">
          <w:rPr>
            <w:rStyle w:val="Hyperlink"/>
          </w:rPr>
          <w:t>eCFR</w:t>
        </w:r>
      </w:hyperlink>
    </w:p>
    <w:p w14:paraId="6A12D59F" w14:textId="77777777" w:rsidR="00D031B5" w:rsidRPr="00D031B5" w:rsidRDefault="00D031B5" w:rsidP="00D031B5">
      <w:r w:rsidRPr="00D031B5">
        <w:pict w14:anchorId="32D14019">
          <v:rect id="_x0000_i1029" style="width:0;height:1.5pt" o:hralign="center" o:hrstd="t" o:hr="t" fillcolor="#a0a0a0" stroked="f"/>
        </w:pict>
      </w:r>
    </w:p>
    <w:p w14:paraId="6F9A2DB2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What auditors will ask you to produce (evidence pack)</w:t>
      </w:r>
    </w:p>
    <w:p w14:paraId="08D7E5F3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t xml:space="preserve">Charter naming the </w:t>
      </w:r>
      <w:r w:rsidRPr="00D031B5">
        <w:rPr>
          <w:b/>
          <w:bCs/>
        </w:rPr>
        <w:t>Qualified Individual</w:t>
      </w:r>
      <w:r w:rsidRPr="00D031B5">
        <w:t xml:space="preserve">; org chart; RACI. </w:t>
      </w:r>
      <w:hyperlink r:id="rId35" w:tgtFrame="_blank" w:history="1">
        <w:r w:rsidRPr="00D031B5">
          <w:rPr>
            <w:rStyle w:val="Hyperlink"/>
          </w:rPr>
          <w:t>eCFR</w:t>
        </w:r>
      </w:hyperlink>
    </w:p>
    <w:p w14:paraId="5D9D5E7D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Written risk assessment</w:t>
      </w:r>
      <w:r w:rsidRPr="00D031B5">
        <w:t xml:space="preserve"> + updates. </w:t>
      </w:r>
      <w:hyperlink r:id="rId36" w:tgtFrame="_blank" w:history="1">
        <w:r w:rsidRPr="00D031B5">
          <w:rPr>
            <w:rStyle w:val="Hyperlink"/>
          </w:rPr>
          <w:t>eCFR</w:t>
        </w:r>
      </w:hyperlink>
    </w:p>
    <w:p w14:paraId="793EB8A0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t xml:space="preserve">Policies/standards: access control, encryption, MFA, SDLC, logging, vendor mgmt, data retention/disposal, change mgmt. </w:t>
      </w:r>
      <w:hyperlink r:id="rId37" w:tgtFrame="_blank" w:history="1">
        <w:r w:rsidRPr="00D031B5">
          <w:rPr>
            <w:rStyle w:val="Hyperlink"/>
          </w:rPr>
          <w:t>eCFR</w:t>
        </w:r>
      </w:hyperlink>
    </w:p>
    <w:p w14:paraId="763DBC72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Pen test</w:t>
      </w:r>
      <w:r w:rsidRPr="00D031B5">
        <w:t xml:space="preserve"> &amp; </w:t>
      </w:r>
      <w:r w:rsidRPr="00D031B5">
        <w:rPr>
          <w:b/>
          <w:bCs/>
        </w:rPr>
        <w:t>vuln</w:t>
      </w:r>
      <w:r w:rsidRPr="00D031B5">
        <w:t xml:space="preserve"> reports (and remediation tracking); monitoring outputs. </w:t>
      </w:r>
      <w:hyperlink r:id="rId38" w:tgtFrame="_blank" w:history="1">
        <w:r w:rsidRPr="00D031B5">
          <w:rPr>
            <w:rStyle w:val="Hyperlink"/>
          </w:rPr>
          <w:t>eCFR</w:t>
        </w:r>
      </w:hyperlink>
    </w:p>
    <w:p w14:paraId="39735807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Training</w:t>
      </w:r>
      <w:r w:rsidRPr="00D031B5">
        <w:t xml:space="preserve"> records; phishing simulations addressing pretexting. </w:t>
      </w:r>
      <w:hyperlink r:id="rId39" w:tgtFrame="_blank" w:history="1">
        <w:r w:rsidRPr="00D031B5">
          <w:rPr>
            <w:rStyle w:val="Hyperlink"/>
          </w:rPr>
          <w:t>Legal Information Institute</w:t>
        </w:r>
      </w:hyperlink>
    </w:p>
    <w:p w14:paraId="1904CCB4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Vendor due diligence</w:t>
      </w:r>
      <w:r w:rsidRPr="00D031B5">
        <w:t xml:space="preserve"> artifacts + contracts with safeguard clauses. </w:t>
      </w:r>
      <w:hyperlink r:id="rId40" w:tgtFrame="_blank" w:history="1">
        <w:r w:rsidRPr="00D031B5">
          <w:rPr>
            <w:rStyle w:val="Hyperlink"/>
          </w:rPr>
          <w:t>eCFR</w:t>
        </w:r>
      </w:hyperlink>
    </w:p>
    <w:p w14:paraId="682DC5CB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Incident response plan</w:t>
      </w:r>
      <w:r w:rsidRPr="00D031B5">
        <w:t xml:space="preserve">, tabletop minutes, and any </w:t>
      </w:r>
      <w:r w:rsidRPr="00D031B5">
        <w:rPr>
          <w:b/>
          <w:bCs/>
        </w:rPr>
        <w:t>FTC notification</w:t>
      </w:r>
      <w:r w:rsidRPr="00D031B5">
        <w:t xml:space="preserve"> proof if applicable. </w:t>
      </w:r>
      <w:hyperlink r:id="rId41" w:tgtFrame="_blank" w:history="1">
        <w:r w:rsidRPr="00D031B5">
          <w:rPr>
            <w:rStyle w:val="Hyperlink"/>
          </w:rPr>
          <w:t>eCFR</w:t>
        </w:r>
      </w:hyperlink>
      <w:hyperlink r:id="rId42" w:tgtFrame="_blank" w:history="1">
        <w:r w:rsidRPr="00D031B5">
          <w:rPr>
            <w:rStyle w:val="Hyperlink"/>
          </w:rPr>
          <w:t>Federal Trade Commission</w:t>
        </w:r>
      </w:hyperlink>
    </w:p>
    <w:p w14:paraId="3F09E39F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Privacy notices</w:t>
      </w:r>
      <w:r w:rsidRPr="00D031B5">
        <w:t xml:space="preserve"> (initial/annual), opt-out logs, redisclosure controls; </w:t>
      </w:r>
      <w:r w:rsidRPr="00D031B5">
        <w:rPr>
          <w:b/>
          <w:bCs/>
        </w:rPr>
        <w:t>model form</w:t>
      </w:r>
      <w:r w:rsidRPr="00D031B5">
        <w:t xml:space="preserve"> usage. </w:t>
      </w:r>
      <w:hyperlink r:id="rId43" w:tgtFrame="_blank" w:history="1">
        <w:r w:rsidRPr="00D031B5">
          <w:rPr>
            <w:rStyle w:val="Hyperlink"/>
          </w:rPr>
          <w:t>Consumer Financial Protection Bureau</w:t>
        </w:r>
      </w:hyperlink>
    </w:p>
    <w:p w14:paraId="796E33A8" w14:textId="77777777" w:rsidR="00D031B5" w:rsidRPr="00D031B5" w:rsidRDefault="00D031B5" w:rsidP="00D031B5">
      <w:pPr>
        <w:numPr>
          <w:ilvl w:val="0"/>
          <w:numId w:val="8"/>
        </w:numPr>
      </w:pPr>
      <w:r w:rsidRPr="00D031B5">
        <w:rPr>
          <w:b/>
          <w:bCs/>
        </w:rPr>
        <w:t>Annual Board report</w:t>
      </w:r>
      <w:r w:rsidRPr="00D031B5">
        <w:t xml:space="preserve"> (topics listed in §314.4(i)). </w:t>
      </w:r>
      <w:hyperlink r:id="rId44" w:tgtFrame="_blank" w:history="1">
        <w:r w:rsidRPr="00D031B5">
          <w:rPr>
            <w:rStyle w:val="Hyperlink"/>
          </w:rPr>
          <w:t>eCFR</w:t>
        </w:r>
      </w:hyperlink>
    </w:p>
    <w:p w14:paraId="13C0BFA0" w14:textId="77777777" w:rsidR="00D031B5" w:rsidRPr="00D031B5" w:rsidRDefault="00D031B5" w:rsidP="00D031B5">
      <w:r w:rsidRPr="00D031B5">
        <w:pict w14:anchorId="2094CC69">
          <v:rect id="_x0000_i1030" style="width:0;height:1.5pt" o:hralign="center" o:hrstd="t" o:hr="t" fillcolor="#a0a0a0" stroked="f"/>
        </w:pict>
      </w:r>
    </w:p>
    <w:p w14:paraId="64841FE2" w14:textId="77777777" w:rsidR="00D031B5" w:rsidRPr="00D031B5" w:rsidRDefault="00D031B5" w:rsidP="00D031B5">
      <w:pPr>
        <w:rPr>
          <w:b/>
          <w:bCs/>
        </w:rPr>
      </w:pPr>
      <w:r w:rsidRPr="00D031B5">
        <w:rPr>
          <w:b/>
          <w:bCs/>
        </w:rPr>
        <w:t>Interview-style questions (and what a strong answer hits)</w:t>
      </w:r>
    </w:p>
    <w:p w14:paraId="3BC81B3C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lastRenderedPageBreak/>
        <w:t>GLBA vs. ISO 27001/NIST CSF:</w:t>
      </w:r>
    </w:p>
    <w:p w14:paraId="06C9A97D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t xml:space="preserve">GLBA is </w:t>
      </w:r>
      <w:r w:rsidRPr="00D031B5">
        <w:rPr>
          <w:b/>
          <w:bCs/>
        </w:rPr>
        <w:t>law + rules</w:t>
      </w:r>
      <w:r w:rsidRPr="00D031B5">
        <w:t xml:space="preserve"> (Privacy &amp; Safeguards); ISO/NIST are </w:t>
      </w:r>
      <w:r w:rsidRPr="00D031B5">
        <w:rPr>
          <w:b/>
          <w:bCs/>
        </w:rPr>
        <w:t>frameworks</w:t>
      </w:r>
      <w:r w:rsidRPr="00D031B5">
        <w:t>. Map Safeguards Rule to NIST CSF (ID, PR, DE, RS, RC) and ISO Annex A families to show alignment. (No citation needed; conceptual mapping.)</w:t>
      </w:r>
    </w:p>
    <w:p w14:paraId="0177C7FA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t>When can we skip annual privacy notices?</w:t>
      </w:r>
    </w:p>
    <w:p w14:paraId="6B3F71B2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t xml:space="preserve">Only if sharing is </w:t>
      </w:r>
      <w:r w:rsidRPr="00D031B5">
        <w:rPr>
          <w:b/>
          <w:bCs/>
        </w:rPr>
        <w:t>limited to statutory exceptions</w:t>
      </w:r>
      <w:r w:rsidRPr="00D031B5">
        <w:t xml:space="preserve"> and there’s </w:t>
      </w:r>
      <w:r w:rsidRPr="00D031B5">
        <w:rPr>
          <w:b/>
          <w:bCs/>
        </w:rPr>
        <w:t>no material change</w:t>
      </w:r>
      <w:r w:rsidRPr="00D031B5">
        <w:t xml:space="preserve"> in practices since the last notice (FAST Act exception baked into Reg P). </w:t>
      </w:r>
      <w:hyperlink r:id="rId45" w:tgtFrame="_blank" w:history="1">
        <w:r w:rsidRPr="00D031B5">
          <w:rPr>
            <w:rStyle w:val="Hyperlink"/>
          </w:rPr>
          <w:t>Federal Register</w:t>
        </w:r>
      </w:hyperlink>
    </w:p>
    <w:p w14:paraId="7BF9BC7D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t>What’s “customer information” and who’s in scope under FTC vs. Reg P?</w:t>
      </w:r>
    </w:p>
    <w:p w14:paraId="36C0F255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t xml:space="preserve">Define </w:t>
      </w:r>
      <w:r w:rsidRPr="00D031B5">
        <w:rPr>
          <w:b/>
          <w:bCs/>
        </w:rPr>
        <w:t>consumer/customer</w:t>
      </w:r>
      <w:r w:rsidRPr="00D031B5">
        <w:t xml:space="preserve"> precisely; explain </w:t>
      </w:r>
      <w:r w:rsidRPr="00D031B5">
        <w:rPr>
          <w:b/>
          <w:bCs/>
        </w:rPr>
        <w:t>FTC jurisdiction</w:t>
      </w:r>
      <w:r w:rsidRPr="00D031B5">
        <w:t xml:space="preserve"> over non-banks vs </w:t>
      </w:r>
      <w:r w:rsidRPr="00D031B5">
        <w:rPr>
          <w:b/>
          <w:bCs/>
        </w:rPr>
        <w:t>CFPB/banking agencies</w:t>
      </w:r>
      <w:r w:rsidRPr="00D031B5">
        <w:t xml:space="preserve"> over banks. </w:t>
      </w:r>
      <w:hyperlink r:id="rId46" w:tgtFrame="_blank" w:history="1">
        <w:r w:rsidRPr="00D031B5">
          <w:rPr>
            <w:rStyle w:val="Hyperlink"/>
          </w:rPr>
          <w:t>eCFR</w:t>
        </w:r>
      </w:hyperlink>
      <w:hyperlink r:id="rId47" w:tgtFrame="_blank" w:history="1">
        <w:r w:rsidRPr="00D031B5">
          <w:rPr>
            <w:rStyle w:val="Hyperlink"/>
          </w:rPr>
          <w:t>Consumer Financial Protection Bureau</w:t>
        </w:r>
      </w:hyperlink>
    </w:p>
    <w:p w14:paraId="231D8883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t>Safeguards must-haves in 2024/2025:</w:t>
      </w:r>
    </w:p>
    <w:p w14:paraId="3F0AD711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rPr>
          <w:b/>
          <w:bCs/>
        </w:rPr>
        <w:t>QI</w:t>
      </w:r>
      <w:r w:rsidRPr="00D031B5">
        <w:t xml:space="preserve">, </w:t>
      </w:r>
      <w:r w:rsidRPr="00D031B5">
        <w:rPr>
          <w:b/>
          <w:bCs/>
        </w:rPr>
        <w:t>written risk assessment</w:t>
      </w:r>
      <w:r w:rsidRPr="00D031B5">
        <w:t xml:space="preserve">, </w:t>
      </w:r>
      <w:r w:rsidRPr="00D031B5">
        <w:rPr>
          <w:b/>
          <w:bCs/>
        </w:rPr>
        <w:t>encryption (at rest/in transit)</w:t>
      </w:r>
      <w:r w:rsidRPr="00D031B5">
        <w:t xml:space="preserve">, </w:t>
      </w:r>
      <w:r w:rsidRPr="00D031B5">
        <w:rPr>
          <w:b/>
          <w:bCs/>
        </w:rPr>
        <w:t>MFA</w:t>
      </w:r>
      <w:r w:rsidRPr="00D031B5">
        <w:t xml:space="preserve">, </w:t>
      </w:r>
      <w:r w:rsidRPr="00D031B5">
        <w:rPr>
          <w:b/>
          <w:bCs/>
        </w:rPr>
        <w:t>monitoring/logging</w:t>
      </w:r>
      <w:r w:rsidRPr="00D031B5">
        <w:t xml:space="preserve">, </w:t>
      </w:r>
      <w:r w:rsidRPr="00D031B5">
        <w:rPr>
          <w:b/>
          <w:bCs/>
        </w:rPr>
        <w:t>testing cadence</w:t>
      </w:r>
      <w:r w:rsidRPr="00D031B5">
        <w:t xml:space="preserve">, </w:t>
      </w:r>
      <w:r w:rsidRPr="00D031B5">
        <w:rPr>
          <w:b/>
          <w:bCs/>
        </w:rPr>
        <w:t>IR plan</w:t>
      </w:r>
      <w:r w:rsidRPr="00D031B5">
        <w:t xml:space="preserve">, </w:t>
      </w:r>
      <w:r w:rsidRPr="00D031B5">
        <w:rPr>
          <w:b/>
          <w:bCs/>
        </w:rPr>
        <w:t>Board report</w:t>
      </w:r>
      <w:r w:rsidRPr="00D031B5">
        <w:t xml:space="preserve">, and </w:t>
      </w:r>
      <w:r w:rsidRPr="00D031B5">
        <w:rPr>
          <w:b/>
          <w:bCs/>
        </w:rPr>
        <w:t>FTC 30-day breach notification</w:t>
      </w:r>
      <w:r w:rsidRPr="00D031B5">
        <w:t xml:space="preserve"> for 500+ consumers. </w:t>
      </w:r>
      <w:hyperlink r:id="rId48" w:tgtFrame="_blank" w:history="1">
        <w:r w:rsidRPr="00D031B5">
          <w:rPr>
            <w:rStyle w:val="Hyperlink"/>
          </w:rPr>
          <w:t>eCFR+1</w:t>
        </w:r>
      </w:hyperlink>
    </w:p>
    <w:p w14:paraId="1DE979F9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t>How do you oversee service providers?</w:t>
      </w:r>
    </w:p>
    <w:p w14:paraId="20F91449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t xml:space="preserve">Due diligence, contractual safeguards, periodic assessments; include offboarding &amp; incident-notification clauses. </w:t>
      </w:r>
      <w:hyperlink r:id="rId49" w:tgtFrame="_blank" w:history="1">
        <w:r w:rsidRPr="00D031B5">
          <w:rPr>
            <w:rStyle w:val="Hyperlink"/>
          </w:rPr>
          <w:t>eCFR</w:t>
        </w:r>
      </w:hyperlink>
    </w:p>
    <w:p w14:paraId="0E8BEB4C" w14:textId="77777777" w:rsidR="00D031B5" w:rsidRPr="00D031B5" w:rsidRDefault="00D031B5" w:rsidP="00D031B5">
      <w:pPr>
        <w:numPr>
          <w:ilvl w:val="0"/>
          <w:numId w:val="9"/>
        </w:numPr>
      </w:pPr>
      <w:r w:rsidRPr="00D031B5">
        <w:rPr>
          <w:b/>
          <w:bCs/>
        </w:rPr>
        <w:t>Pretexting controls?</w:t>
      </w:r>
    </w:p>
    <w:p w14:paraId="28CE6D9F" w14:textId="77777777" w:rsidR="00D031B5" w:rsidRPr="00D031B5" w:rsidRDefault="00D031B5" w:rsidP="00D031B5">
      <w:pPr>
        <w:numPr>
          <w:ilvl w:val="1"/>
          <w:numId w:val="9"/>
        </w:numPr>
      </w:pPr>
      <w:r w:rsidRPr="00D031B5">
        <w:t xml:space="preserve">Training + process controls (KBA, call-back, least privilege, help-desk scripts, phishing simulation). </w:t>
      </w:r>
      <w:hyperlink r:id="rId50" w:tgtFrame="_blank" w:history="1">
        <w:r w:rsidRPr="00D031B5">
          <w:rPr>
            <w:rStyle w:val="Hyperlink"/>
          </w:rPr>
          <w:t>Legal Information Institute</w:t>
        </w:r>
      </w:hyperlink>
    </w:p>
    <w:p w14:paraId="551BBAF2" w14:textId="77777777" w:rsidR="00BB72D6" w:rsidRDefault="00BB72D6"/>
    <w:sectPr w:rsidR="00BB72D6" w:rsidSect="00D031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3B6"/>
    <w:multiLevelType w:val="multilevel"/>
    <w:tmpl w:val="0C7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720"/>
    <w:multiLevelType w:val="multilevel"/>
    <w:tmpl w:val="652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4DF8"/>
    <w:multiLevelType w:val="multilevel"/>
    <w:tmpl w:val="D3F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46154"/>
    <w:multiLevelType w:val="multilevel"/>
    <w:tmpl w:val="42AC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1616"/>
    <w:multiLevelType w:val="multilevel"/>
    <w:tmpl w:val="17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62A44"/>
    <w:multiLevelType w:val="multilevel"/>
    <w:tmpl w:val="5F42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D596F"/>
    <w:multiLevelType w:val="multilevel"/>
    <w:tmpl w:val="617E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71E3B"/>
    <w:multiLevelType w:val="multilevel"/>
    <w:tmpl w:val="C9C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50484"/>
    <w:multiLevelType w:val="multilevel"/>
    <w:tmpl w:val="E8E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88952">
    <w:abstractNumId w:val="0"/>
  </w:num>
  <w:num w:numId="2" w16cid:durableId="985207454">
    <w:abstractNumId w:val="2"/>
  </w:num>
  <w:num w:numId="3" w16cid:durableId="1119304598">
    <w:abstractNumId w:val="8"/>
  </w:num>
  <w:num w:numId="4" w16cid:durableId="186606784">
    <w:abstractNumId w:val="4"/>
  </w:num>
  <w:num w:numId="5" w16cid:durableId="1575313399">
    <w:abstractNumId w:val="7"/>
  </w:num>
  <w:num w:numId="6" w16cid:durableId="798449617">
    <w:abstractNumId w:val="5"/>
  </w:num>
  <w:num w:numId="7" w16cid:durableId="462115658">
    <w:abstractNumId w:val="3"/>
  </w:num>
  <w:num w:numId="8" w16cid:durableId="2109422644">
    <w:abstractNumId w:val="1"/>
  </w:num>
  <w:num w:numId="9" w16cid:durableId="756486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9F"/>
    <w:rsid w:val="001563AE"/>
    <w:rsid w:val="00BB72D6"/>
    <w:rsid w:val="00CC707B"/>
    <w:rsid w:val="00D031B5"/>
    <w:rsid w:val="00DF579F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23D5E-4B3F-498B-92DE-E7D5A7B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fr.gov/current/title-16/chapter-I/subchapter-C/part-313?toc=1&amp;utm_source=chatgpt.com" TargetMode="External"/><Relationship Id="rId18" Type="http://schemas.openxmlformats.org/officeDocument/2006/relationships/hyperlink" Target="https://www.fdic.gov/regulations/compliance/manual/8/viii-1.1.pdf?utm_source=chatgpt.com" TargetMode="External"/><Relationship Id="rId26" Type="http://schemas.openxmlformats.org/officeDocument/2006/relationships/hyperlink" Target="https://www.ecfr.gov/current/title-16/chapter-I/subchapter-C/part-314" TargetMode="External"/><Relationship Id="rId39" Type="http://schemas.openxmlformats.org/officeDocument/2006/relationships/hyperlink" Target="https://www.law.cornell.edu/uscode/text/15/6821?utm_source=chatgpt.com" TargetMode="External"/><Relationship Id="rId21" Type="http://schemas.openxmlformats.org/officeDocument/2006/relationships/hyperlink" Target="https://www.ftc.gov/business-guidance/blog/2024/05/safeguards-rule-notification-requirement-now-effect?utm_source=chatgpt.com" TargetMode="External"/><Relationship Id="rId34" Type="http://schemas.openxmlformats.org/officeDocument/2006/relationships/hyperlink" Target="https://www.ecfr.gov/current/title-16/chapter-I/subchapter-C/part-314" TargetMode="External"/><Relationship Id="rId42" Type="http://schemas.openxmlformats.org/officeDocument/2006/relationships/hyperlink" Target="https://www.ftc.gov/business-guidance/blog/2024/05/safeguards-rule-notification-requirement-now-effect?utm_source=chatgpt.com" TargetMode="External"/><Relationship Id="rId47" Type="http://schemas.openxmlformats.org/officeDocument/2006/relationships/hyperlink" Target="https://www.consumerfinance.gov/rules-policy/regulations/1016/?utm_source=chatgpt.com" TargetMode="External"/><Relationship Id="rId50" Type="http://schemas.openxmlformats.org/officeDocument/2006/relationships/hyperlink" Target="https://www.law.cornell.edu/uscode/text/15/6821?utm_source=chatgpt.com" TargetMode="External"/><Relationship Id="rId7" Type="http://schemas.openxmlformats.org/officeDocument/2006/relationships/hyperlink" Target="https://www.federalregister.gov/documents/2021/12/09/2021-25735/privacy-of-consumer-financial-information-rule-under-the-gramm-leach-bliley-ac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c.gov/legal-library/browse/rules/financial-privacy-rule?utm_source=chatgpt.com" TargetMode="External"/><Relationship Id="rId29" Type="http://schemas.openxmlformats.org/officeDocument/2006/relationships/hyperlink" Target="https://www.law.cornell.edu/cfr/text/16/part-313?utm_source=chatgpt.com" TargetMode="External"/><Relationship Id="rId11" Type="http://schemas.openxmlformats.org/officeDocument/2006/relationships/hyperlink" Target="https://www.ecfr.gov/current/title-16/chapter-I/subchapter-C/part-314" TargetMode="External"/><Relationship Id="rId24" Type="http://schemas.openxmlformats.org/officeDocument/2006/relationships/hyperlink" Target="https://www.ecfr.gov/current/title-16/chapter-I/subchapter-C/part-314" TargetMode="External"/><Relationship Id="rId32" Type="http://schemas.openxmlformats.org/officeDocument/2006/relationships/hyperlink" Target="https://www.ecfr.gov/current/title-16/chapter-I/subchapter-C/part-314" TargetMode="External"/><Relationship Id="rId37" Type="http://schemas.openxmlformats.org/officeDocument/2006/relationships/hyperlink" Target="https://www.ecfr.gov/current/title-16/chapter-I/subchapter-C/part-314" TargetMode="External"/><Relationship Id="rId40" Type="http://schemas.openxmlformats.org/officeDocument/2006/relationships/hyperlink" Target="https://www.ecfr.gov/current/title-16/chapter-I/subchapter-C/part-314" TargetMode="External"/><Relationship Id="rId45" Type="http://schemas.openxmlformats.org/officeDocument/2006/relationships/hyperlink" Target="https://www.federalregister.gov/documents/2018/08/17/2018-17572/amendment-to-the-annual-privacy-notice-requirement-under-the-gramm-leach-bliley-act-regulation-p?utm_source=chatgpt.com" TargetMode="External"/><Relationship Id="rId5" Type="http://schemas.openxmlformats.org/officeDocument/2006/relationships/hyperlink" Target="https://www.law.cornell.edu/cfr/text/16/part-313?utm_source=chatgpt.com" TargetMode="External"/><Relationship Id="rId15" Type="http://schemas.openxmlformats.org/officeDocument/2006/relationships/hyperlink" Target="https://www.consumerfinance.gov/rules-policy/regulations/1016/?utm_source=chatgpt.com" TargetMode="External"/><Relationship Id="rId23" Type="http://schemas.openxmlformats.org/officeDocument/2006/relationships/hyperlink" Target="https://www.law.cornell.edu/uscode/text/15/6821?utm_source=chatgpt.com" TargetMode="External"/><Relationship Id="rId28" Type="http://schemas.openxmlformats.org/officeDocument/2006/relationships/hyperlink" Target="https://www.consumerfinance.gov/compliance/compliance-resources/other-applicable-requirements/privacy-notices/model-privacy-form/?utm_source=chatgpt.com" TargetMode="External"/><Relationship Id="rId36" Type="http://schemas.openxmlformats.org/officeDocument/2006/relationships/hyperlink" Target="https://www.ecfr.gov/current/title-16/chapter-I/subchapter-C/part-314" TargetMode="External"/><Relationship Id="rId49" Type="http://schemas.openxmlformats.org/officeDocument/2006/relationships/hyperlink" Target="https://www.ecfr.gov/current/title-16/chapter-I/subchapter-C/part-314" TargetMode="External"/><Relationship Id="rId10" Type="http://schemas.openxmlformats.org/officeDocument/2006/relationships/hyperlink" Target="https://www.ecfr.gov/current/title-16/chapter-I/subchapter-C/part-314" TargetMode="External"/><Relationship Id="rId19" Type="http://schemas.openxmlformats.org/officeDocument/2006/relationships/hyperlink" Target="https://www.ecfr.gov/current/title-16/chapter-I/subchapter-C/part-314" TargetMode="External"/><Relationship Id="rId31" Type="http://schemas.openxmlformats.org/officeDocument/2006/relationships/hyperlink" Target="https://www.ecfr.gov/current/title-16/chapter-I/subchapter-C/part-314" TargetMode="External"/><Relationship Id="rId44" Type="http://schemas.openxmlformats.org/officeDocument/2006/relationships/hyperlink" Target="https://www.ecfr.gov/current/title-16/chapter-I/subchapter-C/part-314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aw.cornell.edu/uscode/text/15/6821?utm_source=chatgpt.com" TargetMode="External"/><Relationship Id="rId14" Type="http://schemas.openxmlformats.org/officeDocument/2006/relationships/hyperlink" Target="https://www.consumerfinance.gov/compliance/compliance-resources/other-applicable-requirements/privacy-notices/?utm_source=chatgpt.com" TargetMode="External"/><Relationship Id="rId22" Type="http://schemas.openxmlformats.org/officeDocument/2006/relationships/hyperlink" Target="https://www.ecfr.gov/current/title-16/chapter-I/subchapter-C/part-314" TargetMode="External"/><Relationship Id="rId27" Type="http://schemas.openxmlformats.org/officeDocument/2006/relationships/hyperlink" Target="https://www.ecfr.gov/current/title-16/chapter-I/subchapter-C/part-314" TargetMode="External"/><Relationship Id="rId30" Type="http://schemas.openxmlformats.org/officeDocument/2006/relationships/hyperlink" Target="https://www.ecfr.gov/current/title-16/chapter-I/subchapter-C/part-314" TargetMode="External"/><Relationship Id="rId35" Type="http://schemas.openxmlformats.org/officeDocument/2006/relationships/hyperlink" Target="https://www.ecfr.gov/current/title-16/chapter-I/subchapter-C/part-314" TargetMode="External"/><Relationship Id="rId43" Type="http://schemas.openxmlformats.org/officeDocument/2006/relationships/hyperlink" Target="https://www.consumerfinance.gov/compliance/compliance-resources/other-applicable-requirements/privacy-notices/model-privacy-form/?utm_source=chatgpt.com" TargetMode="External"/><Relationship Id="rId48" Type="http://schemas.openxmlformats.org/officeDocument/2006/relationships/hyperlink" Target="https://www.ecfr.gov/current/title-16/chapter-I/subchapter-C/part-314" TargetMode="External"/><Relationship Id="rId8" Type="http://schemas.openxmlformats.org/officeDocument/2006/relationships/hyperlink" Target="https://www.ecfr.gov/current/title-16/chapter-I/subchapter-C/part-314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ecfr.gov/current/title-16/chapter-I/subchapter-C/part-314" TargetMode="External"/><Relationship Id="rId17" Type="http://schemas.openxmlformats.org/officeDocument/2006/relationships/hyperlink" Target="https://www.federalregister.gov/documents/2018/08/17/2018-17572/amendment-to-the-annual-privacy-notice-requirement-under-the-gramm-leach-bliley-act-regulation-p?utm_source=chatgpt.com" TargetMode="External"/><Relationship Id="rId25" Type="http://schemas.openxmlformats.org/officeDocument/2006/relationships/hyperlink" Target="https://www.ecfr.gov/current/title-16/chapter-I/subchapter-C/part-314" TargetMode="External"/><Relationship Id="rId33" Type="http://schemas.openxmlformats.org/officeDocument/2006/relationships/hyperlink" Target="https://www.ftc.gov/business-guidance/blog/2024/05/safeguards-rule-notification-requirement-now-effect?utm_source=chatgpt.com" TargetMode="External"/><Relationship Id="rId38" Type="http://schemas.openxmlformats.org/officeDocument/2006/relationships/hyperlink" Target="https://www.ecfr.gov/current/title-16/chapter-I/subchapter-C/part-314" TargetMode="External"/><Relationship Id="rId46" Type="http://schemas.openxmlformats.org/officeDocument/2006/relationships/hyperlink" Target="https://www.ecfr.gov/current/title-16/chapter-I/subchapter-C/part-314" TargetMode="External"/><Relationship Id="rId20" Type="http://schemas.openxmlformats.org/officeDocument/2006/relationships/hyperlink" Target="https://www.ecfr.gov/current/title-16/chapter-I/subchapter-C/part-314" TargetMode="External"/><Relationship Id="rId41" Type="http://schemas.openxmlformats.org/officeDocument/2006/relationships/hyperlink" Target="https://www.ecfr.gov/current/title-16/chapter-I/subchapter-C/part-3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fr.gov/current/title-16/chapter-I/subchapter-C/part-313?toc=1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2025-08-23T10:21:00Z</dcterms:created>
  <dcterms:modified xsi:type="dcterms:W3CDTF">2025-08-24T09:22:00Z</dcterms:modified>
</cp:coreProperties>
</file>