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DDEC6" w14:textId="77777777" w:rsidR="00030CB8" w:rsidRPr="00030CB8" w:rsidRDefault="00030CB8" w:rsidP="00030CB8">
      <w:pPr>
        <w:rPr>
          <w:b/>
          <w:bCs/>
        </w:rPr>
      </w:pPr>
      <w:r w:rsidRPr="00030CB8">
        <w:rPr>
          <w:rFonts w:ascii="Segoe UI Emoji" w:hAnsi="Segoe UI Emoji" w:cs="Segoe UI Emoji"/>
          <w:b/>
          <w:bCs/>
        </w:rPr>
        <w:t>📑</w:t>
      </w:r>
      <w:r w:rsidRPr="00030CB8">
        <w:rPr>
          <w:b/>
          <w:bCs/>
        </w:rPr>
        <w:t xml:space="preserve"> Context of the Organization Document</w:t>
      </w:r>
    </w:p>
    <w:p w14:paraId="44384A1D" w14:textId="735F90A9" w:rsidR="00030CB8" w:rsidRPr="00030CB8" w:rsidRDefault="00030CB8" w:rsidP="00030CB8">
      <w:r w:rsidRPr="00030CB8">
        <w:rPr>
          <w:b/>
          <w:bCs/>
        </w:rPr>
        <w:t>Organization:</w:t>
      </w:r>
      <w:r w:rsidRPr="00030CB8">
        <w:t xml:space="preserve"> ABC Bank Ltd.</w:t>
      </w:r>
      <w:r w:rsidRPr="00030CB8">
        <w:br/>
      </w:r>
      <w:r w:rsidRPr="00030CB8">
        <w:rPr>
          <w:b/>
          <w:bCs/>
        </w:rPr>
        <w:t>Project Title:</w:t>
      </w:r>
      <w:r w:rsidRPr="00030CB8">
        <w:t xml:space="preserve"> ISO/IEC 27001:2022 Certification Program</w:t>
      </w:r>
      <w:r w:rsidRPr="00030CB8">
        <w:br/>
      </w:r>
      <w:r w:rsidRPr="00030CB8">
        <w:rPr>
          <w:b/>
          <w:bCs/>
        </w:rPr>
        <w:t>Version:</w:t>
      </w:r>
      <w:r w:rsidRPr="00030CB8">
        <w:t xml:space="preserve"> 1.0</w:t>
      </w:r>
      <w:r w:rsidRPr="00030CB8">
        <w:br/>
      </w:r>
      <w:r w:rsidRPr="00030CB8">
        <w:rPr>
          <w:b/>
          <w:bCs/>
        </w:rPr>
        <w:t>Date:</w:t>
      </w:r>
      <w:r w:rsidRPr="00030CB8">
        <w:t xml:space="preserve"> </w:t>
      </w:r>
      <w:r>
        <w:t>21/9/2025</w:t>
      </w:r>
      <w:r w:rsidRPr="00030CB8">
        <w:br/>
      </w:r>
      <w:r w:rsidRPr="00030CB8">
        <w:rPr>
          <w:b/>
          <w:bCs/>
        </w:rPr>
        <w:t>Owner:</w:t>
      </w:r>
      <w:r w:rsidRPr="00030CB8">
        <w:t xml:space="preserve"> CISO</w:t>
      </w:r>
    </w:p>
    <w:p w14:paraId="3E8021DD" w14:textId="77777777" w:rsidR="00030CB8" w:rsidRPr="00030CB8" w:rsidRDefault="00030CB8" w:rsidP="00030CB8">
      <w:r w:rsidRPr="00030CB8">
        <w:pict w14:anchorId="1C754E41">
          <v:rect id="_x0000_i1080" style="width:0;height:1.5pt" o:hralign="center" o:hrstd="t" o:hr="t" fillcolor="#a0a0a0" stroked="f"/>
        </w:pict>
      </w:r>
    </w:p>
    <w:p w14:paraId="549FE144" w14:textId="77777777" w:rsidR="00030CB8" w:rsidRPr="00030CB8" w:rsidRDefault="00030CB8" w:rsidP="00030CB8">
      <w:pPr>
        <w:rPr>
          <w:b/>
          <w:bCs/>
        </w:rPr>
      </w:pPr>
      <w:r w:rsidRPr="00030CB8">
        <w:rPr>
          <w:b/>
          <w:bCs/>
        </w:rPr>
        <w:t>1. Purpose</w:t>
      </w:r>
    </w:p>
    <w:p w14:paraId="1491E092" w14:textId="77777777" w:rsidR="00030CB8" w:rsidRPr="00030CB8" w:rsidRDefault="00030CB8" w:rsidP="00030CB8">
      <w:r w:rsidRPr="00030CB8">
        <w:t>The purpose of this document is to define the internal and external context of ABC Bank Ltd. in relation to information security, identify stakeholders and their requirements, and establish the boundaries of the ISMS.</w:t>
      </w:r>
    </w:p>
    <w:p w14:paraId="3B6105F9" w14:textId="77777777" w:rsidR="00030CB8" w:rsidRPr="00030CB8" w:rsidRDefault="00030CB8" w:rsidP="00030CB8">
      <w:r w:rsidRPr="00030CB8">
        <w:pict w14:anchorId="5B47CD62">
          <v:rect id="_x0000_i1081" style="width:0;height:1.5pt" o:hralign="center" o:hrstd="t" o:hr="t" fillcolor="#a0a0a0" stroked="f"/>
        </w:pict>
      </w:r>
    </w:p>
    <w:p w14:paraId="142EFF7F" w14:textId="77777777" w:rsidR="00030CB8" w:rsidRPr="00030CB8" w:rsidRDefault="00030CB8" w:rsidP="00030CB8">
      <w:pPr>
        <w:rPr>
          <w:b/>
          <w:bCs/>
        </w:rPr>
      </w:pPr>
      <w:r w:rsidRPr="00030CB8">
        <w:rPr>
          <w:b/>
          <w:bCs/>
        </w:rPr>
        <w:t>2. Understanding the Organization &amp; Its Context (Clause 4.1)</w:t>
      </w:r>
    </w:p>
    <w:p w14:paraId="6A0C5D09" w14:textId="77777777" w:rsidR="00030CB8" w:rsidRPr="00030CB8" w:rsidRDefault="00030CB8" w:rsidP="00030CB8">
      <w:r w:rsidRPr="00030CB8">
        <w:t>ABC Bank operates as a mid-sized financial institution headquartered in Mumbai, India, with multiple branches and a strong focus on digital banking.</w:t>
      </w:r>
      <w:r w:rsidRPr="00030CB8">
        <w:br/>
        <w:t>The following factors influence its ISMS:</w:t>
      </w:r>
    </w:p>
    <w:p w14:paraId="775A216B" w14:textId="77777777" w:rsidR="00030CB8" w:rsidRPr="00030CB8" w:rsidRDefault="00030CB8" w:rsidP="00030CB8">
      <w:r w:rsidRPr="00030CB8">
        <w:rPr>
          <w:b/>
          <w:bCs/>
        </w:rPr>
        <w:t>External Factors:</w:t>
      </w:r>
    </w:p>
    <w:p w14:paraId="57C10F70" w14:textId="77777777" w:rsidR="00030CB8" w:rsidRPr="00030CB8" w:rsidRDefault="00030CB8" w:rsidP="00030CB8">
      <w:pPr>
        <w:numPr>
          <w:ilvl w:val="0"/>
          <w:numId w:val="1"/>
        </w:numPr>
      </w:pPr>
      <w:r w:rsidRPr="00030CB8">
        <w:rPr>
          <w:b/>
          <w:bCs/>
        </w:rPr>
        <w:t>Regulatory &amp; Legal:</w:t>
      </w:r>
      <w:r w:rsidRPr="00030CB8">
        <w:t xml:space="preserve"> RBI Cybersecurity Framework, IT Act 2000 &amp; amendments, DPDP Act 2023, PCI DSS, GDPR (for EU customers).</w:t>
      </w:r>
    </w:p>
    <w:p w14:paraId="247A2869" w14:textId="77777777" w:rsidR="00030CB8" w:rsidRPr="00030CB8" w:rsidRDefault="00030CB8" w:rsidP="00030CB8">
      <w:pPr>
        <w:numPr>
          <w:ilvl w:val="0"/>
          <w:numId w:val="1"/>
        </w:numPr>
      </w:pPr>
      <w:r w:rsidRPr="00030CB8">
        <w:rPr>
          <w:b/>
          <w:bCs/>
        </w:rPr>
        <w:t>Industry &amp; Market:</w:t>
      </w:r>
      <w:r w:rsidRPr="00030CB8">
        <w:t xml:space="preserve"> Growing cybersecurity threats targeting financial institutions; competitive banking landscape.</w:t>
      </w:r>
    </w:p>
    <w:p w14:paraId="7D6D0D1F" w14:textId="77777777" w:rsidR="00030CB8" w:rsidRPr="00030CB8" w:rsidRDefault="00030CB8" w:rsidP="00030CB8">
      <w:pPr>
        <w:numPr>
          <w:ilvl w:val="0"/>
          <w:numId w:val="1"/>
        </w:numPr>
      </w:pPr>
      <w:r w:rsidRPr="00030CB8">
        <w:rPr>
          <w:b/>
          <w:bCs/>
        </w:rPr>
        <w:t>Technological:</w:t>
      </w:r>
      <w:r w:rsidRPr="00030CB8">
        <w:t xml:space="preserve"> Adoption of cloud computing, mobile banking apps, AI fraud detection.</w:t>
      </w:r>
    </w:p>
    <w:p w14:paraId="5B9D5B51" w14:textId="77777777" w:rsidR="00030CB8" w:rsidRPr="00030CB8" w:rsidRDefault="00030CB8" w:rsidP="00030CB8">
      <w:pPr>
        <w:numPr>
          <w:ilvl w:val="0"/>
          <w:numId w:val="1"/>
        </w:numPr>
      </w:pPr>
      <w:r w:rsidRPr="00030CB8">
        <w:rPr>
          <w:b/>
          <w:bCs/>
        </w:rPr>
        <w:t>Socio-Economic:</w:t>
      </w:r>
      <w:r w:rsidRPr="00030CB8">
        <w:t xml:space="preserve"> Rising digital adoption among Indian consumers; high trust expectation from banking customers.</w:t>
      </w:r>
    </w:p>
    <w:p w14:paraId="3EC51269" w14:textId="77777777" w:rsidR="00030CB8" w:rsidRPr="00030CB8" w:rsidRDefault="00030CB8" w:rsidP="00030CB8">
      <w:r w:rsidRPr="00030CB8">
        <w:rPr>
          <w:b/>
          <w:bCs/>
        </w:rPr>
        <w:t>Internal Factors:</w:t>
      </w:r>
    </w:p>
    <w:p w14:paraId="296013C6" w14:textId="77777777" w:rsidR="00030CB8" w:rsidRPr="00030CB8" w:rsidRDefault="00030CB8" w:rsidP="00030CB8">
      <w:pPr>
        <w:numPr>
          <w:ilvl w:val="0"/>
          <w:numId w:val="2"/>
        </w:numPr>
      </w:pPr>
      <w:r w:rsidRPr="00030CB8">
        <w:rPr>
          <w:b/>
          <w:bCs/>
        </w:rPr>
        <w:t>Organizational Structure:</w:t>
      </w:r>
      <w:r w:rsidRPr="00030CB8">
        <w:t xml:space="preserve"> Centralized IT &amp; Security function under CIO.</w:t>
      </w:r>
    </w:p>
    <w:p w14:paraId="65E34D4C" w14:textId="77777777" w:rsidR="00030CB8" w:rsidRPr="00030CB8" w:rsidRDefault="00030CB8" w:rsidP="00030CB8">
      <w:pPr>
        <w:numPr>
          <w:ilvl w:val="0"/>
          <w:numId w:val="2"/>
        </w:numPr>
      </w:pPr>
      <w:r w:rsidRPr="00030CB8">
        <w:rPr>
          <w:b/>
          <w:bCs/>
        </w:rPr>
        <w:t>Processes:</w:t>
      </w:r>
      <w:r w:rsidRPr="00030CB8">
        <w:t xml:space="preserve"> Core banking, digital channels, ATMs, payment gateways.</w:t>
      </w:r>
    </w:p>
    <w:p w14:paraId="5C19498E" w14:textId="77777777" w:rsidR="00030CB8" w:rsidRPr="00030CB8" w:rsidRDefault="00030CB8" w:rsidP="00030CB8">
      <w:pPr>
        <w:numPr>
          <w:ilvl w:val="0"/>
          <w:numId w:val="2"/>
        </w:numPr>
      </w:pPr>
      <w:r w:rsidRPr="00030CB8">
        <w:rPr>
          <w:b/>
          <w:bCs/>
        </w:rPr>
        <w:t>Capabilities:</w:t>
      </w:r>
      <w:r w:rsidRPr="00030CB8">
        <w:t xml:space="preserve"> Skilled IT/security team, existing SOC and DLP solutions.</w:t>
      </w:r>
    </w:p>
    <w:p w14:paraId="5127AA78" w14:textId="77777777" w:rsidR="00030CB8" w:rsidRPr="00030CB8" w:rsidRDefault="00030CB8" w:rsidP="00030CB8">
      <w:pPr>
        <w:numPr>
          <w:ilvl w:val="0"/>
          <w:numId w:val="2"/>
        </w:numPr>
      </w:pPr>
      <w:r w:rsidRPr="00030CB8">
        <w:rPr>
          <w:b/>
          <w:bCs/>
        </w:rPr>
        <w:t>Culture:</w:t>
      </w:r>
      <w:r w:rsidRPr="00030CB8">
        <w:t xml:space="preserve"> Risk-aware but needs stronger security ownership at branch level.</w:t>
      </w:r>
    </w:p>
    <w:p w14:paraId="79C3AE48" w14:textId="77777777" w:rsidR="00030CB8" w:rsidRPr="00030CB8" w:rsidRDefault="00030CB8" w:rsidP="00030CB8">
      <w:pPr>
        <w:numPr>
          <w:ilvl w:val="0"/>
          <w:numId w:val="2"/>
        </w:numPr>
      </w:pPr>
      <w:r w:rsidRPr="00030CB8">
        <w:rPr>
          <w:b/>
          <w:bCs/>
        </w:rPr>
        <w:lastRenderedPageBreak/>
        <w:t>Constraints:</w:t>
      </w:r>
      <w:r w:rsidRPr="00030CB8">
        <w:t xml:space="preserve"> Legacy IT systems, budget limitations, high dependency on vendors.</w:t>
      </w:r>
    </w:p>
    <w:p w14:paraId="6302078D" w14:textId="77777777" w:rsidR="00030CB8" w:rsidRPr="00030CB8" w:rsidRDefault="00030CB8" w:rsidP="00030CB8">
      <w:r w:rsidRPr="00030CB8">
        <w:pict w14:anchorId="6C9F0429">
          <v:rect id="_x0000_i1082" style="width:0;height:1.5pt" o:hralign="center" o:hrstd="t" o:hr="t" fillcolor="#a0a0a0" stroked="f"/>
        </w:pict>
      </w:r>
    </w:p>
    <w:p w14:paraId="5FE88EC0" w14:textId="77777777" w:rsidR="00030CB8" w:rsidRPr="00030CB8" w:rsidRDefault="00030CB8" w:rsidP="00030CB8">
      <w:pPr>
        <w:rPr>
          <w:b/>
          <w:bCs/>
        </w:rPr>
      </w:pPr>
      <w:r w:rsidRPr="00030CB8">
        <w:rPr>
          <w:b/>
          <w:bCs/>
        </w:rPr>
        <w:t>3. Understanding the Needs &amp; Expectations of Interested Parties (Clause 4.2)</w:t>
      </w:r>
    </w:p>
    <w:p w14:paraId="77B9567B" w14:textId="77777777" w:rsidR="00030CB8" w:rsidRPr="00030CB8" w:rsidRDefault="00030CB8" w:rsidP="00030CB8">
      <w:r w:rsidRPr="00030CB8">
        <w:t xml:space="preserve">ABC Bank has identified the following </w:t>
      </w:r>
      <w:proofErr w:type="gramStart"/>
      <w:r w:rsidRPr="00030CB8">
        <w:t>interested</w:t>
      </w:r>
      <w:proofErr w:type="gramEnd"/>
      <w:r w:rsidRPr="00030CB8">
        <w:t xml:space="preserve"> parties: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4"/>
        <w:gridCol w:w="4871"/>
        <w:gridCol w:w="2215"/>
      </w:tblGrid>
      <w:tr w:rsidR="00030CB8" w:rsidRPr="00030CB8" w14:paraId="55908CDB" w14:textId="77777777" w:rsidTr="00030CB8">
        <w:trPr>
          <w:tblHeader/>
          <w:tblCellSpacing w:w="15" w:type="dxa"/>
        </w:trPr>
        <w:tc>
          <w:tcPr>
            <w:tcW w:w="0" w:type="auto"/>
            <w:vAlign w:val="center"/>
            <w:hideMark/>
          </w:tcPr>
          <w:p w14:paraId="1C379AC1" w14:textId="77777777" w:rsidR="00030CB8" w:rsidRPr="00030CB8" w:rsidRDefault="00030CB8" w:rsidP="00030CB8">
            <w:pPr>
              <w:rPr>
                <w:b/>
                <w:bCs/>
              </w:rPr>
            </w:pPr>
            <w:r w:rsidRPr="00030CB8">
              <w:rPr>
                <w:b/>
                <w:bCs/>
              </w:rPr>
              <w:t>Interested Party</w:t>
            </w:r>
          </w:p>
        </w:tc>
        <w:tc>
          <w:tcPr>
            <w:tcW w:w="0" w:type="auto"/>
            <w:vAlign w:val="center"/>
            <w:hideMark/>
          </w:tcPr>
          <w:p w14:paraId="1C38B183" w14:textId="77777777" w:rsidR="00030CB8" w:rsidRPr="00030CB8" w:rsidRDefault="00030CB8" w:rsidP="00030CB8">
            <w:pPr>
              <w:rPr>
                <w:b/>
                <w:bCs/>
              </w:rPr>
            </w:pPr>
            <w:r w:rsidRPr="00030CB8">
              <w:rPr>
                <w:b/>
                <w:bCs/>
              </w:rPr>
              <w:t>Needs &amp; Expectations</w:t>
            </w:r>
          </w:p>
        </w:tc>
        <w:tc>
          <w:tcPr>
            <w:tcW w:w="0" w:type="auto"/>
            <w:vAlign w:val="center"/>
            <w:hideMark/>
          </w:tcPr>
          <w:p w14:paraId="45FEA86F" w14:textId="77777777" w:rsidR="00030CB8" w:rsidRPr="00030CB8" w:rsidRDefault="00030CB8" w:rsidP="00030CB8">
            <w:pPr>
              <w:rPr>
                <w:b/>
                <w:bCs/>
              </w:rPr>
            </w:pPr>
            <w:r w:rsidRPr="00030CB8">
              <w:rPr>
                <w:b/>
                <w:bCs/>
              </w:rPr>
              <w:t>Compliance Requirement?</w:t>
            </w:r>
          </w:p>
        </w:tc>
      </w:tr>
      <w:tr w:rsidR="00030CB8" w:rsidRPr="00030CB8" w14:paraId="2B9EB1CB" w14:textId="77777777" w:rsidTr="00030CB8">
        <w:trPr>
          <w:tblCellSpacing w:w="15" w:type="dxa"/>
        </w:trPr>
        <w:tc>
          <w:tcPr>
            <w:tcW w:w="0" w:type="auto"/>
            <w:vAlign w:val="center"/>
            <w:hideMark/>
          </w:tcPr>
          <w:p w14:paraId="257881EE" w14:textId="77777777" w:rsidR="00030CB8" w:rsidRPr="00030CB8" w:rsidRDefault="00030CB8" w:rsidP="00030CB8">
            <w:r w:rsidRPr="00030CB8">
              <w:rPr>
                <w:b/>
                <w:bCs/>
              </w:rPr>
              <w:t>Customers</w:t>
            </w:r>
          </w:p>
        </w:tc>
        <w:tc>
          <w:tcPr>
            <w:tcW w:w="0" w:type="auto"/>
            <w:vAlign w:val="center"/>
            <w:hideMark/>
          </w:tcPr>
          <w:p w14:paraId="1B1D4F2B" w14:textId="77777777" w:rsidR="00030CB8" w:rsidRPr="00030CB8" w:rsidRDefault="00030CB8" w:rsidP="00030CB8">
            <w:r w:rsidRPr="00030CB8">
              <w:t>Confidentiality of personal &amp; financial data; secure transactions; 24x7 availability</w:t>
            </w:r>
          </w:p>
        </w:tc>
        <w:tc>
          <w:tcPr>
            <w:tcW w:w="0" w:type="auto"/>
            <w:vAlign w:val="center"/>
            <w:hideMark/>
          </w:tcPr>
          <w:p w14:paraId="4E72F7F1" w14:textId="77777777" w:rsidR="00030CB8" w:rsidRPr="00030CB8" w:rsidRDefault="00030CB8" w:rsidP="00030CB8">
            <w:r w:rsidRPr="00030CB8">
              <w:t>Yes – RBI, DPDP Act</w:t>
            </w:r>
          </w:p>
        </w:tc>
      </w:tr>
      <w:tr w:rsidR="00030CB8" w:rsidRPr="00030CB8" w14:paraId="40238A64" w14:textId="77777777" w:rsidTr="00030CB8">
        <w:trPr>
          <w:tblCellSpacing w:w="15" w:type="dxa"/>
        </w:trPr>
        <w:tc>
          <w:tcPr>
            <w:tcW w:w="0" w:type="auto"/>
            <w:vAlign w:val="center"/>
            <w:hideMark/>
          </w:tcPr>
          <w:p w14:paraId="0217790A" w14:textId="77777777" w:rsidR="00030CB8" w:rsidRPr="00030CB8" w:rsidRDefault="00030CB8" w:rsidP="00030CB8">
            <w:r w:rsidRPr="00030CB8">
              <w:rPr>
                <w:b/>
                <w:bCs/>
              </w:rPr>
              <w:t>Regulators (RBI, CERT-In)</w:t>
            </w:r>
          </w:p>
        </w:tc>
        <w:tc>
          <w:tcPr>
            <w:tcW w:w="0" w:type="auto"/>
            <w:vAlign w:val="center"/>
            <w:hideMark/>
          </w:tcPr>
          <w:p w14:paraId="598B2243" w14:textId="77777777" w:rsidR="00030CB8" w:rsidRPr="00030CB8" w:rsidRDefault="00030CB8" w:rsidP="00030CB8">
            <w:r w:rsidRPr="00030CB8">
              <w:t>Compliance with RBI Cybersecurity Framework, timely incident reporting, audit readiness</w:t>
            </w:r>
          </w:p>
        </w:tc>
        <w:tc>
          <w:tcPr>
            <w:tcW w:w="0" w:type="auto"/>
            <w:vAlign w:val="center"/>
            <w:hideMark/>
          </w:tcPr>
          <w:p w14:paraId="49AE55EF" w14:textId="77777777" w:rsidR="00030CB8" w:rsidRPr="00030CB8" w:rsidRDefault="00030CB8" w:rsidP="00030CB8">
            <w:r w:rsidRPr="00030CB8">
              <w:t>Yes</w:t>
            </w:r>
          </w:p>
        </w:tc>
      </w:tr>
      <w:tr w:rsidR="00030CB8" w:rsidRPr="00030CB8" w14:paraId="141C6D38" w14:textId="77777777" w:rsidTr="00030CB8">
        <w:trPr>
          <w:tblCellSpacing w:w="15" w:type="dxa"/>
        </w:trPr>
        <w:tc>
          <w:tcPr>
            <w:tcW w:w="0" w:type="auto"/>
            <w:vAlign w:val="center"/>
            <w:hideMark/>
          </w:tcPr>
          <w:p w14:paraId="2E80ECA1" w14:textId="77777777" w:rsidR="00030CB8" w:rsidRPr="00030CB8" w:rsidRDefault="00030CB8" w:rsidP="00030CB8">
            <w:r w:rsidRPr="00030CB8">
              <w:rPr>
                <w:b/>
                <w:bCs/>
              </w:rPr>
              <w:t>Employees</w:t>
            </w:r>
          </w:p>
        </w:tc>
        <w:tc>
          <w:tcPr>
            <w:tcW w:w="0" w:type="auto"/>
            <w:vAlign w:val="center"/>
            <w:hideMark/>
          </w:tcPr>
          <w:p w14:paraId="2302AF36" w14:textId="77777777" w:rsidR="00030CB8" w:rsidRPr="00030CB8" w:rsidRDefault="00030CB8" w:rsidP="00030CB8">
            <w:r w:rsidRPr="00030CB8">
              <w:t>Secure HR/payroll data, training on security policies</w:t>
            </w:r>
          </w:p>
        </w:tc>
        <w:tc>
          <w:tcPr>
            <w:tcW w:w="0" w:type="auto"/>
            <w:vAlign w:val="center"/>
            <w:hideMark/>
          </w:tcPr>
          <w:p w14:paraId="39087279" w14:textId="77777777" w:rsidR="00030CB8" w:rsidRPr="00030CB8" w:rsidRDefault="00030CB8" w:rsidP="00030CB8">
            <w:r w:rsidRPr="00030CB8">
              <w:t>Yes – labor laws, ISMS</w:t>
            </w:r>
          </w:p>
        </w:tc>
      </w:tr>
      <w:tr w:rsidR="00030CB8" w:rsidRPr="00030CB8" w14:paraId="482BC7C6" w14:textId="77777777" w:rsidTr="00030CB8">
        <w:trPr>
          <w:tblCellSpacing w:w="15" w:type="dxa"/>
        </w:trPr>
        <w:tc>
          <w:tcPr>
            <w:tcW w:w="0" w:type="auto"/>
            <w:vAlign w:val="center"/>
            <w:hideMark/>
          </w:tcPr>
          <w:p w14:paraId="2196A7FB" w14:textId="77777777" w:rsidR="00030CB8" w:rsidRPr="00030CB8" w:rsidRDefault="00030CB8" w:rsidP="00030CB8">
            <w:r w:rsidRPr="00030CB8">
              <w:rPr>
                <w:b/>
                <w:bCs/>
              </w:rPr>
              <w:t>Vendors &amp; Service Providers</w:t>
            </w:r>
          </w:p>
        </w:tc>
        <w:tc>
          <w:tcPr>
            <w:tcW w:w="0" w:type="auto"/>
            <w:vAlign w:val="center"/>
            <w:hideMark/>
          </w:tcPr>
          <w:p w14:paraId="2BB70939" w14:textId="77777777" w:rsidR="00030CB8" w:rsidRPr="00030CB8" w:rsidRDefault="00030CB8" w:rsidP="00030CB8">
            <w:r w:rsidRPr="00030CB8">
              <w:t>Secure integration, contract compliance</w:t>
            </w:r>
          </w:p>
        </w:tc>
        <w:tc>
          <w:tcPr>
            <w:tcW w:w="0" w:type="auto"/>
            <w:vAlign w:val="center"/>
            <w:hideMark/>
          </w:tcPr>
          <w:p w14:paraId="27E99CA9" w14:textId="77777777" w:rsidR="00030CB8" w:rsidRPr="00030CB8" w:rsidRDefault="00030CB8" w:rsidP="00030CB8">
            <w:r w:rsidRPr="00030CB8">
              <w:t>Yes – contractual</w:t>
            </w:r>
          </w:p>
        </w:tc>
      </w:tr>
      <w:tr w:rsidR="00030CB8" w:rsidRPr="00030CB8" w14:paraId="0DA3C7B6" w14:textId="77777777" w:rsidTr="00030CB8">
        <w:trPr>
          <w:tblCellSpacing w:w="15" w:type="dxa"/>
        </w:trPr>
        <w:tc>
          <w:tcPr>
            <w:tcW w:w="0" w:type="auto"/>
            <w:vAlign w:val="center"/>
            <w:hideMark/>
          </w:tcPr>
          <w:p w14:paraId="529BE29A" w14:textId="77777777" w:rsidR="00030CB8" w:rsidRPr="00030CB8" w:rsidRDefault="00030CB8" w:rsidP="00030CB8">
            <w:r w:rsidRPr="00030CB8">
              <w:rPr>
                <w:b/>
                <w:bCs/>
              </w:rPr>
              <w:t>Shareholders</w:t>
            </w:r>
          </w:p>
        </w:tc>
        <w:tc>
          <w:tcPr>
            <w:tcW w:w="0" w:type="auto"/>
            <w:vAlign w:val="center"/>
            <w:hideMark/>
          </w:tcPr>
          <w:p w14:paraId="41510875" w14:textId="77777777" w:rsidR="00030CB8" w:rsidRPr="00030CB8" w:rsidRDefault="00030CB8" w:rsidP="00030CB8">
            <w:r w:rsidRPr="00030CB8">
              <w:t>Risk reduction, reputation protection</w:t>
            </w:r>
          </w:p>
        </w:tc>
        <w:tc>
          <w:tcPr>
            <w:tcW w:w="0" w:type="auto"/>
            <w:vAlign w:val="center"/>
            <w:hideMark/>
          </w:tcPr>
          <w:p w14:paraId="5CBE5A87" w14:textId="77777777" w:rsidR="00030CB8" w:rsidRPr="00030CB8" w:rsidRDefault="00030CB8" w:rsidP="00030CB8">
            <w:r w:rsidRPr="00030CB8">
              <w:t>No (but strategic)</w:t>
            </w:r>
          </w:p>
        </w:tc>
      </w:tr>
      <w:tr w:rsidR="00030CB8" w:rsidRPr="00030CB8" w14:paraId="6E37DC56" w14:textId="77777777" w:rsidTr="00030CB8">
        <w:trPr>
          <w:tblCellSpacing w:w="15" w:type="dxa"/>
        </w:trPr>
        <w:tc>
          <w:tcPr>
            <w:tcW w:w="0" w:type="auto"/>
            <w:vAlign w:val="center"/>
            <w:hideMark/>
          </w:tcPr>
          <w:p w14:paraId="5F313C59" w14:textId="77777777" w:rsidR="00030CB8" w:rsidRPr="00030CB8" w:rsidRDefault="00030CB8" w:rsidP="00030CB8">
            <w:r w:rsidRPr="00030CB8">
              <w:rPr>
                <w:b/>
                <w:bCs/>
              </w:rPr>
              <w:t>Auditors &amp; Certification Body</w:t>
            </w:r>
          </w:p>
        </w:tc>
        <w:tc>
          <w:tcPr>
            <w:tcW w:w="0" w:type="auto"/>
            <w:vAlign w:val="center"/>
            <w:hideMark/>
          </w:tcPr>
          <w:p w14:paraId="7EE51B1D" w14:textId="77777777" w:rsidR="00030CB8" w:rsidRPr="00030CB8" w:rsidRDefault="00030CB8" w:rsidP="00030CB8">
            <w:r w:rsidRPr="00030CB8">
              <w:t>Access to accurate records, evidence of ISMS implementation</w:t>
            </w:r>
          </w:p>
        </w:tc>
        <w:tc>
          <w:tcPr>
            <w:tcW w:w="0" w:type="auto"/>
            <w:vAlign w:val="center"/>
            <w:hideMark/>
          </w:tcPr>
          <w:p w14:paraId="364E203F" w14:textId="77777777" w:rsidR="00030CB8" w:rsidRPr="00030CB8" w:rsidRDefault="00030CB8" w:rsidP="00030CB8">
            <w:r w:rsidRPr="00030CB8">
              <w:t>Yes</w:t>
            </w:r>
          </w:p>
        </w:tc>
      </w:tr>
    </w:tbl>
    <w:p w14:paraId="700CCC12" w14:textId="77777777" w:rsidR="00030CB8" w:rsidRPr="00030CB8" w:rsidRDefault="00030CB8" w:rsidP="00030CB8">
      <w:r w:rsidRPr="00030CB8">
        <w:pict w14:anchorId="2B6F97C0">
          <v:rect id="_x0000_i1083" style="width:0;height:1.5pt" o:hralign="center" o:hrstd="t" o:hr="t" fillcolor="#a0a0a0" stroked="f"/>
        </w:pict>
      </w:r>
    </w:p>
    <w:p w14:paraId="35FDC00E" w14:textId="77777777" w:rsidR="00030CB8" w:rsidRPr="00030CB8" w:rsidRDefault="00030CB8" w:rsidP="00030CB8">
      <w:pPr>
        <w:rPr>
          <w:b/>
          <w:bCs/>
        </w:rPr>
      </w:pPr>
      <w:r w:rsidRPr="00030CB8">
        <w:rPr>
          <w:b/>
          <w:bCs/>
        </w:rPr>
        <w:t>4. Determining the Scope of the ISMS (Clause 4.3)</w:t>
      </w:r>
    </w:p>
    <w:p w14:paraId="62BDBA1E" w14:textId="77777777" w:rsidR="00030CB8" w:rsidRPr="00030CB8" w:rsidRDefault="00030CB8" w:rsidP="00030CB8">
      <w:r w:rsidRPr="00030CB8">
        <w:rPr>
          <w:b/>
          <w:bCs/>
        </w:rPr>
        <w:t>ISMS Scope Statement:</w:t>
      </w:r>
      <w:r w:rsidRPr="00030CB8">
        <w:br/>
        <w:t xml:space="preserve">The ISMS at ABC Bank Ltd. covers the </w:t>
      </w:r>
      <w:r w:rsidRPr="00030CB8">
        <w:rPr>
          <w:b/>
          <w:bCs/>
        </w:rPr>
        <w:t>management, processing, storage, and transmission of customer and organizational information</w:t>
      </w:r>
      <w:r w:rsidRPr="00030CB8">
        <w:t xml:space="preserve"> related to:</w:t>
      </w:r>
    </w:p>
    <w:p w14:paraId="2399F35B" w14:textId="77777777" w:rsidR="00030CB8" w:rsidRPr="00030CB8" w:rsidRDefault="00030CB8" w:rsidP="00030CB8">
      <w:pPr>
        <w:numPr>
          <w:ilvl w:val="0"/>
          <w:numId w:val="3"/>
        </w:numPr>
      </w:pPr>
      <w:r w:rsidRPr="00030CB8">
        <w:t>Core Banking System (CBS)</w:t>
      </w:r>
    </w:p>
    <w:p w14:paraId="6419B775" w14:textId="77777777" w:rsidR="00030CB8" w:rsidRPr="00030CB8" w:rsidRDefault="00030CB8" w:rsidP="00030CB8">
      <w:pPr>
        <w:numPr>
          <w:ilvl w:val="0"/>
          <w:numId w:val="3"/>
        </w:numPr>
      </w:pPr>
      <w:r w:rsidRPr="00030CB8">
        <w:t>Mobile &amp; Internet Banking platforms</w:t>
      </w:r>
    </w:p>
    <w:p w14:paraId="499FF5B2" w14:textId="77777777" w:rsidR="00030CB8" w:rsidRPr="00030CB8" w:rsidRDefault="00030CB8" w:rsidP="00030CB8">
      <w:pPr>
        <w:numPr>
          <w:ilvl w:val="0"/>
          <w:numId w:val="3"/>
        </w:numPr>
      </w:pPr>
      <w:r w:rsidRPr="00030CB8">
        <w:t>ATM Switch &amp; associated services</w:t>
      </w:r>
    </w:p>
    <w:p w14:paraId="18A1809D" w14:textId="77777777" w:rsidR="00030CB8" w:rsidRPr="00030CB8" w:rsidRDefault="00030CB8" w:rsidP="00030CB8">
      <w:pPr>
        <w:numPr>
          <w:ilvl w:val="0"/>
          <w:numId w:val="3"/>
        </w:numPr>
      </w:pPr>
      <w:r w:rsidRPr="00030CB8">
        <w:t>Primary Data Center and DR site</w:t>
      </w:r>
    </w:p>
    <w:p w14:paraId="06CFBD70" w14:textId="77777777" w:rsidR="00030CB8" w:rsidRPr="00030CB8" w:rsidRDefault="00030CB8" w:rsidP="00030CB8">
      <w:pPr>
        <w:numPr>
          <w:ilvl w:val="0"/>
          <w:numId w:val="3"/>
        </w:numPr>
      </w:pPr>
      <w:r w:rsidRPr="00030CB8">
        <w:t>IT Security Operations (SOC, DLP, SIEM)</w:t>
      </w:r>
    </w:p>
    <w:p w14:paraId="6AA32037" w14:textId="77777777" w:rsidR="00030CB8" w:rsidRPr="00030CB8" w:rsidRDefault="00030CB8" w:rsidP="00030CB8">
      <w:pPr>
        <w:numPr>
          <w:ilvl w:val="0"/>
          <w:numId w:val="3"/>
        </w:numPr>
      </w:pPr>
      <w:r w:rsidRPr="00030CB8">
        <w:lastRenderedPageBreak/>
        <w:t>Supporting functions: HR, Legal, Compliance</w:t>
      </w:r>
    </w:p>
    <w:p w14:paraId="0F17D678" w14:textId="77777777" w:rsidR="00030CB8" w:rsidRPr="00030CB8" w:rsidRDefault="00030CB8" w:rsidP="00030CB8">
      <w:r w:rsidRPr="00030CB8">
        <w:rPr>
          <w:b/>
          <w:bCs/>
        </w:rPr>
        <w:t>Exclusions:</w:t>
      </w:r>
    </w:p>
    <w:p w14:paraId="208B7012" w14:textId="77777777" w:rsidR="00030CB8" w:rsidRPr="00030CB8" w:rsidRDefault="00030CB8" w:rsidP="00030CB8">
      <w:pPr>
        <w:numPr>
          <w:ilvl w:val="0"/>
          <w:numId w:val="4"/>
        </w:numPr>
      </w:pPr>
      <w:r w:rsidRPr="00030CB8">
        <w:t>Marketing activities not handling customer data.</w:t>
      </w:r>
    </w:p>
    <w:p w14:paraId="2057180A" w14:textId="77777777" w:rsidR="00030CB8" w:rsidRPr="00030CB8" w:rsidRDefault="00030CB8" w:rsidP="00030CB8">
      <w:pPr>
        <w:numPr>
          <w:ilvl w:val="0"/>
          <w:numId w:val="4"/>
        </w:numPr>
      </w:pPr>
      <w:r w:rsidRPr="00030CB8">
        <w:t>Physical security at branch premises (except IT/server rooms).</w:t>
      </w:r>
    </w:p>
    <w:p w14:paraId="484205A2" w14:textId="77777777" w:rsidR="00030CB8" w:rsidRPr="00030CB8" w:rsidRDefault="00030CB8" w:rsidP="00030CB8">
      <w:r w:rsidRPr="00030CB8">
        <w:rPr>
          <w:b/>
          <w:bCs/>
        </w:rPr>
        <w:t>Justification for Exclusions:</w:t>
      </w:r>
      <w:r w:rsidRPr="00030CB8">
        <w:t xml:space="preserve"> Functions excluded do not impact the confidentiality, integrity, or availability of information within ISMS scope.</w:t>
      </w:r>
    </w:p>
    <w:p w14:paraId="27DEF510" w14:textId="77777777" w:rsidR="00030CB8" w:rsidRPr="00030CB8" w:rsidRDefault="00030CB8" w:rsidP="00030CB8">
      <w:r w:rsidRPr="00030CB8">
        <w:pict w14:anchorId="731D6827">
          <v:rect id="_x0000_i1084" style="width:0;height:1.5pt" o:hralign="center" o:hrstd="t" o:hr="t" fillcolor="#a0a0a0" stroked="f"/>
        </w:pict>
      </w:r>
    </w:p>
    <w:p w14:paraId="2F6C3F27" w14:textId="77777777" w:rsidR="00030CB8" w:rsidRPr="00030CB8" w:rsidRDefault="00030CB8" w:rsidP="00030CB8">
      <w:pPr>
        <w:rPr>
          <w:b/>
          <w:bCs/>
        </w:rPr>
      </w:pPr>
      <w:r w:rsidRPr="00030CB8">
        <w:rPr>
          <w:b/>
          <w:bCs/>
        </w:rPr>
        <w:t>5. ISMS &amp; Its Processes (Clause 4.4)</w:t>
      </w:r>
    </w:p>
    <w:p w14:paraId="66BF9AED" w14:textId="77777777" w:rsidR="00030CB8" w:rsidRPr="00030CB8" w:rsidRDefault="00030CB8" w:rsidP="00030CB8">
      <w:r w:rsidRPr="00030CB8">
        <w:t xml:space="preserve">The ISMS will follow a </w:t>
      </w:r>
      <w:r w:rsidRPr="00030CB8">
        <w:rPr>
          <w:b/>
          <w:bCs/>
        </w:rPr>
        <w:t>PDCA (Plan-Do-Check-Act)</w:t>
      </w:r>
      <w:r w:rsidRPr="00030CB8">
        <w:t xml:space="preserve"> cycle, with the following processes:</w:t>
      </w:r>
    </w:p>
    <w:p w14:paraId="5FA7552E" w14:textId="77777777" w:rsidR="00030CB8" w:rsidRPr="00030CB8" w:rsidRDefault="00030CB8" w:rsidP="00030CB8">
      <w:pPr>
        <w:numPr>
          <w:ilvl w:val="0"/>
          <w:numId w:val="5"/>
        </w:numPr>
      </w:pPr>
      <w:r w:rsidRPr="00030CB8">
        <w:rPr>
          <w:b/>
          <w:bCs/>
        </w:rPr>
        <w:t>Plan:</w:t>
      </w:r>
      <w:r w:rsidRPr="00030CB8">
        <w:t xml:space="preserve"> Context analysis, risk assessment, risk treatment, policy &amp; control design.</w:t>
      </w:r>
    </w:p>
    <w:p w14:paraId="317BB2CF" w14:textId="77777777" w:rsidR="00030CB8" w:rsidRPr="00030CB8" w:rsidRDefault="00030CB8" w:rsidP="00030CB8">
      <w:pPr>
        <w:numPr>
          <w:ilvl w:val="0"/>
          <w:numId w:val="5"/>
        </w:numPr>
      </w:pPr>
      <w:r w:rsidRPr="00030CB8">
        <w:rPr>
          <w:b/>
          <w:bCs/>
        </w:rPr>
        <w:t>Do:</w:t>
      </w:r>
      <w:r w:rsidRPr="00030CB8">
        <w:t xml:space="preserve"> Implementation of security policies, procedures, and controls.</w:t>
      </w:r>
    </w:p>
    <w:p w14:paraId="718774A8" w14:textId="77777777" w:rsidR="00030CB8" w:rsidRPr="00030CB8" w:rsidRDefault="00030CB8" w:rsidP="00030CB8">
      <w:pPr>
        <w:numPr>
          <w:ilvl w:val="0"/>
          <w:numId w:val="5"/>
        </w:numPr>
      </w:pPr>
      <w:r w:rsidRPr="00030CB8">
        <w:rPr>
          <w:b/>
          <w:bCs/>
        </w:rPr>
        <w:t>Check:</w:t>
      </w:r>
      <w:r w:rsidRPr="00030CB8">
        <w:t xml:space="preserve"> Monitoring, internal audits, incident tracking, compliance checks.</w:t>
      </w:r>
    </w:p>
    <w:p w14:paraId="7493397A" w14:textId="77777777" w:rsidR="00030CB8" w:rsidRPr="00030CB8" w:rsidRDefault="00030CB8" w:rsidP="00030CB8">
      <w:pPr>
        <w:numPr>
          <w:ilvl w:val="0"/>
          <w:numId w:val="5"/>
        </w:numPr>
      </w:pPr>
      <w:r w:rsidRPr="00030CB8">
        <w:rPr>
          <w:b/>
          <w:bCs/>
        </w:rPr>
        <w:t>Act:</w:t>
      </w:r>
      <w:r w:rsidRPr="00030CB8">
        <w:t xml:space="preserve"> Corrective actions, continual improvement, management review.</w:t>
      </w:r>
    </w:p>
    <w:p w14:paraId="4F11059D" w14:textId="77777777" w:rsidR="00030CB8" w:rsidRPr="00030CB8" w:rsidRDefault="00030CB8" w:rsidP="00030CB8">
      <w:r w:rsidRPr="00030CB8">
        <w:rPr>
          <w:b/>
          <w:bCs/>
        </w:rPr>
        <w:t>Interfaces &amp; Dependencies:</w:t>
      </w:r>
    </w:p>
    <w:p w14:paraId="5B114175" w14:textId="77777777" w:rsidR="00030CB8" w:rsidRPr="00030CB8" w:rsidRDefault="00030CB8" w:rsidP="00030CB8">
      <w:pPr>
        <w:numPr>
          <w:ilvl w:val="0"/>
          <w:numId w:val="6"/>
        </w:numPr>
      </w:pPr>
      <w:r w:rsidRPr="00030CB8">
        <w:t>Dependent on vendor services for cloud hosting, telecom, ATM operations.</w:t>
      </w:r>
    </w:p>
    <w:p w14:paraId="40091526" w14:textId="77777777" w:rsidR="00030CB8" w:rsidRPr="00030CB8" w:rsidRDefault="00030CB8" w:rsidP="00030CB8">
      <w:pPr>
        <w:numPr>
          <w:ilvl w:val="0"/>
          <w:numId w:val="6"/>
        </w:numPr>
      </w:pPr>
      <w:r w:rsidRPr="00030CB8">
        <w:t>Interfaces with regulators (RBI, CERT-In) for compliance.</w:t>
      </w:r>
    </w:p>
    <w:p w14:paraId="377D1F02" w14:textId="77777777" w:rsidR="00030CB8" w:rsidRPr="00030CB8" w:rsidRDefault="00030CB8" w:rsidP="00030CB8">
      <w:pPr>
        <w:numPr>
          <w:ilvl w:val="0"/>
          <w:numId w:val="6"/>
        </w:numPr>
      </w:pPr>
      <w:r w:rsidRPr="00030CB8">
        <w:t>Relies on HR for employee training and compliance reporting.</w:t>
      </w:r>
    </w:p>
    <w:p w14:paraId="561B5F26" w14:textId="77777777" w:rsidR="00030CB8" w:rsidRPr="00030CB8" w:rsidRDefault="00030CB8" w:rsidP="00030CB8">
      <w:r w:rsidRPr="00030CB8">
        <w:pict w14:anchorId="4A31A457">
          <v:rect id="_x0000_i1085" style="width:0;height:1.5pt" o:hralign="center" o:hrstd="t" o:hr="t" fillcolor="#a0a0a0" stroked="f"/>
        </w:pict>
      </w:r>
    </w:p>
    <w:p w14:paraId="731E2352" w14:textId="77777777" w:rsidR="00030CB8" w:rsidRPr="00030CB8" w:rsidRDefault="00030CB8" w:rsidP="00030CB8">
      <w:pPr>
        <w:rPr>
          <w:b/>
          <w:bCs/>
        </w:rPr>
      </w:pPr>
      <w:r w:rsidRPr="00030CB8">
        <w:rPr>
          <w:b/>
          <w:bCs/>
        </w:rPr>
        <w:t>6. Approval</w:t>
      </w:r>
    </w:p>
    <w:p w14:paraId="663DFDEB" w14:textId="1601500A" w:rsidR="00030CB8" w:rsidRPr="00030CB8" w:rsidRDefault="00030CB8" w:rsidP="00030CB8">
      <w:r w:rsidRPr="00030CB8">
        <w:rPr>
          <w:b/>
          <w:bCs/>
        </w:rPr>
        <w:t>Prepared By:</w:t>
      </w:r>
      <w:r w:rsidRPr="00030CB8">
        <w:t xml:space="preserve"> ISMS Lead</w:t>
      </w:r>
      <w:r>
        <w:t xml:space="preserve"> - </w:t>
      </w:r>
      <w:r w:rsidRPr="00030CB8">
        <w:br/>
      </w:r>
      <w:r w:rsidRPr="00030CB8">
        <w:rPr>
          <w:b/>
          <w:bCs/>
        </w:rPr>
        <w:t>Reviewed By:</w:t>
      </w:r>
      <w:r w:rsidRPr="00030CB8">
        <w:t xml:space="preserve"> CIS</w:t>
      </w:r>
      <w:r>
        <w:t xml:space="preserve">O - </w:t>
      </w:r>
      <w:r w:rsidRPr="00030CB8">
        <w:br/>
      </w:r>
      <w:r w:rsidRPr="00030CB8">
        <w:rPr>
          <w:b/>
          <w:bCs/>
        </w:rPr>
        <w:t>Approved By:</w:t>
      </w:r>
      <w:r w:rsidRPr="00030CB8">
        <w:t xml:space="preserve"> CIO</w:t>
      </w:r>
      <w:r>
        <w:t xml:space="preserve"> - </w:t>
      </w:r>
    </w:p>
    <w:p w14:paraId="3CD44C59" w14:textId="77777777" w:rsidR="00BB72D6" w:rsidRDefault="00BB72D6"/>
    <w:sectPr w:rsidR="00BB72D6" w:rsidSect="00030C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AAE"/>
    <w:multiLevelType w:val="multilevel"/>
    <w:tmpl w:val="2F7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959C4"/>
    <w:multiLevelType w:val="multilevel"/>
    <w:tmpl w:val="0F4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008E"/>
    <w:multiLevelType w:val="multilevel"/>
    <w:tmpl w:val="D2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B4CF6"/>
    <w:multiLevelType w:val="multilevel"/>
    <w:tmpl w:val="7402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231E7"/>
    <w:multiLevelType w:val="multilevel"/>
    <w:tmpl w:val="5E7E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E7CEF"/>
    <w:multiLevelType w:val="multilevel"/>
    <w:tmpl w:val="3D7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16600">
    <w:abstractNumId w:val="0"/>
  </w:num>
  <w:num w:numId="2" w16cid:durableId="211775058">
    <w:abstractNumId w:val="5"/>
  </w:num>
  <w:num w:numId="3" w16cid:durableId="2133471320">
    <w:abstractNumId w:val="2"/>
  </w:num>
  <w:num w:numId="4" w16cid:durableId="1342665317">
    <w:abstractNumId w:val="3"/>
  </w:num>
  <w:num w:numId="5" w16cid:durableId="368577830">
    <w:abstractNumId w:val="4"/>
  </w:num>
  <w:num w:numId="6" w16cid:durableId="55261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5A"/>
    <w:rsid w:val="00030CB8"/>
    <w:rsid w:val="001563AE"/>
    <w:rsid w:val="0081065A"/>
    <w:rsid w:val="00BB72D6"/>
    <w:rsid w:val="00FC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F0EC"/>
  <w15:chartTrackingRefBased/>
  <w15:docId w15:val="{7199D796-B970-470D-832F-00888C9B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65A"/>
    <w:rPr>
      <w:rFonts w:eastAsiaTheme="majorEastAsia" w:cstheme="majorBidi"/>
      <w:color w:val="272727" w:themeColor="text1" w:themeTint="D8"/>
    </w:rPr>
  </w:style>
  <w:style w:type="paragraph" w:styleId="Title">
    <w:name w:val="Title"/>
    <w:basedOn w:val="Normal"/>
    <w:next w:val="Normal"/>
    <w:link w:val="TitleChar"/>
    <w:uiPriority w:val="10"/>
    <w:qFormat/>
    <w:rsid w:val="00810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65A"/>
    <w:pPr>
      <w:spacing w:before="160"/>
      <w:jc w:val="center"/>
    </w:pPr>
    <w:rPr>
      <w:i/>
      <w:iCs/>
      <w:color w:val="404040" w:themeColor="text1" w:themeTint="BF"/>
    </w:rPr>
  </w:style>
  <w:style w:type="character" w:customStyle="1" w:styleId="QuoteChar">
    <w:name w:val="Quote Char"/>
    <w:basedOn w:val="DefaultParagraphFont"/>
    <w:link w:val="Quote"/>
    <w:uiPriority w:val="29"/>
    <w:rsid w:val="0081065A"/>
    <w:rPr>
      <w:i/>
      <w:iCs/>
      <w:color w:val="404040" w:themeColor="text1" w:themeTint="BF"/>
    </w:rPr>
  </w:style>
  <w:style w:type="paragraph" w:styleId="ListParagraph">
    <w:name w:val="List Paragraph"/>
    <w:basedOn w:val="Normal"/>
    <w:uiPriority w:val="34"/>
    <w:qFormat/>
    <w:rsid w:val="0081065A"/>
    <w:pPr>
      <w:ind w:left="720"/>
      <w:contextualSpacing/>
    </w:pPr>
  </w:style>
  <w:style w:type="character" w:styleId="IntenseEmphasis">
    <w:name w:val="Intense Emphasis"/>
    <w:basedOn w:val="DefaultParagraphFont"/>
    <w:uiPriority w:val="21"/>
    <w:qFormat/>
    <w:rsid w:val="0081065A"/>
    <w:rPr>
      <w:i/>
      <w:iCs/>
      <w:color w:val="0F4761" w:themeColor="accent1" w:themeShade="BF"/>
    </w:rPr>
  </w:style>
  <w:style w:type="paragraph" w:styleId="IntenseQuote">
    <w:name w:val="Intense Quote"/>
    <w:basedOn w:val="Normal"/>
    <w:next w:val="Normal"/>
    <w:link w:val="IntenseQuoteChar"/>
    <w:uiPriority w:val="30"/>
    <w:qFormat/>
    <w:rsid w:val="00810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65A"/>
    <w:rPr>
      <w:i/>
      <w:iCs/>
      <w:color w:val="0F4761" w:themeColor="accent1" w:themeShade="BF"/>
    </w:rPr>
  </w:style>
  <w:style w:type="character" w:styleId="IntenseReference">
    <w:name w:val="Intense Reference"/>
    <w:basedOn w:val="DefaultParagraphFont"/>
    <w:uiPriority w:val="32"/>
    <w:qFormat/>
    <w:rsid w:val="00810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21367">
      <w:bodyDiv w:val="1"/>
      <w:marLeft w:val="0"/>
      <w:marRight w:val="0"/>
      <w:marTop w:val="0"/>
      <w:marBottom w:val="0"/>
      <w:divBdr>
        <w:top w:val="none" w:sz="0" w:space="0" w:color="auto"/>
        <w:left w:val="none" w:sz="0" w:space="0" w:color="auto"/>
        <w:bottom w:val="none" w:sz="0" w:space="0" w:color="auto"/>
        <w:right w:val="none" w:sz="0" w:space="0" w:color="auto"/>
      </w:divBdr>
    </w:div>
    <w:div w:id="15294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Bhattacharya, Pratik</dc:creator>
  <cp:keywords/>
  <dc:description/>
  <cp:lastModifiedBy>B. Bhattacharya, Pratik</cp:lastModifiedBy>
  <cp:revision>2</cp:revision>
  <dcterms:created xsi:type="dcterms:W3CDTF">2025-09-21T06:20:00Z</dcterms:created>
  <dcterms:modified xsi:type="dcterms:W3CDTF">2025-09-21T06:22:00Z</dcterms:modified>
</cp:coreProperties>
</file>