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Transfer</w:t>
      </w:r>
      <w:r>
        <w:t xml:space="preserve"> </w:t>
      </w:r>
      <w:r>
        <w:t xml:space="preserve">Pricing</w:t>
      </w:r>
      <w:r>
        <w:t xml:space="preserve"> </w:t>
      </w:r>
      <w:r>
        <w:t xml:space="preserve">Documentation:</w:t>
      </w:r>
      <w:r>
        <w:t xml:space="preserve"> </w:t>
      </w:r>
      <w:r>
        <w:t xml:space="preserve">Local</w:t>
      </w:r>
      <w:r>
        <w:t xml:space="preserve"> </w:t>
      </w:r>
      <w:r>
        <w:t xml:space="preserve">File</w:t>
      </w:r>
    </w:p>
    <w:p>
      <w:pPr>
        <w:pStyle w:val="Subtitle"/>
      </w:pPr>
      <w:r>
        <w:t xml:space="preserve">«entity.entity_name»</w:t>
      </w:r>
      <w:r>
        <w:t xml:space="preserve"> </w:t>
      </w:r>
      <w:r>
        <w:t xml:space="preserve">·</w:t>
      </w:r>
      <w:r>
        <w:t xml:space="preserve"> </w:t>
      </w:r>
      <w:r>
        <w:t xml:space="preserve">Fiscal</w:t>
      </w:r>
      <w:r>
        <w:t xml:space="preserve"> </w:t>
      </w:r>
      <w:r>
        <w:t xml:space="preserve">year</w:t>
      </w:r>
      <w:r>
        <w:t xml:space="preserve"> </w:t>
      </w:r>
      <w:r>
        <w:t xml:space="preserve">ended</w:t>
      </w:r>
      <w:r>
        <w:t xml:space="preserve"> </w:t>
      </w:r>
      <w:r>
        <w:t xml:space="preserve">«fiscal_year_end_label»</w:t>
      </w:r>
    </w:p>
    <w:bookmarkStart w:id="20" w:name="cover"/>
    <w:p>
      <w:pPr>
        <w:pStyle w:val="Heading1"/>
      </w:pPr>
      <w:r>
        <w:t xml:space="preserve">Cover</w:t>
      </w:r>
    </w:p>
    <w:p>
      <w:pPr>
        <w:pStyle w:val="FirstParagraph"/>
      </w:pPr>
      <w:r>
        <w:rPr>
          <w:bCs/>
          <w:b/>
        </w:rPr>
        <w:t xml:space="preserve">How to read this template:</w:t>
      </w:r>
      <w:r>
        <w:t xml:space="preserve"> </w:t>
      </w:r>
      <w:r>
        <w:t xml:space="preserve">fields in</w:t>
      </w:r>
      <w:r>
        <w:t xml:space="preserve"> </w:t>
      </w:r>
      <w:r>
        <w:rPr>
          <w:bCs/>
          <w:b/>
        </w:rPr>
        <w:t xml:space="preserve">«double angle brackets»</w:t>
      </w:r>
      <w:r>
        <w:t xml:space="preserve"> </w:t>
      </w:r>
      <w:r>
        <w:t xml:space="preserve">are filled by the TP Copilot engine from approved case data; blocks marked</w:t>
      </w:r>
      <w:r>
        <w:t xml:space="preserve"> </w:t>
      </w:r>
      <w:r>
        <w:rPr>
          <w:bCs/>
          <w:b/>
        </w:rPr>
        <w:t xml:space="preserve">[AI SLOT]</w:t>
      </w:r>
      <w:r>
        <w:t xml:space="preserve"> </w:t>
      </w:r>
      <w:r>
        <w:t xml:space="preserve">are drafted by the model under the stated instruction and word limit, then reviewed by the consultant. Table rows shown once repeat for each record.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Taxpayer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«entity.entity_name»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«entity.country»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«group.name»</w:t>
            </w:r>
            <w:r>
              <w:t xml:space="preserve"> </w:t>
            </w:r>
            <w:r>
              <w:t xml:space="preserve">(ultimate parent:</w:t>
            </w:r>
            <w:r>
              <w:t xml:space="preserve"> </w:t>
            </w:r>
            <w:r>
              <w:rPr>
                <w:bCs/>
                <w:b/>
              </w:rPr>
              <w:t xml:space="preserve">«group.parent_name»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«group.parent_country»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</w:t>
            </w:r>
            <w:r>
              <w:rPr>
                <w:bCs/>
                <w:b/>
              </w:rPr>
              <w:t xml:space="preserve">«year»</w:t>
            </w:r>
            <w:r>
              <w:t xml:space="preserve"> </w:t>
            </w:r>
            <w:r>
              <w:t xml:space="preserve">(year end:</w:t>
            </w:r>
            <w:r>
              <w:t xml:space="preserve"> </w:t>
            </w:r>
            <w:r>
              <w:rPr>
                <w:bCs/>
                <w:b/>
              </w:rPr>
              <w:t xml:space="preserve">«entity.fiscal_year_end»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Tested transaction(s)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«tested.transaction_summary»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 / PLI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«benchmark.method»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«benchmark.pli_type_long»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«prepared_by»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«status»</w:t>
            </w:r>
            <w:r>
              <w:t xml:space="preserve"> </w:t>
            </w:r>
            <w:r>
              <w:t xml:space="preserve">· Generated</w:t>
            </w:r>
            <w:r>
              <w:t xml:space="preserve"> </w:t>
            </w:r>
            <w:r>
              <w:rPr>
                <w:bCs/>
                <w:b/>
              </w:rPr>
              <w:t xml:space="preserve">«generated_at»</w:t>
            </w:r>
            <w:r>
              <w:t xml:space="preserve"> </w:t>
            </w:r>
            <w:r>
              <w:t xml:space="preserve">by TP Copilot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Contents:</w:t>
      </w:r>
      <w:r>
        <w:t xml:space="preserve"> </w:t>
      </w:r>
      <w:r>
        <w:t xml:space="preserve">1 Executive summary · 2 Scope and regulatory framework · 3 The local entity · 4 Group and industry overview · 5 Controlled transactions · 6 Functional analysis · 7 Selection of the transfer pricing method · 8 Economic analysis · 9 Results and conclusion · 10 Compliance triggers and recommendations · Appendices A–D</w:t>
      </w:r>
    </w:p>
    <w:p>
      <w:pPr>
        <w:pStyle w:val="BlockText"/>
      </w:pPr>
      <w:r>
        <w:t xml:space="preserve">This document is a draft prepared with AI assistance. All conclusions were proposed by the system and approved by the consultant named above. Thresholds, rules and data marked</w:t>
      </w:r>
      <w:r>
        <w:t xml:space="preserve"> </w:t>
      </w:r>
      <w:r>
        <w:rPr>
          <w:iCs/>
          <w:i/>
        </w:rPr>
        <w:t xml:space="preserve">illustrative</w:t>
      </w:r>
      <w:r>
        <w:t xml:space="preserve"> </w:t>
      </w:r>
      <w:r>
        <w:t xml:space="preserve">are not tax advice.</w:t>
      </w:r>
    </w:p>
    <w:p>
      <w:r>
        <w:br w:type="page"/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BlockText"/>
      </w:pPr>
      <w:r>
        <w:rPr>
          <w:bCs/>
          <w:b/>
        </w:rPr>
        <w:t xml:space="preserve">[AI SLOT · executive_summary · max 150 words]</w:t>
      </w:r>
      <w:r>
        <w:t xml:space="preserve"> </w:t>
      </w:r>
      <w:r>
        <w:rPr>
          <w:iCs/>
          <w:i/>
        </w:rPr>
        <w:t xml:space="preserve">Summarise the tested transaction, method, PLI, the tested party’s weighted result versus the interquartile range, and the conclusion and adjustment. One paragraph.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«entity.entity_name»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«far.characterisation»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Controlled 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«tested.transaction_summary»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pricing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«benchmark.method»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«benchmark.method_us_equivalent»</w:t>
            </w:r>
            <w:r>
              <w:t xml:space="preserve"> </w:t>
            </w:r>
            <w:r>
              <w:t xml:space="preserve">under US regulations)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level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«benchmark.pli_type_long»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party result (FY</w:t>
            </w:r>
            <w:r>
              <w:rPr>
                <w:bCs/>
                <w:b/>
              </w:rPr>
              <w:t xml:space="preserve">«year»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«benchmark.current_pli»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party result (weighted</w:t>
            </w:r>
            <w:r>
              <w:t xml:space="preserve"> </w:t>
            </w:r>
            <w:r>
              <w:rPr>
                <w:bCs/>
                <w:b/>
              </w:rPr>
              <w:t xml:space="preserve">«benchmark.years_label»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«benchmark.tested_pli»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Arm’s length interquartile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«benchmark.lq»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Cs/>
                <w:b/>
              </w:rPr>
              <w:t xml:space="preserve">«benchmark.uq»</w:t>
            </w:r>
            <w:r>
              <w:t xml:space="preserve"> </w:t>
            </w:r>
            <w:r>
              <w:t xml:space="preserve">(median</w:t>
            </w:r>
            <w:r>
              <w:t xml:space="preserve"> </w:t>
            </w:r>
            <w:r>
              <w:rPr>
                <w:bCs/>
                <w:b/>
              </w:rPr>
              <w:t xml:space="preserve">«benchmark.median»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«benchmark.n»</w:t>
            </w:r>
            <w:r>
              <w:t xml:space="preserve"> </w:t>
            </w:r>
            <w:r>
              <w:t xml:space="preserve">comparables)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«benchmark.conclusion_label»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to 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«benchmark.adjustment_local»</w:t>
            </w:r>
            <w:r>
              <w:t xml:space="preserve"> </w:t>
            </w:r>
            <w:r>
              <w:t xml:space="preserve">(≈</w:t>
            </w:r>
            <w:r>
              <w:t xml:space="preserve"> </w:t>
            </w:r>
            <w:r>
              <w:rPr>
                <w:bCs/>
                <w:b/>
              </w:rPr>
              <w:t xml:space="preserve">«benchmark.adjustment_usd»</w:t>
            </w:r>
            <w:r>
              <w:t xml:space="preserve">)</w:t>
            </w:r>
          </w:p>
        </w:tc>
      </w:tr>
    </w:tbl>
    <w:bookmarkEnd w:id="21"/>
    <w:bookmarkStart w:id="25" w:name="scope-and-regulatory-framework"/>
    <w:p>
      <w:pPr>
        <w:pStyle w:val="Heading1"/>
      </w:pPr>
      <w:r>
        <w:t xml:space="preserve">2. Scope and regulatory framework</w:t>
      </w:r>
    </w:p>
    <w:bookmarkStart w:id="22" w:name="purpose-and-scope"/>
    <w:p>
      <w:pPr>
        <w:pStyle w:val="Heading2"/>
      </w:pPr>
      <w:r>
        <w:t xml:space="preserve">2.1 Purpose and scope</w:t>
      </w:r>
    </w:p>
    <w:p>
      <w:pPr>
        <w:pStyle w:val="BlockText"/>
      </w:pPr>
      <w:r>
        <w:rPr>
          <w:bCs/>
          <w:b/>
        </w:rPr>
        <w:t xml:space="preserve">[AI SLOT · scope_purpose · max 100 words]</w:t>
      </w:r>
      <w:r>
        <w:t xml:space="preserve"> </w:t>
      </w:r>
      <w:r>
        <w:rPr>
          <w:iCs/>
          <w:i/>
        </w:rPr>
        <w:t xml:space="preserve">State the purpose of the document (local file for the entity and fiscal year) and what it covers.</w:t>
      </w:r>
    </w:p>
    <w:bookmarkEnd w:id="22"/>
    <w:bookmarkStart w:id="23" w:name="applicable-rules"/>
    <w:p>
      <w:pPr>
        <w:pStyle w:val="Heading2"/>
      </w:pPr>
      <w:r>
        <w:t xml:space="preserve">2.2 Applicable rules</w:t>
      </w:r>
    </w:p>
    <w:p>
      <w:pPr>
        <w:pStyle w:val="FirstParagraph"/>
      </w:pPr>
      <w:r>
        <w:t xml:space="preserve">This analysis applies the arm’s length principle as set out in the OECD Transfer Pricing Guidelines for Multinational Enterprises and Tax Administrations and the local rules of</w:t>
      </w:r>
      <w:r>
        <w:t xml:space="preserve"> </w:t>
      </w:r>
      <w:r>
        <w:rPr>
          <w:bCs/>
          <w:b/>
        </w:rPr>
        <w:t xml:space="preserve">«entity.country»</w:t>
      </w:r>
      <w:r>
        <w:t xml:space="preserve">. The rules evaluated by TP Copilot for this entity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«rule_id»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«jurisdiction»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«trigger_name»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«reference»</w:t>
            </w:r>
          </w:p>
        </w:tc>
      </w:tr>
    </w:tbl>
    <w:bookmarkEnd w:id="23"/>
    <w:bookmarkStart w:id="24" w:name="documentation-thresholds-and-deadlines"/>
    <w:p>
      <w:pPr>
        <w:pStyle w:val="Heading2"/>
      </w:pPr>
      <w:r>
        <w:t xml:space="preserve">2.3 Documentation thresholds and deadlines</w:t>
      </w:r>
    </w:p>
    <w:p>
      <w:pPr>
        <w:pStyle w:val="BlockText"/>
      </w:pPr>
      <w:r>
        <w:rPr>
          <w:bCs/>
          <w:b/>
        </w:rPr>
        <w:t xml:space="preserve">[AI SLOT · thresholds_and_deadlines · max 120 words]</w:t>
      </w:r>
      <w:r>
        <w:t xml:space="preserve"> </w:t>
      </w:r>
      <w:r>
        <w:rPr>
          <w:iCs/>
          <w:i/>
        </w:rPr>
        <w:t xml:space="preserve">Explain which documentation requirements apply to this entity based on the triggers (e.g. thresholds exceeded, new transactions). Cite each reference. Do not invent due dates.</w:t>
      </w:r>
    </w:p>
    <w:bookmarkEnd w:id="24"/>
    <w:bookmarkEnd w:id="25"/>
    <w:bookmarkStart w:id="29" w:name="the-local-entity"/>
    <w:p>
      <w:pPr>
        <w:pStyle w:val="Heading1"/>
      </w:pPr>
      <w:r>
        <w:t xml:space="preserve">3. The local entity</w:t>
      </w:r>
    </w:p>
    <w:bookmarkStart w:id="26" w:name="business-description"/>
    <w:p>
      <w:pPr>
        <w:pStyle w:val="Heading2"/>
      </w:pPr>
      <w:r>
        <w:t xml:space="preserve">3.1 Business description</w:t>
      </w:r>
    </w:p>
    <w:p>
      <w:pPr>
        <w:pStyle w:val="BlockText"/>
      </w:pPr>
      <w:r>
        <w:rPr>
          <w:bCs/>
          <w:b/>
        </w:rPr>
        <w:t xml:space="preserve">[AI SLOT · entity_business_description · max 150 words]</w:t>
      </w:r>
      <w:r>
        <w:t xml:space="preserve"> </w:t>
      </w:r>
      <w:r>
        <w:rPr>
          <w:iCs/>
          <w:i/>
        </w:rPr>
        <w:t xml:space="preserve">Describe what the entity does using role, key_functions and the approved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«entity.entity_name»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in the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«entity.role»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«entity.ownership_pct»</w:t>
            </w:r>
            <w:r>
              <w:t xml:space="preserve">% held by</w:t>
            </w:r>
            <w:r>
              <w:t xml:space="preserve"> </w:t>
            </w:r>
            <w:r>
              <w:rPr>
                <w:bCs/>
                <w:b/>
              </w:rPr>
              <w:t xml:space="preserve">«group.parent_name»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«entity.headcount»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«entity.currency»</w:t>
            </w:r>
          </w:p>
        </w:tc>
      </w:tr>
    </w:tbl>
    <w:bookmarkEnd w:id="26"/>
    <w:bookmarkStart w:id="27" w:name="management-structure-and-reporting-lines"/>
    <w:p>
      <w:pPr>
        <w:pStyle w:val="Heading2"/>
      </w:pPr>
      <w:r>
        <w:t xml:space="preserve">3.2 Management structure and reporting lines</w:t>
      </w:r>
    </w:p>
    <w:p>
      <w:pPr>
        <w:pStyle w:val="BlockText"/>
      </w:pPr>
      <w:r>
        <w:rPr>
          <w:bCs/>
          <w:b/>
        </w:rPr>
        <w:t xml:space="preserve">[AI SLOT · management_structure · max 90 words]</w:t>
      </w:r>
      <w:r>
        <w:t xml:space="preserve"> </w:t>
      </w:r>
      <w:r>
        <w:rPr>
          <w:iCs/>
          <w:i/>
        </w:rPr>
        <w:t xml:space="preserve">Describe reporting lines to the parent as evidenced by the FAR (e.g. pricing and marketing decided by HQ). If unknown, use the consultant-to-confirm placeholder.</w:t>
      </w:r>
    </w:p>
    <w:bookmarkEnd w:id="27"/>
    <w:bookmarkStart w:id="28" w:name="X3d173016fc210c3a372904069df3134c98d054d"/>
    <w:p>
      <w:pPr>
        <w:pStyle w:val="Heading2"/>
      </w:pPr>
      <w:r>
        <w:t xml:space="preserve">3.3 Restructurings and intangible transfers during the year</w:t>
      </w:r>
    </w:p>
    <w:p>
      <w:pPr>
        <w:pStyle w:val="BlockText"/>
      </w:pPr>
      <w:r>
        <w:rPr>
          <w:bCs/>
          <w:b/>
        </w:rPr>
        <w:t xml:space="preserve">[AI SLOT · restructurings · max 90 words]</w:t>
      </w:r>
      <w:r>
        <w:t xml:space="preserve"> </w:t>
      </w:r>
      <w:r>
        <w:rPr>
          <w:iCs/>
          <w:i/>
        </w:rPr>
        <w:t xml:space="preserve">Describe any new transactions or changes in the year (transactions whose first_year equals the fiscal year), especially intangibles. State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None identified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if there are none.</w:t>
      </w:r>
    </w:p>
    <w:p>
      <w:r>
        <w:br w:type="page"/>
      </w:r>
    </w:p>
    <w:bookmarkEnd w:id="28"/>
    <w:bookmarkEnd w:id="29"/>
    <w:bookmarkStart w:id="33" w:name="group-and-industry-overview"/>
    <w:p>
      <w:pPr>
        <w:pStyle w:val="Heading1"/>
      </w:pPr>
      <w:r>
        <w:t xml:space="preserve">4. Group and industry overview</w:t>
      </w:r>
    </w:p>
    <w:bookmarkStart w:id="30" w:name="the-group"/>
    <w:p>
      <w:pPr>
        <w:pStyle w:val="Heading2"/>
      </w:pPr>
      <w:r>
        <w:t xml:space="preserve">4.1 The group</w:t>
      </w:r>
    </w:p>
    <w:p>
      <w:pPr>
        <w:pStyle w:val="BlockText"/>
      </w:pPr>
      <w:r>
        <w:rPr>
          <w:bCs/>
          <w:b/>
        </w:rPr>
        <w:t xml:space="preserve">[AI SLOT · group_overview · max 110 words]</w:t>
      </w:r>
      <w:r>
        <w:t xml:space="preserve"> </w:t>
      </w:r>
      <w:r>
        <w:rPr>
          <w:iCs/>
          <w:i/>
        </w:rPr>
        <w:t xml:space="preserve">Describe the group’s structure and each entity’s role in one short paragraph.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«entity_name»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«country»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«role»</w:t>
            </w:r>
          </w:p>
        </w:tc>
      </w:tr>
    </w:tbl>
    <w:bookmarkEnd w:id="30"/>
    <w:bookmarkStart w:id="31" w:name="industry-analysis"/>
    <w:p>
      <w:pPr>
        <w:pStyle w:val="Heading2"/>
      </w:pPr>
      <w:r>
        <w:t xml:space="preserve">4.2 Industry analysis</w:t>
      </w:r>
    </w:p>
    <w:p>
      <w:pPr>
        <w:pStyle w:val="BlockText"/>
      </w:pPr>
      <w:r>
        <w:rPr>
          <w:bCs/>
          <w:b/>
        </w:rPr>
        <w:t xml:space="preserve">[AI SLOT · industry_analysis · max 220 words]</w:t>
      </w:r>
      <w:r>
        <w:t xml:space="preserve"> </w:t>
      </w:r>
      <w:r>
        <w:rPr>
          <w:iCs/>
          <w:i/>
        </w:rPr>
        <w:t xml:space="preserve">Describe the industry and market in which the entity operates. Use only information in the context (and retrieved sources, if provided with URLs). Otherwise write a neutral description flagged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[Consultant to confirm]</w:t>
      </w:r>
      <w:r>
        <w:rPr>
          <w:iCs/>
          <w:i/>
        </w:rPr>
        <w:t xml:space="preserve">’</w:t>
      </w:r>
      <w:r>
        <w:rPr>
          <w:iCs/>
          <w:i/>
        </w:rPr>
        <w:t xml:space="preserve">.</w:t>
      </w:r>
    </w:p>
    <w:bookmarkEnd w:id="31"/>
    <w:bookmarkStart w:id="32" w:name="key-value-drivers"/>
    <w:p>
      <w:pPr>
        <w:pStyle w:val="Heading2"/>
      </w:pPr>
      <w:r>
        <w:t xml:space="preserve">4.3 Key value drivers</w:t>
      </w:r>
    </w:p>
    <w:p>
      <w:pPr>
        <w:pStyle w:val="BlockText"/>
      </w:pPr>
      <w:r>
        <w:rPr>
          <w:bCs/>
          <w:b/>
        </w:rPr>
        <w:t xml:space="preserve">[AI SLOT · value_drivers · max 120 words]</w:t>
      </w:r>
      <w:r>
        <w:t xml:space="preserve"> </w:t>
      </w:r>
      <w:r>
        <w:rPr>
          <w:iCs/>
          <w:i/>
        </w:rPr>
        <w:t xml:space="preserve">Identify the main value drivers (technology, brand, customer relationships, manufacturing) and which entity owns or controls each, per the FAR.</w:t>
      </w:r>
    </w:p>
    <w:bookmarkEnd w:id="32"/>
    <w:bookmarkEnd w:id="33"/>
    <w:bookmarkStart w:id="37" w:name="controlled-transactions"/>
    <w:p>
      <w:pPr>
        <w:pStyle w:val="Heading1"/>
      </w:pPr>
      <w:r>
        <w:t xml:space="preserve">5. Controlled transactions</w:t>
      </w:r>
    </w:p>
    <w:bookmarkStart w:id="34" w:name="X7c04639c3709eb01a196e59a90eb23036cc009a"/>
    <w:p>
      <w:pPr>
        <w:pStyle w:val="Heading2"/>
      </w:pPr>
      <w:r>
        <w:t xml:space="preserve">5.1 Summary of intercompany transactions (FY</w:t>
      </w:r>
      <w:r>
        <w:rPr>
          <w:bCs/>
          <w:b/>
        </w:rPr>
        <w:t xml:space="preserve">«year»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1218"/>
        <w:gridCol w:w="1218"/>
        <w:gridCol w:w="913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</w:t>
            </w:r>
            <w:r>
              <w:rPr>
                <w:bCs/>
                <w:b/>
              </w:rPr>
              <w:t xml:space="preserve">«entity.currency»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«txn_id»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«counterparty_name»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«direction»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«transaction_type»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«amount_local»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«amount_usd»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«pricing_policy»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«agreement_label»</w:t>
            </w:r>
          </w:p>
        </w:tc>
      </w:tr>
    </w:tbl>
    <w:bookmarkEnd w:id="34"/>
    <w:bookmarkStart w:id="35" w:name="description-of-the-tested-transaction"/>
    <w:p>
      <w:pPr>
        <w:pStyle w:val="Heading2"/>
      </w:pPr>
      <w:r>
        <w:t xml:space="preserve">5.2 Description of the tested transaction</w:t>
      </w:r>
    </w:p>
    <w:p>
      <w:pPr>
        <w:pStyle w:val="BlockText"/>
      </w:pPr>
      <w:r>
        <w:rPr>
          <w:bCs/>
          <w:b/>
        </w:rPr>
        <w:t xml:space="preserve">[AI SLOT · tested_transaction_description · max 150 words]</w:t>
      </w:r>
      <w:r>
        <w:t xml:space="preserve"> </w:t>
      </w:r>
      <w:r>
        <w:rPr>
          <w:iCs/>
          <w:i/>
        </w:rPr>
        <w:t xml:space="preserve">Describe the tested transaction: parties, flow of goods or services, pricing mechanism, and amounts.</w:t>
      </w:r>
    </w:p>
    <w:bookmarkEnd w:id="35"/>
    <w:bookmarkStart w:id="36" w:name="intercompany-agreements"/>
    <w:p>
      <w:pPr>
        <w:pStyle w:val="Heading2"/>
      </w:pPr>
      <w:r>
        <w:t xml:space="preserve">5.3 Intercompany agreements</w:t>
      </w:r>
    </w:p>
    <w:p>
      <w:pPr>
        <w:pStyle w:val="BlockText"/>
      </w:pPr>
      <w:r>
        <w:rPr>
          <w:bCs/>
          <w:b/>
        </w:rPr>
        <w:t xml:space="preserve">[AI SLOT · intercompany_agreements · max 110 words]</w:t>
      </w:r>
      <w:r>
        <w:t xml:space="preserve"> </w:t>
      </w:r>
      <w:r>
        <w:rPr>
          <w:iCs/>
          <w:i/>
        </w:rPr>
        <w:t xml:space="preserve">State which transactions are covered by written agreements and which are not, and why missing agreements matter (cite the rule reference).</w:t>
      </w:r>
    </w:p>
    <w:p>
      <w:r>
        <w:br w:type="page"/>
      </w:r>
    </w:p>
    <w:bookmarkEnd w:id="36"/>
    <w:bookmarkEnd w:id="37"/>
    <w:bookmarkStart w:id="43" w:name="functional-analysis"/>
    <w:p>
      <w:pPr>
        <w:pStyle w:val="Heading1"/>
      </w:pPr>
      <w:r>
        <w:t xml:space="preserve">6. Functional analysis</w:t>
      </w:r>
    </w:p>
    <w:p>
      <w:pPr>
        <w:pStyle w:val="FirstParagraph"/>
      </w:pPr>
      <w:r>
        <w:t xml:space="preserve">The functional analysis follows OECD Guidelines Chapter I, Section D.1 (accurate delineation of the transaction). It is based on the interview recorded on</w:t>
      </w:r>
      <w:r>
        <w:t xml:space="preserve"> </w:t>
      </w:r>
      <w:r>
        <w:rPr>
          <w:bCs/>
          <w:b/>
        </w:rPr>
        <w:t xml:space="preserve">«far.interview_date»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«far.interviewee»</w:t>
      </w:r>
      <w:r>
        <w:t xml:space="preserve"> </w:t>
      </w:r>
      <w:r>
        <w:t xml:space="preserve">and was approved by</w:t>
      </w:r>
      <w:r>
        <w:t xml:space="preserve"> </w:t>
      </w:r>
      <w:r>
        <w:rPr>
          <w:bCs/>
          <w:b/>
        </w:rPr>
        <w:t xml:space="preserve">«far.approved_by»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«far.approved_at»</w:t>
      </w:r>
      <w:r>
        <w:t xml:space="preserve">.</w:t>
      </w:r>
    </w:p>
    <w:bookmarkStart w:id="38" w:name="functions-performed"/>
    <w:p>
      <w:pPr>
        <w:pStyle w:val="Heading2"/>
      </w:pPr>
      <w:r>
        <w:t xml:space="preserve">6.1 Functions performed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«entity.entity_name»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«group.parent_name»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«function»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«tested_party»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«counterparty»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«note»</w:t>
            </w:r>
          </w:p>
        </w:tc>
      </w:tr>
    </w:tbl>
    <w:p>
      <w:pPr>
        <w:pStyle w:val="BodyText"/>
      </w:pPr>
      <w:r>
        <w:rPr>
          <w:iCs/>
          <w:i/>
        </w:rPr>
        <w:t xml:space="preserve">Legend: ● primary responsibility · ◐ shared or supporting · — not performed</w:t>
      </w:r>
    </w:p>
    <w:p>
      <w:pPr>
        <w:pStyle w:val="BlockText"/>
      </w:pPr>
      <w:r>
        <w:rPr>
          <w:bCs/>
          <w:b/>
        </w:rPr>
        <w:t xml:space="preserve">[AI SLOT · functions_narrative · max 160 words]</w:t>
      </w:r>
      <w:r>
        <w:t xml:space="preserve"> </w:t>
      </w:r>
      <w:r>
        <w:rPr>
          <w:iCs/>
          <w:i/>
        </w:rPr>
        <w:t xml:space="preserve">Narrate the functions table: what the tested party does and what the parent controls.</w:t>
      </w:r>
    </w:p>
    <w:bookmarkEnd w:id="38"/>
    <w:bookmarkStart w:id="39" w:name="assets-employed"/>
    <w:p>
      <w:pPr>
        <w:pStyle w:val="Heading2"/>
      </w:pPr>
      <w:r>
        <w:t xml:space="preserve">6.2 Assets employed</w:t>
      </w:r>
    </w:p>
    <w:p>
      <w:pPr>
        <w:pStyle w:val="BlockText"/>
      </w:pPr>
      <w:r>
        <w:rPr>
          <w:bCs/>
          <w:b/>
        </w:rPr>
        <w:t xml:space="preserve">[AI SLOT · assets_narrative · max 110 words]</w:t>
      </w:r>
      <w:r>
        <w:t xml:space="preserve"> </w:t>
      </w:r>
      <w:r>
        <w:rPr>
          <w:iCs/>
          <w:i/>
        </w:rPr>
        <w:t xml:space="preserve">Describe tangible and intangible assets employed by the tested party versus the parent.</w:t>
      </w:r>
    </w:p>
    <w:bookmarkEnd w:id="39"/>
    <w:bookmarkStart w:id="40" w:name="risks-assumed"/>
    <w:p>
      <w:pPr>
        <w:pStyle w:val="Heading2"/>
      </w:pPr>
      <w:r>
        <w:t xml:space="preserve">6.3 Risks assumed</w:t>
      </w:r>
    </w:p>
    <w:p>
      <w:pPr>
        <w:pStyle w:val="FirstParagraph"/>
      </w:pPr>
      <w:r>
        <w:t xml:space="preserve">Risks are analysed using the six-step framework in OECD Guidelines Chapter I, D.1.2.1: identification, contractual assumption, functional control, financial capacity, consistency of conduct, and allocation.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Contractually borne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exercised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«risk»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«contractual»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«capacity»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«conclusion»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[AI SLOT · risks_narrative · max 170 words]</w:t>
      </w:r>
      <w:r>
        <w:t xml:space="preserve"> </w:t>
      </w:r>
      <w:r>
        <w:rPr>
          <w:iCs/>
          <w:i/>
        </w:rPr>
        <w:t xml:space="preserve">Apply the six-step risk framework to the key risks, concluding which party controls and bears each.</w:t>
      </w:r>
    </w:p>
    <w:bookmarkEnd w:id="40"/>
    <w:bookmarkStart w:id="41" w:name="characterisation"/>
    <w:p>
      <w:pPr>
        <w:pStyle w:val="Heading2"/>
      </w:pPr>
      <w:r>
        <w:t xml:space="preserve">6.4 Characterisation</w:t>
      </w:r>
    </w:p>
    <w:p>
      <w:pPr>
        <w:pStyle w:val="BlockText"/>
      </w:pPr>
      <w:r>
        <w:rPr>
          <w:bCs/>
          <w:b/>
        </w:rPr>
        <w:t xml:space="preserve">[AI SLOT · characterisation · max 110 words]</w:t>
      </w:r>
      <w:r>
        <w:t xml:space="preserve"> </w:t>
      </w:r>
      <w:r>
        <w:rPr>
          <w:iCs/>
          <w:i/>
        </w:rPr>
        <w:t xml:space="preserve">Conclude the entity’s characterisation (e.g. limited-risk distributor) and the expected profile of returns.</w:t>
      </w:r>
    </w:p>
    <w:bookmarkEnd w:id="41"/>
    <w:bookmarkStart w:id="42" w:name="points-raised-for-consultant-review"/>
    <w:p>
      <w:pPr>
        <w:pStyle w:val="Heading2"/>
      </w:pPr>
      <w:r>
        <w:t xml:space="preserve">6.5 Points raised for consultant review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«flag»</w:t>
      </w:r>
    </w:p>
    <w:bookmarkEnd w:id="42"/>
    <w:bookmarkEnd w:id="43"/>
    <w:bookmarkStart w:id="47" w:name="selection-of-the-transfer-pricing-method"/>
    <w:p>
      <w:pPr>
        <w:pStyle w:val="Heading1"/>
      </w:pPr>
      <w:r>
        <w:t xml:space="preserve">7. Selection of the transfer pricing method</w:t>
      </w:r>
    </w:p>
    <w:bookmarkStart w:id="44" w:name="methods-considered"/>
    <w:p>
      <w:pPr>
        <w:pStyle w:val="Heading2"/>
      </w:pPr>
      <w:r>
        <w:t xml:space="preserve">7.1 Methods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Comparable Uncontrolled Price (CUP)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«methods.cup.applied»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«methods.cup.reason»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Resale Price 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«methods.rpm.applied»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«methods.rpm.reason»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Plus 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«methods.cpm_cost_plus.applied»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«methods.cpm_cost_plus.reason»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Net Margin Method (TNMM)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«methods.tnmm.applied»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«methods.tnmm.reason»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Split 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«methods.psm.applied»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«methods.psm.reason»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[AI SLOT · method_selection · max 150 words]</w:t>
      </w:r>
      <w:r>
        <w:t xml:space="preserve"> </w:t>
      </w:r>
      <w:r>
        <w:rPr>
          <w:iCs/>
          <w:i/>
        </w:rPr>
        <w:t xml:space="preserve">Explain why TNMM is the most appropriate method, referencing the methods table. Mention the US CPM equivalent.</w:t>
      </w:r>
    </w:p>
    <w:bookmarkEnd w:id="44"/>
    <w:bookmarkStart w:id="45" w:name="selection-of-the-tested-party"/>
    <w:p>
      <w:pPr>
        <w:pStyle w:val="Heading2"/>
      </w:pPr>
      <w:r>
        <w:t xml:space="preserve">7.2 Selection of the tested party</w:t>
      </w:r>
    </w:p>
    <w:p>
      <w:pPr>
        <w:pStyle w:val="BlockText"/>
      </w:pPr>
      <w:r>
        <w:rPr>
          <w:bCs/>
          <w:b/>
        </w:rPr>
        <w:t xml:space="preserve">[AI SLOT · tested_party_selection · max 100 words]</w:t>
      </w:r>
      <w:r>
        <w:t xml:space="preserve"> </w:t>
      </w:r>
      <w:r>
        <w:rPr>
          <w:iCs/>
          <w:i/>
        </w:rPr>
        <w:t xml:space="preserve">Explain why this entity is the tested party (least complex, no unique intangibles).</w:t>
      </w:r>
    </w:p>
    <w:bookmarkEnd w:id="45"/>
    <w:bookmarkStart w:id="46" w:name="selection-of-the-profit-level-indicator"/>
    <w:p>
      <w:pPr>
        <w:pStyle w:val="Heading2"/>
      </w:pPr>
      <w:r>
        <w:t xml:space="preserve">7.3 Selection of the profit level indicator</w:t>
      </w:r>
    </w:p>
    <w:p>
      <w:pPr>
        <w:pStyle w:val="BlockText"/>
      </w:pPr>
      <w:r>
        <w:rPr>
          <w:bCs/>
          <w:b/>
        </w:rPr>
        <w:t xml:space="preserve">[AI SLOT · pli_selection · max 100 words]</w:t>
      </w:r>
      <w:r>
        <w:t xml:space="preserve"> </w:t>
      </w:r>
      <w:r>
        <w:rPr>
          <w:iCs/>
          <w:i/>
        </w:rPr>
        <w:t xml:space="preserve">Explain why the chosen PLI fits the entity’s functions (operating margin for distributors; net cost plus for service providers).</w:t>
      </w:r>
    </w:p>
    <w:p>
      <w:r>
        <w:br w:type="page"/>
      </w:r>
    </w:p>
    <w:bookmarkEnd w:id="46"/>
    <w:bookmarkEnd w:id="47"/>
    <w:bookmarkStart w:id="52" w:name="economic-analysis"/>
    <w:p>
      <w:pPr>
        <w:pStyle w:val="Heading1"/>
      </w:pPr>
      <w:r>
        <w:t xml:space="preserve">8. Economic analysis</w:t>
      </w:r>
    </w:p>
    <w:bookmarkStart w:id="48" w:name="search-strategy"/>
    <w:p>
      <w:pPr>
        <w:pStyle w:val="Heading2"/>
      </w:pPr>
      <w:r>
        <w:t xml:space="preserve">8.1 Search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«search.databases»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«search.date»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«search.geography»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codes / keywords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«search.industry_codes»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analysed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«benchmark.years_label»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Independence 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«search.independence_criterion»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[AI SLOT · search_strategy · max 110 words]</w:t>
      </w:r>
      <w:r>
        <w:t xml:space="preserve"> </w:t>
      </w:r>
      <w:r>
        <w:rPr>
          <w:iCs/>
          <w:i/>
        </w:rPr>
        <w:t xml:space="preserve">Describe the search and screening approach and the independence and loss criteria. Note that the candidate set is illustrative.</w:t>
      </w:r>
    </w:p>
    <w:bookmarkEnd w:id="48"/>
    <w:bookmarkStart w:id="49" w:name="screening"/>
    <w:p>
      <w:pPr>
        <w:pStyle w:val="Heading2"/>
      </w:pPr>
      <w:r>
        <w:t xml:space="preserve">8.2 Screening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Companies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«step»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«criterion»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«remaining»</w:t>
            </w:r>
          </w:p>
        </w:tc>
      </w:tr>
    </w:tbl>
    <w:p>
      <w:pPr>
        <w:pStyle w:val="BodyText"/>
      </w:pPr>
      <w:r>
        <w:t xml:space="preserve">Each candidate’s accept or reject decision was proposed by the model with a stated reason and reviewed by the consultant (</w:t>
      </w:r>
      <w:r>
        <w:rPr>
          <w:bCs/>
          <w:b/>
        </w:rPr>
        <w:t xml:space="preserve">«screening_overrides»</w:t>
      </w:r>
      <w:r>
        <w:t xml:space="preserve"> </w:t>
      </w:r>
      <w:r>
        <w:t xml:space="preserve">override(s)). The full matrix is in Appendix A.</w:t>
      </w:r>
    </w:p>
    <w:bookmarkEnd w:id="49"/>
    <w:bookmarkStart w:id="50" w:name="final-comparable-set"/>
    <w:p>
      <w:pPr>
        <w:pStyle w:val="Heading2"/>
      </w:pPr>
      <w:r>
        <w:t xml:space="preserve">8.3 Final comparable 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«benchmark.pli_type»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«benchmark.years_label»</w:t>
            </w:r>
            <w:r>
              <w:t xml:space="preserve"> </w:t>
            </w:r>
            <w:r>
              <w:t xml:space="preserve">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«comp_id»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«company_name»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«country»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«weighted_pli»</w:t>
            </w:r>
          </w:p>
        </w:tc>
      </w:tr>
    </w:tbl>
    <w:bookmarkEnd w:id="50"/>
    <w:bookmarkStart w:id="51" w:name="arms-length-range"/>
    <w:p>
      <w:pPr>
        <w:pStyle w:val="Heading2"/>
      </w:pPr>
      <w:r>
        <w:t xml:space="preserve">8.4 Arm’s length range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«benchmark.pli_type»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comparables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quartile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«benchmark.lq»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«benchmark.median»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quartile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«benchmark.uq»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[AI SLOT · range_interpretation · max 90 words]</w:t>
      </w:r>
      <w:r>
        <w:t xml:space="preserve"> </w:t>
      </w:r>
      <w:r>
        <w:rPr>
          <w:iCs/>
          <w:i/>
        </w:rPr>
        <w:t xml:space="preserve">Explain the interquartile range and why the median is the adjustment point under this analysis.</w:t>
      </w:r>
    </w:p>
    <w:bookmarkEnd w:id="51"/>
    <w:bookmarkEnd w:id="52"/>
    <w:bookmarkStart w:id="57" w:name="results-and-conclusion"/>
    <w:p>
      <w:pPr>
        <w:pStyle w:val="Heading1"/>
      </w:pPr>
      <w:r>
        <w:t xml:space="preserve">9. Results and conclusion</w:t>
      </w:r>
    </w:p>
    <w:bookmarkStart w:id="53" w:name="tested-party-results"/>
    <w:p>
      <w:pPr>
        <w:pStyle w:val="Heading2"/>
      </w:pPr>
      <w:r>
        <w:t xml:space="preserve">9.1 Tested party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(</w:t>
            </w:r>
            <w:r>
              <w:rPr>
                <w:bCs/>
                <w:b/>
              </w:rPr>
              <w:t xml:space="preserve">«entity.currency»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costs (</w:t>
            </w:r>
            <w:r>
              <w:rPr>
                <w:bCs/>
                <w:b/>
              </w:rPr>
              <w:t xml:space="preserve">«entity.currency»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profit (</w:t>
            </w:r>
            <w:r>
              <w:rPr>
                <w:bCs/>
                <w:b/>
              </w:rPr>
              <w:t xml:space="preserve">«entity.currency»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«benchmark.pli_type»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</w:t>
            </w:r>
            <w:r>
              <w:rPr>
                <w:bCs/>
                <w:b/>
              </w:rPr>
              <w:t xml:space="preserve">«fiscal_year»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«revenue»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«total_costs»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«operating_profit»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«pli»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«benchmark.tested_pli»</w:t>
            </w:r>
          </w:p>
        </w:tc>
      </w:tr>
    </w:tbl>
    <w:bookmarkEnd w:id="53"/>
    <w:bookmarkStart w:id="54" w:name="comparison-with-the-range"/>
    <w:p>
      <w:pPr>
        <w:pStyle w:val="Heading2"/>
      </w:pPr>
      <w:r>
        <w:t xml:space="preserve">9.2 Comparison with the range</w:t>
      </w:r>
    </w:p>
    <w:p>
      <w:pPr>
        <w:pStyle w:val="BlockText"/>
      </w:pPr>
      <w:r>
        <w:rPr>
          <w:bCs/>
          <w:b/>
        </w:rPr>
        <w:t xml:space="preserve">[AI SLOT · results_comparison · max 140 words]</w:t>
      </w:r>
      <w:r>
        <w:t xml:space="preserve"> </w:t>
      </w:r>
      <w:r>
        <w:rPr>
          <w:iCs/>
          <w:i/>
        </w:rPr>
        <w:t xml:space="preserve">Compare the tested party’s weighted and current-year results with the range, and explain the drivers of any deviation using FAR flags and triggers (e.g. a new royalty).</w:t>
      </w:r>
    </w:p>
    <w:bookmarkEnd w:id="54"/>
    <w:bookmarkStart w:id="55" w:name="adjustment"/>
    <w:p>
      <w:pPr>
        <w:pStyle w:val="Heading2"/>
      </w:pPr>
      <w:r>
        <w:t xml:space="preserve">9.3 Adjustment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 base, FY</w:t>
            </w:r>
            <w:r>
              <w:rPr>
                <w:bCs/>
                <w:b/>
              </w:rPr>
              <w:t xml:space="preserve">«year»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«entity.currency»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«benchmark.pli_base_local»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party PLI, FY</w:t>
            </w:r>
            <w:r>
              <w:rPr>
                <w:bCs/>
                <w:b/>
              </w:rPr>
              <w:t xml:space="preserve">«year»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«benchmark.current_pli»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PLI (median)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«benchmark.median»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(</w:t>
            </w:r>
            <w:r>
              <w:rPr>
                <w:bCs/>
                <w:b/>
              </w:rPr>
              <w:t xml:space="preserve">«entity.currency»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«benchmark.adjustment_local»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(USD)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«benchmark.adjustment_usd»</w:t>
            </w:r>
          </w:p>
        </w:tc>
      </w:tr>
    </w:tbl>
    <w:bookmarkEnd w:id="55"/>
    <w:bookmarkStart w:id="56" w:name="conclusion"/>
    <w:p>
      <w:pPr>
        <w:pStyle w:val="Heading2"/>
      </w:pPr>
      <w:r>
        <w:t xml:space="preserve">9.4 Conclusion</w:t>
      </w:r>
    </w:p>
    <w:p>
      <w:pPr>
        <w:pStyle w:val="BlockText"/>
      </w:pPr>
      <w:r>
        <w:rPr>
          <w:bCs/>
          <w:b/>
        </w:rPr>
        <w:t xml:space="preserve">[AI SLOT · conclusion · max 120 words]</w:t>
      </w:r>
      <w:r>
        <w:t xml:space="preserve"> </w:t>
      </w:r>
      <w:r>
        <w:rPr>
          <w:iCs/>
          <w:i/>
        </w:rPr>
        <w:t xml:space="preserve">State the arm’s length conclusion and the recommended adjustment. Do not introduce new numbers.</w:t>
      </w:r>
    </w:p>
    <w:p>
      <w:r>
        <w:br w:type="page"/>
      </w:r>
    </w:p>
    <w:bookmarkEnd w:id="56"/>
    <w:bookmarkEnd w:id="57"/>
    <w:bookmarkStart w:id="58" w:name="compliance-triggers-and-recommendations"/>
    <w:p>
      <w:pPr>
        <w:pStyle w:val="Heading1"/>
      </w:pPr>
      <w:r>
        <w:t xml:space="preserve">10. Compliance triggers and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«severity»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«rule_id»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«detail»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«action»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«reference»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[AI SLOT · recommendations · max 170 words]</w:t>
      </w:r>
      <w:r>
        <w:t xml:space="preserve"> </w:t>
      </w:r>
      <w:r>
        <w:rPr>
          <w:iCs/>
          <w:i/>
        </w:rPr>
        <w:t xml:space="preserve">Turn the triggers into prioritised, concrete actions (e.g. draft the licence agreement, year-end true-up), each with its reference.</w:t>
      </w:r>
    </w:p>
    <w:p>
      <w:r>
        <w:br w:type="page"/>
      </w:r>
    </w:p>
    <w:bookmarkEnd w:id="58"/>
    <w:bookmarkStart w:id="59" w:name="appendix-a-comparable-screening-matrix"/>
    <w:p>
      <w:pPr>
        <w:pStyle w:val="Heading1"/>
      </w:pPr>
      <w:r>
        <w:t xml:space="preserve">Appendix A: Comparable screening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«comp_id»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«company_name»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«ai_decision»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«final_decision»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«criterion»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«reason»</w:t>
            </w:r>
          </w:p>
        </w:tc>
      </w:tr>
    </w:tbl>
    <w:bookmarkEnd w:id="59"/>
    <w:bookmarkStart w:id="60" w:name="appendix-b-audit-trail"/>
    <w:p>
      <w:pPr>
        <w:pStyle w:val="Heading1"/>
      </w:pPr>
      <w:r>
        <w:t xml:space="preserve">Appendix B: Audit trail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by consultant?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«time»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«step»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«detail»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«changed_label»</w:t>
            </w:r>
          </w:p>
        </w:tc>
      </w:tr>
    </w:tbl>
    <w:bookmarkEnd w:id="60"/>
    <w:bookmarkStart w:id="61" w:name="appendix-c-assumptions-and-limitations"/>
    <w:p>
      <w:pPr>
        <w:pStyle w:val="Heading1"/>
      </w:pPr>
      <w:r>
        <w:t xml:space="preserve">Appendix C: Assumptions and limitations</w:t>
      </w:r>
    </w:p>
    <w:p>
      <w:pPr>
        <w:pStyle w:val="BlockText"/>
      </w:pPr>
      <w:r>
        <w:rPr>
          <w:bCs/>
          <w:b/>
        </w:rPr>
        <w:t xml:space="preserve">[AI SLOT · assumptions_limitations · max 140 words]</w:t>
      </w:r>
      <w:r>
        <w:t xml:space="preserve"> </w:t>
      </w:r>
      <w:r>
        <w:rPr>
          <w:iCs/>
          <w:i/>
        </w:rPr>
        <w:t xml:space="preserve">List assumptions and limitations: illustrative data and thresholds, AI-assisted drafting with consultant approval, and items marked for confirmation.</w:t>
      </w:r>
    </w:p>
    <w:bookmarkEnd w:id="61"/>
    <w:bookmarkStart w:id="62" w:name="appendix-d-glossary"/>
    <w:p>
      <w:pPr>
        <w:pStyle w:val="Heading1"/>
      </w:pPr>
      <w:r>
        <w:t xml:space="preserve">Appendix D: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Arm’s length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companies must price transactions as unrelated parties would.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less complex party whose profit is compared with comparables.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TNMM / 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the tested party’s net profit margin with comparable companies’ margins.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level indicator: the margin ratio being compared (e.g. operating margin, net cost plus).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Interquartile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middle 50% of the comparables’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of the functions performed, assets used and risks assumed.</w:t>
            </w:r>
          </w:p>
        </w:tc>
      </w:tr>
    </w:tbl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1"/>
        <w:szCs w:val="21"/>
        <w:rFonts w:ascii="Calibri" w:asciiTheme="minorHAnsi" w:cstheme="minorBidi" w:eastAsiaTheme="minorHAnsi" w:hAnsi="Calibr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Pricing Documentation: Local File</dc:title>
  <dc:creator/>
  <cp:keywords/>
  <dcterms:created xsi:type="dcterms:W3CDTF">2026-09-29T21:30:53Z</dcterms:created>
  <dcterms:modified xsi:type="dcterms:W3CDTF">2026-09-29T21:30:53Z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«entity.entity_name» · Fiscal year ended «fiscal_year_end_label»</vt:lpwstr>
  </property>
</Properties>
</file>