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About MadeOverInfluence</w:t>
      </w:r>
      <w:r w:rsidDel="00000000" w:rsidR="00000000" w:rsidRPr="00000000">
        <w:rPr>
          <w:rtl w:val="0"/>
        </w:rPr>
        <w:br w:type="textWrapping"/>
        <w:t xml:space="preserve">At MOI, we exist to unite creators and brands through meaningful, lasting partnerships. For creators, we provide hands-on guidance, managing everything from brand collaborations to OTT/Movies, ensuring they can focus on their craft while we position them for bigger opportunities.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brands, we offer end-to-end campaign execution, aligning the perfect talent fit to deliver impactful, measurable results. By championing both sides equally, we ensure that every partnership counts and every collaboration thrives.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