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6"/>
          <w:szCs w:val="36"/>
          <w:rtl w:val="0"/>
        </w:rPr>
        <w:t xml:space="preserve">College Management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college has basically 5 departments ­ Computer, Electronics, Electrical, Civil and Architecture. Each</w:t>
      </w:r>
    </w:p>
    <w:p w:rsidR="00000000" w:rsidDel="00000000" w:rsidP="00000000" w:rsidRDefault="00000000" w:rsidRPr="00000000">
      <w:pPr>
        <w:contextualSpacing w:val="0"/>
      </w:pPr>
      <w:r w:rsidDel="00000000" w:rsidR="00000000" w:rsidRPr="00000000">
        <w:rPr>
          <w:rtl w:val="0"/>
        </w:rPr>
        <w:t xml:space="preserve">department is responsible for managing classes, publishing daily class routine, helding regular Alternate Day tests and allocating period to subject teachers. Students must go to their allocated room number and must carry ID card at all times. The records of each student under corresponding department is maintained by the department itself. Each student is identified by the name, roll number and faculty. Students must give regular Alternate Day Tests, submit the given assignments to the respective subject  teacher and also attend regular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exam section is responsible for conducting ADT and publishing results, archive student performance records and consult their parents accordingly. The administration is responsible for managing resources in the college. The account section issues monthly bills to the student. It only accepts payment in cash, issues receipt and records the students paid as well as pending dues, extra charges if any, along with affiliation and exam fees.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251216" cy="4271963"/>
            <wp:effectExtent b="0" l="0" r="0" t="0"/>
            <wp:docPr descr="model.PNG" id="1" name="image01.png"/>
            <a:graphic>
              <a:graphicData uri="http://schemas.openxmlformats.org/drawingml/2006/picture">
                <pic:pic>
                  <pic:nvPicPr>
                    <pic:cNvPr descr="model.PNG" id="0" name="image01.png"/>
                    <pic:cNvPicPr preferRelativeResize="0"/>
                  </pic:nvPicPr>
                  <pic:blipFill>
                    <a:blip r:embed="rId5"/>
                    <a:srcRect b="0" l="0" r="0" t="0"/>
                    <a:stretch>
                      <a:fillRect/>
                    </a:stretch>
                  </pic:blipFill>
                  <pic:spPr>
                    <a:xfrm>
                      <a:off x="0" y="0"/>
                      <a:ext cx="6251216" cy="4271963"/>
                    </a:xfrm>
                    <a:prstGeom prst="rect"/>
                    <a:ln/>
                  </pic:spPr>
                </pic:pic>
              </a:graphicData>
            </a:graphic>
          </wp:inline>
        </w:drawing>
      </w:r>
      <w:r w:rsidDel="00000000" w:rsidR="00000000" w:rsidRPr="00000000">
        <w:rPr>
          <w:rtl w:val="0"/>
        </w:rPr>
      </w:r>
    </w:p>
    <w:sectPr>
      <w:pgSz w:h="16838" w:w="11906"/>
      <w:pgMar w:bottom="720" w:top="720" w:left="144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