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30A1B">
      <w:pPr>
        <w:spacing w:before="0" w:after="60"/>
        <w:jc w:val="both"/>
      </w:pPr>
    </w:p>
    <w:p w14:paraId="1F84AD5A">
      <w:pPr>
        <w:pBdr>
          <w:bottom w:val="single" w:color="000000" w:sz="4" w:space="1"/>
        </w:pBdr>
        <w:spacing w:before="0" w:after="80"/>
      </w:pPr>
    </w:p>
    <w:p w14:paraId="2A0E7E8C">
      <w:pPr>
        <w:spacing w:before="120" w:after="80"/>
        <w:jc w:val="center"/>
      </w:pPr>
      <w:r>
        <w:rPr>
          <w:rFonts w:ascii="Times New Roman" w:hAnsi="Times New Roman" w:eastAsia="Times New Roman" w:cs="Times New Roman"/>
          <w:b/>
          <w:bCs/>
          <w:sz w:val="48"/>
          <w:szCs w:val="48"/>
        </w:rPr>
        <w:t>Retrieval-Augmented Generation for Reducing Hallucinations in Drug-Related Question Answering Systems</w:t>
      </w:r>
    </w:p>
    <w:p w14:paraId="725FC53C">
      <w:pPr>
        <w:spacing w:before="0" w:after="40"/>
        <w:jc w:val="center"/>
      </w:pPr>
      <w:r>
        <w:rPr>
          <w:rFonts w:ascii="Times New Roman" w:hAnsi="Times New Roman" w:eastAsia="Times New Roman" w:cs="Times New Roman"/>
          <w:b/>
          <w:bCs/>
          <w:sz w:val="22"/>
          <w:szCs w:val="22"/>
        </w:rPr>
        <w:t>Pratik Kumar</w:t>
      </w:r>
      <w:r>
        <w:rPr>
          <w:rFonts w:ascii="Times New Roman" w:hAnsi="Times New Roman" w:eastAsia="Times New Roman" w:cs="Times New Roman"/>
          <w:sz w:val="22"/>
          <w:szCs w:val="22"/>
        </w:rPr>
        <w:t xml:space="preserve">, Student Member, IEEE, and </w:t>
      </w:r>
      <w:r>
        <w:rPr>
          <w:rFonts w:ascii="Times New Roman" w:hAnsi="Times New Roman" w:eastAsia="Times New Roman" w:cs="Times New Roman"/>
          <w:b/>
          <w:bCs/>
          <w:sz w:val="22"/>
          <w:szCs w:val="22"/>
        </w:rPr>
        <w:t>Rajat Verma</w:t>
      </w:r>
    </w:p>
    <w:p w14:paraId="6FB5DB3D">
      <w:pPr>
        <w:spacing w:before="0" w:after="40"/>
        <w:jc w:val="center"/>
      </w:pPr>
      <w:r>
        <w:rPr>
          <w:rFonts w:ascii="Times New Roman" w:hAnsi="Times New Roman" w:eastAsia="Times New Roman" w:cs="Times New Roman"/>
          <w:i/>
          <w:iCs/>
          <w:sz w:val="18"/>
          <w:szCs w:val="18"/>
        </w:rPr>
        <w:t>Department of Computer Science &amp; Engineering, Dronacharya Group of Institutions, Greater Noida 201308, India</w:t>
      </w:r>
    </w:p>
    <w:p w14:paraId="756FFC4D">
      <w:pPr>
        <w:spacing w:before="0" w:after="40"/>
        <w:jc w:val="center"/>
      </w:pPr>
      <w:r>
        <w:rPr>
          <w:rFonts w:ascii="Times New Roman" w:hAnsi="Times New Roman" w:eastAsia="Times New Roman" w:cs="Times New Roman"/>
          <w:sz w:val="18"/>
          <w:szCs w:val="18"/>
        </w:rPr>
        <w:t>Corresponding author: Pratik Kumar (e-mail: pratikku</w:t>
      </w:r>
      <w:r>
        <w:rPr>
          <w:rFonts w:hint="default" w:cs="Times New Roman"/>
          <w:sz w:val="18"/>
          <w:szCs w:val="18"/>
          <w:lang w:val="en-US"/>
        </w:rPr>
        <w:t>m</w:t>
      </w:r>
      <w:bookmarkStart w:id="0" w:name="_GoBack"/>
      <w:bookmarkEnd w:id="0"/>
      <w:r>
        <w:rPr>
          <w:rFonts w:ascii="Times New Roman" w:hAnsi="Times New Roman" w:eastAsia="Times New Roman" w:cs="Times New Roman"/>
          <w:sz w:val="18"/>
          <w:szCs w:val="18"/>
        </w:rPr>
        <w:t>ar182006@gmail.com)</w:t>
      </w:r>
    </w:p>
    <w:p w14:paraId="4146B62B">
      <w:pPr>
        <w:pBdr>
          <w:bottom w:val="single" w:color="000000" w:sz="4" w:space="1"/>
        </w:pBdr>
        <w:spacing w:before="0" w:after="80"/>
      </w:pPr>
    </w:p>
    <w:p w14:paraId="1784B6FC">
      <w:pPr>
        <w:spacing w:before="80" w:after="40"/>
        <w:jc w:val="both"/>
      </w:pPr>
      <w:r>
        <w:t>ABSTRACT  Large Language Models (LLMs) deployed in pharmaceutical question-answering applications frequently generate clinically dangerous hallucinations — factually incorrect outputs that pose serious patient-safety risks. We propose and evaluate a Retrieval-Augmented Generation (RAG) pipeline that grounds LLM responses in a curated, citation-verified pharmaceutical knowledge base. The system combines dense passage retrieval using Sentence-BERT embeddings, FAISS vector indexing, cross-encoder re-ranking, and Llama 3.2 generation. Evaluated on a purpose-built dataset of 150 drug-related question–answer pairs spanning ten commonly used medications and multiple information categories, our RAG system reduces the hallucination rate from 47.8% to 12.3% — a 74.3% relative reduction — while improving Faithfulness from 0.52 to 0.87 and Factual Accuracy from 0.54 to 0.89. A clinical case study on warfarin–ibuprofen interaction demonstrates that RAG responses provide verifiable, citation-grounded information where the baseline produces potentially life-threatening misinformation. These results establish retrieval-augmented architectures as the preferred approach for safety-critical pharmaceutical AI and provide an open, reproducible evaluation framework.</w:t>
      </w:r>
    </w:p>
    <w:p w14:paraId="740AE6AD">
      <w:pPr>
        <w:spacing w:before="40" w:after="80"/>
        <w:jc w:val="both"/>
      </w:pPr>
      <w:r>
        <w:rPr>
          <w:rFonts w:ascii="Times New Roman" w:hAnsi="Times New Roman" w:eastAsia="Times New Roman" w:cs="Times New Roman"/>
          <w:b/>
          <w:bCs/>
          <w:sz w:val="18"/>
          <w:szCs w:val="18"/>
        </w:rPr>
        <w:t xml:space="preserve">INDEX TERMS  </w:t>
      </w:r>
      <w:r>
        <w:rPr>
          <w:rFonts w:ascii="Times New Roman" w:hAnsi="Times New Roman" w:eastAsia="Times New Roman" w:cs="Times New Roman"/>
          <w:sz w:val="18"/>
          <w:szCs w:val="18"/>
        </w:rPr>
        <w:t>Retrieval-augmented generation, hallucination reduction, drug question answering, large language models, pharmaceutical NLP, patient safety, dense passage retrieval, FAISS, Sentence-BERT.</w:t>
      </w:r>
    </w:p>
    <w:p w14:paraId="11402E7B">
      <w:pPr>
        <w:pBdr>
          <w:bottom w:val="single" w:color="000000" w:sz="4" w:space="1"/>
        </w:pBdr>
        <w:spacing w:before="0" w:after="80"/>
      </w:pPr>
    </w:p>
    <w:p w14:paraId="2FA70184">
      <w:pPr>
        <w:sectPr>
          <w:type w:val="continuous"/>
          <w:pgSz w:w="12240" w:h="15840"/>
          <w:pgMar w:top="1440" w:right="900" w:bottom="1440" w:left="900" w:header="708" w:footer="708" w:gutter="0"/>
          <w:cols w:space="720" w:num="1"/>
          <w:docGrid w:linePitch="360" w:charSpace="0"/>
        </w:sectPr>
      </w:pPr>
    </w:p>
    <w:p w14:paraId="31B4F92E">
      <w:pPr>
        <w:spacing w:before="160" w:after="80"/>
        <w:jc w:val="center"/>
      </w:pPr>
      <w:r>
        <w:rPr>
          <w:rFonts w:ascii="Times New Roman" w:hAnsi="Times New Roman" w:eastAsia="Times New Roman" w:cs="Times New Roman"/>
          <w:b/>
          <w:bCs/>
          <w:smallCaps/>
          <w:sz w:val="20"/>
          <w:szCs w:val="20"/>
        </w:rPr>
        <w:t>I. Introduction</w:t>
      </w:r>
    </w:p>
    <w:p w14:paraId="410896F8">
      <w:pPr>
        <w:spacing w:before="0" w:after="60" w:line="240" w:lineRule="auto"/>
        <w:ind w:firstLine="360"/>
        <w:jc w:val="both"/>
      </w:pPr>
      <w:r>
        <w:rPr>
          <w:rFonts w:ascii="Times New Roman" w:hAnsi="Times New Roman" w:eastAsia="Times New Roman" w:cs="Times New Roman"/>
          <w:sz w:val="20"/>
          <w:szCs w:val="20"/>
        </w:rPr>
        <w:t>The rapid adoption of conversational AI in consumer health applications has placed Large Language Models at the center of medical information delivery. Systems such as ChatGPT, Llama, and Mistral respond to millions of health-related queries daily — including questions about drug interactions, dosage thresholds, contraindications, and adverse effects. While LLMs excel at fluent, contextually coherent language generation, they are prone to fabricating plausible-sounding but clinically incorrect information, a failure mode termed hallucination [1].</w:t>
      </w:r>
    </w:p>
    <w:p w14:paraId="08A03657">
      <w:pPr>
        <w:spacing w:before="0" w:after="60" w:line="240" w:lineRule="auto"/>
        <w:ind w:firstLine="360"/>
        <w:jc w:val="both"/>
      </w:pPr>
      <w:r>
        <w:rPr>
          <w:rFonts w:ascii="Times New Roman" w:hAnsi="Times New Roman" w:eastAsia="Times New Roman" w:cs="Times New Roman"/>
          <w:sz w:val="20"/>
          <w:szCs w:val="20"/>
        </w:rPr>
        <w:t>In pharmaceutical contexts, a hallucinated drug interaction or incorrect dosage instruction is not merely an informational error; it can precipitate adverse drug events and medication errors. The World Health Organization estimates that medication errors injure approximately 1.3 million people annually in the United States alone [2], and misinformation from AI systems represents an undercharacterized and growing risk vector.</w:t>
      </w:r>
    </w:p>
    <w:p w14:paraId="281F5675">
      <w:pPr>
        <w:spacing w:before="0" w:after="60" w:line="240" w:lineRule="auto"/>
        <w:ind w:firstLine="360"/>
        <w:jc w:val="both"/>
      </w:pPr>
      <w:r>
        <w:rPr>
          <w:rFonts w:ascii="Times New Roman" w:hAnsi="Times New Roman" w:eastAsia="Times New Roman" w:cs="Times New Roman"/>
          <w:sz w:val="20"/>
          <w:szCs w:val="20"/>
        </w:rPr>
        <w:t>A critical gap in the current literature is the absence of systematic, reproducible evaluations of hallucination-mitigation strategies specifically tailored to drug-related question answering. Existing work focuses on general-domain benchmarks [3] or structured clinical NLP tasks rather than the conversational pharmaceutical QA scenario that end-users encounter [4]. Retrieval-Augmented Generation (RAG), which grounds model responses in retrieved external knowledge [5], offers a principled solution, but its efficacy in the pharmaceutical domain has not been rigorously evaluated.</w:t>
      </w:r>
    </w:p>
    <w:p w14:paraId="220FD2CA">
      <w:pPr>
        <w:spacing w:before="0" w:after="60" w:line="240" w:lineRule="auto"/>
        <w:ind w:firstLine="360"/>
        <w:jc w:val="both"/>
      </w:pPr>
      <w:r>
        <w:rPr>
          <w:rFonts w:ascii="Times New Roman" w:hAnsi="Times New Roman" w:eastAsia="Times New Roman" w:cs="Times New Roman"/>
          <w:sz w:val="20"/>
          <w:szCs w:val="20"/>
        </w:rPr>
        <w:t>This paper makes the following primary contributions:</w:t>
      </w:r>
    </w:p>
    <w:p w14:paraId="42902B50">
      <w:pPr>
        <w:spacing w:before="30" w:after="30" w:line="240" w:lineRule="auto"/>
        <w:ind w:left="560" w:hanging="280"/>
        <w:jc w:val="both"/>
      </w:pPr>
      <w:r>
        <w:t>•  Construction of a pharmaceutical QA dataset of 150 drug-related question–answer pairs covering ten commonly prescribed medications.</w:t>
      </w:r>
    </w:p>
    <w:p w14:paraId="019E00BC">
      <w:pPr>
        <w:spacing w:before="30" w:after="30" w:line="240" w:lineRule="auto"/>
        <w:ind w:left="560" w:hanging="280"/>
        <w:jc w:val="both"/>
      </w:pPr>
      <w:r>
        <w:rPr>
          <w:rFonts w:ascii="Times New Roman" w:hAnsi="Times New Roman" w:eastAsia="Times New Roman" w:cs="Times New Roman"/>
          <w:sz w:val="20"/>
          <w:szCs w:val="20"/>
        </w:rPr>
        <w:t>•  Implementation and evaluation of a full RAG pipeline combining Sentence-BERT retrieval, FAISS indexing, cross-encoder re-ranking, and Llama 3.2 generation.</w:t>
      </w:r>
    </w:p>
    <w:p w14:paraId="14318D84">
      <w:pPr>
        <w:spacing w:before="30" w:after="30" w:line="240" w:lineRule="auto"/>
        <w:ind w:left="560" w:hanging="280"/>
        <w:jc w:val="both"/>
      </w:pPr>
      <w:r>
        <w:t>•  Rigorous quantitative comparison across five metrics — Hallucination Rate, Faithfulness, Answer Relevance, Factual Accuracy, and Context Precision.</w:t>
      </w:r>
    </w:p>
    <w:p w14:paraId="6259C73F">
      <w:pPr>
        <w:spacing w:before="30" w:after="30" w:line="240" w:lineRule="auto"/>
        <w:ind w:left="560" w:hanging="280"/>
        <w:jc w:val="both"/>
      </w:pPr>
      <w:r>
        <w:rPr>
          <w:rFonts w:ascii="Times New Roman" w:hAnsi="Times New Roman" w:eastAsia="Times New Roman" w:cs="Times New Roman"/>
          <w:sz w:val="20"/>
          <w:szCs w:val="20"/>
        </w:rPr>
        <w:t>•  A clinical case study demonstrating the qualitative difference between baseline and RAG responses on a high-stakes warfarin interaction query.</w:t>
      </w:r>
    </w:p>
    <w:p w14:paraId="0787ABED">
      <w:pPr>
        <w:spacing w:before="160" w:after="80"/>
        <w:jc w:val="center"/>
      </w:pPr>
      <w:r>
        <w:rPr>
          <w:rFonts w:ascii="Times New Roman" w:hAnsi="Times New Roman" w:eastAsia="Times New Roman" w:cs="Times New Roman"/>
          <w:b/>
          <w:bCs/>
          <w:smallCaps/>
          <w:sz w:val="20"/>
          <w:szCs w:val="20"/>
        </w:rPr>
        <w:t>II. Related Work</w:t>
      </w:r>
    </w:p>
    <w:p w14:paraId="4A6F91F6">
      <w:pPr>
        <w:spacing w:before="120" w:after="60"/>
        <w:jc w:val="left"/>
      </w:pPr>
      <w:r>
        <w:rPr>
          <w:rFonts w:ascii="Times New Roman" w:hAnsi="Times New Roman" w:eastAsia="Times New Roman" w:cs="Times New Roman"/>
          <w:b/>
          <w:bCs/>
          <w:i/>
          <w:iCs/>
          <w:sz w:val="20"/>
          <w:szCs w:val="20"/>
        </w:rPr>
        <w:t>A. Hallucination in LLMs</w:t>
      </w:r>
    </w:p>
    <w:p w14:paraId="17802FA3">
      <w:pPr>
        <w:spacing w:before="0" w:after="60" w:line="240" w:lineRule="auto"/>
        <w:ind w:firstLine="360"/>
        <w:jc w:val="both"/>
      </w:pPr>
      <w:r>
        <w:rPr>
          <w:rFonts w:ascii="Times New Roman" w:hAnsi="Times New Roman" w:eastAsia="Times New Roman" w:cs="Times New Roman"/>
          <w:sz w:val="20"/>
          <w:szCs w:val="20"/>
        </w:rPr>
        <w:t>Ji et al. [1] provide a comprehensive taxonomy of hallucination in generative models, distinguishing intrinsic errors (contradicting source material) from extrinsic errors (introducing unsupported facts). Singhal et al. [6] demonstrate that GPT-4 passes the USMLE yet still produces critical factual errors in approximately 17% of clinical reasoning tasks, underscoring that general capability does not guarantee pharmaceutical reliability.</w:t>
      </w:r>
    </w:p>
    <w:p w14:paraId="1AEB9E92">
      <w:pPr>
        <w:spacing w:before="120" w:after="60"/>
        <w:jc w:val="left"/>
      </w:pPr>
      <w:r>
        <w:rPr>
          <w:rFonts w:ascii="Times New Roman" w:hAnsi="Times New Roman" w:eastAsia="Times New Roman" w:cs="Times New Roman"/>
          <w:b/>
          <w:bCs/>
          <w:i/>
          <w:iCs/>
          <w:sz w:val="20"/>
          <w:szCs w:val="20"/>
        </w:rPr>
        <w:t>B. Medical Question Answering</w:t>
      </w:r>
    </w:p>
    <w:p w14:paraId="363086C5">
      <w:pPr>
        <w:spacing w:before="0" w:after="60" w:line="240" w:lineRule="auto"/>
        <w:ind w:firstLine="360"/>
        <w:jc w:val="both"/>
      </w:pPr>
      <w:r>
        <w:rPr>
          <w:rFonts w:ascii="Times New Roman" w:hAnsi="Times New Roman" w:eastAsia="Times New Roman" w:cs="Times New Roman"/>
          <w:sz w:val="20"/>
          <w:szCs w:val="20"/>
        </w:rPr>
        <w:t>Specialized models — BioBERT [7], PubMedBERT [8], GatorTron [9] — outperform general-purpose LLMs on structured medical benchmarks but do not generate free-form explanatory responses needed for conversational pharmaceutical QA. Jin et al. [10] evaluate LLMs on drug-interaction prediction, finding accuracy gaps that motivate external knowledge grounding.</w:t>
      </w:r>
    </w:p>
    <w:p w14:paraId="58165C48">
      <w:pPr>
        <w:spacing w:before="120" w:after="60"/>
        <w:jc w:val="left"/>
      </w:pPr>
      <w:r>
        <w:rPr>
          <w:rFonts w:ascii="Times New Roman" w:hAnsi="Times New Roman" w:eastAsia="Times New Roman" w:cs="Times New Roman"/>
          <w:b/>
          <w:bCs/>
          <w:i/>
          <w:iCs/>
          <w:sz w:val="20"/>
          <w:szCs w:val="20"/>
        </w:rPr>
        <w:t>C. Retrieval-Augmented Generation</w:t>
      </w:r>
    </w:p>
    <w:p w14:paraId="16456A5E">
      <w:pPr>
        <w:spacing w:before="0" w:after="60" w:line="240" w:lineRule="auto"/>
        <w:ind w:firstLine="360"/>
        <w:jc w:val="both"/>
      </w:pPr>
      <w:r>
        <w:rPr>
          <w:rFonts w:ascii="Times New Roman" w:hAnsi="Times New Roman" w:eastAsia="Times New Roman" w:cs="Times New Roman"/>
          <w:sz w:val="20"/>
          <w:szCs w:val="20"/>
        </w:rPr>
        <w:t>Lewis et al. [5] introduced RAG as a general-purpose framework combining dense retrieval with seq2seq generation. Izacard and Grave [11] showed retrieval quality is the dominant factor in RAG performance. In the medical domain, MedRAG [12] and RAG-based clinical decision support [13] show promise, but neither targets consumer-facing pharmaceutical QA nor provides open evaluation datasets — gaps that the present work directly addresses.</w:t>
      </w:r>
    </w:p>
    <w:p w14:paraId="1CB227C5">
      <w:pPr>
        <w:spacing w:before="80" w:after="40"/>
      </w:pPr>
    </w:p>
    <w:p w14:paraId="313214AC">
      <w:pPr>
        <w:spacing w:before="60" w:after="60"/>
        <w:jc w:val="center"/>
      </w:pPr>
      <w:r>
        <w:rPr>
          <w:rFonts w:ascii="Times New Roman" w:hAnsi="Times New Roman" w:eastAsia="Times New Roman" w:cs="Times New Roman"/>
          <w:b/>
          <w:bCs/>
          <w:sz w:val="18"/>
          <w:szCs w:val="18"/>
        </w:rPr>
        <w:t>TABLE I</w:t>
      </w:r>
    </w:p>
    <w:p w14:paraId="2E4A07F8">
      <w:pPr>
        <w:spacing w:before="60" w:after="60"/>
        <w:jc w:val="center"/>
      </w:pPr>
      <w:r>
        <w:rPr>
          <w:rFonts w:ascii="Times New Roman" w:hAnsi="Times New Roman" w:eastAsia="Times New Roman" w:cs="Times New Roman"/>
          <w:b/>
          <w:bCs/>
          <w:sz w:val="18"/>
          <w:szCs w:val="18"/>
        </w:rPr>
        <w:t>Comparison With Prior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3"/>
        <w:gridCol w:w="1108"/>
        <w:gridCol w:w="1204"/>
        <w:gridCol w:w="1197"/>
        <w:gridCol w:w="1197"/>
        <w:gridCol w:w="2881"/>
      </w:tblGrid>
      <w:tr w14:paraId="351A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22B0E350">
            <w:pPr>
              <w:jc w:val="center"/>
            </w:pPr>
            <w:r>
              <w:rPr>
                <w:rFonts w:ascii="Times New Roman" w:hAnsi="Times New Roman" w:eastAsia="Times New Roman" w:cs="Times New Roman"/>
                <w:b/>
                <w:bCs/>
                <w:sz w:val="16"/>
                <w:szCs w:val="16"/>
              </w:rPr>
              <w:t>Study</w:t>
            </w:r>
          </w:p>
        </w:tc>
        <w:tc>
          <w:tcPr>
            <w:tcW w:w="10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530B3FE3">
            <w:pPr>
              <w:jc w:val="center"/>
            </w:pPr>
            <w:r>
              <w:rPr>
                <w:rFonts w:ascii="Times New Roman" w:hAnsi="Times New Roman" w:eastAsia="Times New Roman" w:cs="Times New Roman"/>
                <w:b/>
                <w:bCs/>
                <w:sz w:val="16"/>
                <w:szCs w:val="16"/>
              </w:rPr>
              <w:t>Domain</w:t>
            </w:r>
          </w:p>
        </w:tc>
        <w:tc>
          <w:tcPr>
            <w:tcW w:w="10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435C0D3C">
            <w:pPr>
              <w:jc w:val="center"/>
            </w:pPr>
            <w:r>
              <w:rPr>
                <w:rFonts w:ascii="Times New Roman" w:hAnsi="Times New Roman" w:eastAsia="Times New Roman" w:cs="Times New Roman"/>
                <w:b/>
                <w:bCs/>
                <w:sz w:val="16"/>
                <w:szCs w:val="16"/>
              </w:rPr>
              <w:t>Retrieval</w:t>
            </w:r>
          </w:p>
        </w:tc>
        <w:tc>
          <w:tcPr>
            <w:tcW w:w="108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663B28A8">
            <w:pPr>
              <w:jc w:val="center"/>
            </w:pPr>
            <w:r>
              <w:rPr>
                <w:rFonts w:ascii="Times New Roman" w:hAnsi="Times New Roman" w:eastAsia="Times New Roman" w:cs="Times New Roman"/>
                <w:b/>
                <w:bCs/>
                <w:sz w:val="16"/>
                <w:szCs w:val="16"/>
              </w:rPr>
              <w:t>Drug QA</w:t>
            </w:r>
          </w:p>
        </w:tc>
        <w:tc>
          <w:tcPr>
            <w:tcW w:w="108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693E69EF">
            <w:pPr>
              <w:jc w:val="center"/>
            </w:pPr>
            <w:r>
              <w:rPr>
                <w:rFonts w:ascii="Times New Roman" w:hAnsi="Times New Roman" w:eastAsia="Times New Roman" w:cs="Times New Roman"/>
                <w:b/>
                <w:bCs/>
                <w:sz w:val="16"/>
                <w:szCs w:val="16"/>
              </w:rPr>
              <w:t>Halluc.</w:t>
            </w:r>
          </w:p>
        </w:tc>
        <w:tc>
          <w:tcPr>
            <w:tcW w:w="2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F7A4A15">
            <w:pPr>
              <w:jc w:val="center"/>
            </w:pPr>
            <w:r>
              <w:rPr>
                <w:rFonts w:ascii="Times New Roman" w:hAnsi="Times New Roman" w:eastAsia="Times New Roman" w:cs="Times New Roman"/>
                <w:b/>
                <w:bCs/>
                <w:sz w:val="16"/>
                <w:szCs w:val="16"/>
              </w:rPr>
              <w:t>Dataset</w:t>
            </w:r>
          </w:p>
        </w:tc>
      </w:tr>
      <w:tr w14:paraId="1640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57E555C">
            <w:pPr>
              <w:jc w:val="left"/>
            </w:pPr>
            <w:r>
              <w:rPr>
                <w:rFonts w:ascii="Times New Roman" w:hAnsi="Times New Roman" w:eastAsia="Times New Roman" w:cs="Times New Roman"/>
                <w:sz w:val="16"/>
                <w:szCs w:val="16"/>
              </w:rPr>
              <w:t>Lewis [5]</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5CD04C0">
            <w:pPr>
              <w:jc w:val="center"/>
            </w:pPr>
            <w:r>
              <w:rPr>
                <w:rFonts w:ascii="Times New Roman" w:hAnsi="Times New Roman" w:eastAsia="Times New Roman" w:cs="Times New Roman"/>
                <w:sz w:val="16"/>
                <w:szCs w:val="16"/>
              </w:rPr>
              <w:t>General</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3E40616">
            <w:pPr>
              <w:jc w:val="center"/>
            </w:pPr>
            <w:r>
              <w:rPr>
                <w:rFonts w:ascii="Times New Roman" w:hAnsi="Times New Roman" w:eastAsia="Times New Roman" w:cs="Times New Roman"/>
                <w:sz w:val="16"/>
                <w:szCs w:val="16"/>
              </w:rPr>
              <w:t>Dense</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B2C55CA">
            <w:pPr>
              <w:jc w:val="center"/>
            </w:pPr>
            <w:r>
              <w:rPr>
                <w:rFonts w:ascii="Times New Roman" w:hAnsi="Times New Roman" w:eastAsia="Times New Roman" w:cs="Times New Roman"/>
                <w:sz w:val="16"/>
                <w:szCs w:val="16"/>
              </w:rPr>
              <w:t>No</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B45FC85">
            <w:pPr>
              <w:jc w:val="center"/>
            </w:pPr>
            <w:r>
              <w:rPr>
                <w:rFonts w:ascii="Times New Roman" w:hAnsi="Times New Roman" w:eastAsia="Times New Roman" w:cs="Times New Roman"/>
                <w:sz w:val="16"/>
                <w:szCs w:val="16"/>
              </w:rPr>
              <w:t>No</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747A3E3">
            <w:pPr>
              <w:jc w:val="center"/>
            </w:pPr>
            <w:r>
              <w:rPr>
                <w:rFonts w:ascii="Times New Roman" w:hAnsi="Times New Roman" w:eastAsia="Times New Roman" w:cs="Times New Roman"/>
                <w:sz w:val="16"/>
                <w:szCs w:val="16"/>
              </w:rPr>
              <w:t>NQ, TriviaQA</w:t>
            </w:r>
          </w:p>
        </w:tc>
      </w:tr>
      <w:tr w14:paraId="1688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BD9086B">
            <w:pPr>
              <w:jc w:val="left"/>
            </w:pPr>
            <w:r>
              <w:rPr>
                <w:rFonts w:ascii="Times New Roman" w:hAnsi="Times New Roman" w:eastAsia="Times New Roman" w:cs="Times New Roman"/>
                <w:sz w:val="16"/>
                <w:szCs w:val="16"/>
              </w:rPr>
              <w:t>Singhal [6]</w:t>
            </w:r>
          </w:p>
        </w:tc>
        <w:tc>
          <w:tcPr>
            <w:tcW w:w="10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32C06B8">
            <w:pPr>
              <w:jc w:val="center"/>
            </w:pPr>
            <w:r>
              <w:rPr>
                <w:rFonts w:ascii="Times New Roman" w:hAnsi="Times New Roman" w:eastAsia="Times New Roman" w:cs="Times New Roman"/>
                <w:sz w:val="16"/>
                <w:szCs w:val="16"/>
              </w:rPr>
              <w:t>Clinical</w:t>
            </w:r>
          </w:p>
        </w:tc>
        <w:tc>
          <w:tcPr>
            <w:tcW w:w="10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5160772">
            <w:pPr>
              <w:jc w:val="center"/>
            </w:pPr>
            <w:r>
              <w:rPr>
                <w:rFonts w:ascii="Times New Roman" w:hAnsi="Times New Roman" w:eastAsia="Times New Roman" w:cs="Times New Roman"/>
                <w:sz w:val="16"/>
                <w:szCs w:val="16"/>
              </w:rPr>
              <w:t>None</w:t>
            </w:r>
          </w:p>
        </w:tc>
        <w:tc>
          <w:tcPr>
            <w:tcW w:w="10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48C1D00">
            <w:pPr>
              <w:jc w:val="center"/>
            </w:pPr>
            <w:r>
              <w:rPr>
                <w:rFonts w:ascii="Times New Roman" w:hAnsi="Times New Roman" w:eastAsia="Times New Roman" w:cs="Times New Roman"/>
                <w:sz w:val="16"/>
                <w:szCs w:val="16"/>
              </w:rPr>
              <w:t>Partial</w:t>
            </w:r>
          </w:p>
        </w:tc>
        <w:tc>
          <w:tcPr>
            <w:tcW w:w="10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FB0C600">
            <w:pPr>
              <w:jc w:val="center"/>
            </w:pPr>
            <w:r>
              <w:rPr>
                <w:rFonts w:ascii="Times New Roman" w:hAnsi="Times New Roman" w:eastAsia="Times New Roman" w:cs="Times New Roman"/>
                <w:sz w:val="16"/>
                <w:szCs w:val="16"/>
              </w:rPr>
              <w:t>Yes</w:t>
            </w:r>
          </w:p>
        </w:tc>
        <w:tc>
          <w:tcPr>
            <w:tcW w:w="2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31C87D8">
            <w:pPr>
              <w:jc w:val="center"/>
            </w:pPr>
            <w:r>
              <w:rPr>
                <w:rFonts w:ascii="Times New Roman" w:hAnsi="Times New Roman" w:eastAsia="Times New Roman" w:cs="Times New Roman"/>
                <w:sz w:val="16"/>
                <w:szCs w:val="16"/>
              </w:rPr>
              <w:t>USMLE</w:t>
            </w:r>
          </w:p>
        </w:tc>
      </w:tr>
      <w:tr w14:paraId="163F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F25235A">
            <w:pPr>
              <w:jc w:val="left"/>
            </w:pPr>
            <w:r>
              <w:rPr>
                <w:rFonts w:ascii="Times New Roman" w:hAnsi="Times New Roman" w:eastAsia="Times New Roman" w:cs="Times New Roman"/>
                <w:sz w:val="16"/>
                <w:szCs w:val="16"/>
              </w:rPr>
              <w:t>Jin [10]</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FF45DDA">
            <w:pPr>
              <w:jc w:val="center"/>
            </w:pPr>
            <w:r>
              <w:rPr>
                <w:rFonts w:ascii="Times New Roman" w:hAnsi="Times New Roman" w:eastAsia="Times New Roman" w:cs="Times New Roman"/>
                <w:sz w:val="16"/>
                <w:szCs w:val="16"/>
              </w:rPr>
              <w:t>Drug</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CB57577">
            <w:pPr>
              <w:jc w:val="center"/>
            </w:pPr>
            <w:r>
              <w:rPr>
                <w:rFonts w:ascii="Times New Roman" w:hAnsi="Times New Roman" w:eastAsia="Times New Roman" w:cs="Times New Roman"/>
                <w:sz w:val="16"/>
                <w:szCs w:val="16"/>
              </w:rPr>
              <w:t>Sparse</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7295A37">
            <w:pPr>
              <w:jc w:val="center"/>
            </w:pPr>
            <w:r>
              <w:rPr>
                <w:rFonts w:ascii="Times New Roman" w:hAnsi="Times New Roman" w:eastAsia="Times New Roman" w:cs="Times New Roman"/>
                <w:sz w:val="16"/>
                <w:szCs w:val="16"/>
              </w:rPr>
              <w:t>Yes</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0BD6774">
            <w:pPr>
              <w:jc w:val="center"/>
            </w:pPr>
            <w:r>
              <w:rPr>
                <w:rFonts w:ascii="Times New Roman" w:hAnsi="Times New Roman" w:eastAsia="Times New Roman" w:cs="Times New Roman"/>
                <w:sz w:val="16"/>
                <w:szCs w:val="16"/>
              </w:rPr>
              <w:t>No</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DC9D040">
            <w:pPr>
              <w:jc w:val="center"/>
            </w:pPr>
            <w:r>
              <w:rPr>
                <w:rFonts w:ascii="Times New Roman" w:hAnsi="Times New Roman" w:eastAsia="Times New Roman" w:cs="Times New Roman"/>
                <w:sz w:val="16"/>
                <w:szCs w:val="16"/>
              </w:rPr>
              <w:t>DrugBank</w:t>
            </w:r>
          </w:p>
        </w:tc>
      </w:tr>
      <w:tr w14:paraId="2641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B5906BB">
            <w:pPr>
              <w:jc w:val="left"/>
            </w:pPr>
            <w:r>
              <w:rPr>
                <w:rFonts w:ascii="Times New Roman" w:hAnsi="Times New Roman" w:eastAsia="Times New Roman" w:cs="Times New Roman"/>
                <w:sz w:val="16"/>
                <w:szCs w:val="16"/>
              </w:rPr>
              <w:t>MedRAG [12]</w:t>
            </w:r>
          </w:p>
        </w:tc>
        <w:tc>
          <w:tcPr>
            <w:tcW w:w="10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5DFF038">
            <w:pPr>
              <w:jc w:val="center"/>
            </w:pPr>
            <w:r>
              <w:rPr>
                <w:rFonts w:ascii="Times New Roman" w:hAnsi="Times New Roman" w:eastAsia="Times New Roman" w:cs="Times New Roman"/>
                <w:sz w:val="16"/>
                <w:szCs w:val="16"/>
              </w:rPr>
              <w:t>Medical</w:t>
            </w:r>
          </w:p>
        </w:tc>
        <w:tc>
          <w:tcPr>
            <w:tcW w:w="10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5664FEC">
            <w:pPr>
              <w:jc w:val="center"/>
            </w:pPr>
            <w:r>
              <w:rPr>
                <w:rFonts w:ascii="Times New Roman" w:hAnsi="Times New Roman" w:eastAsia="Times New Roman" w:cs="Times New Roman"/>
                <w:sz w:val="16"/>
                <w:szCs w:val="16"/>
              </w:rPr>
              <w:t>Dense</w:t>
            </w:r>
          </w:p>
        </w:tc>
        <w:tc>
          <w:tcPr>
            <w:tcW w:w="10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EBDE8B6">
            <w:pPr>
              <w:jc w:val="center"/>
            </w:pPr>
            <w:r>
              <w:rPr>
                <w:rFonts w:ascii="Times New Roman" w:hAnsi="Times New Roman" w:eastAsia="Times New Roman" w:cs="Times New Roman"/>
                <w:sz w:val="16"/>
                <w:szCs w:val="16"/>
              </w:rPr>
              <w:t>No</w:t>
            </w:r>
          </w:p>
        </w:tc>
        <w:tc>
          <w:tcPr>
            <w:tcW w:w="10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720C17F">
            <w:pPr>
              <w:jc w:val="center"/>
            </w:pPr>
            <w:r>
              <w:rPr>
                <w:rFonts w:ascii="Times New Roman" w:hAnsi="Times New Roman" w:eastAsia="Times New Roman" w:cs="Times New Roman"/>
                <w:sz w:val="16"/>
                <w:szCs w:val="16"/>
              </w:rPr>
              <w:t>Partial</w:t>
            </w:r>
          </w:p>
        </w:tc>
        <w:tc>
          <w:tcPr>
            <w:tcW w:w="2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3CA78F6">
            <w:pPr>
              <w:jc w:val="center"/>
            </w:pPr>
            <w:r>
              <w:rPr>
                <w:rFonts w:ascii="Times New Roman" w:hAnsi="Times New Roman" w:eastAsia="Times New Roman" w:cs="Times New Roman"/>
                <w:sz w:val="16"/>
                <w:szCs w:val="16"/>
              </w:rPr>
              <w:t>Private</w:t>
            </w:r>
          </w:p>
        </w:tc>
      </w:tr>
      <w:tr w14:paraId="4D10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5EE06BE">
            <w:pPr>
              <w:jc w:val="left"/>
            </w:pPr>
            <w:r>
              <w:rPr>
                <w:rFonts w:ascii="Times New Roman" w:hAnsi="Times New Roman" w:eastAsia="Times New Roman" w:cs="Times New Roman"/>
                <w:sz w:val="16"/>
                <w:szCs w:val="16"/>
              </w:rPr>
              <w:t>Ours</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2CC89D8">
            <w:pPr>
              <w:jc w:val="center"/>
            </w:pPr>
            <w:r>
              <w:rPr>
                <w:rFonts w:ascii="Times New Roman" w:hAnsi="Times New Roman" w:eastAsia="Times New Roman" w:cs="Times New Roman"/>
                <w:sz w:val="16"/>
                <w:szCs w:val="16"/>
              </w:rPr>
              <w:t>Drug QA</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047F2D9">
            <w:pPr>
              <w:jc w:val="center"/>
            </w:pPr>
            <w:r>
              <w:rPr>
                <w:rFonts w:ascii="Times New Roman" w:hAnsi="Times New Roman" w:eastAsia="Times New Roman" w:cs="Times New Roman"/>
                <w:sz w:val="16"/>
                <w:szCs w:val="16"/>
              </w:rPr>
              <w:t>Dense+FAISS</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13B9AF4">
            <w:pPr>
              <w:jc w:val="center"/>
            </w:pPr>
            <w:r>
              <w:rPr>
                <w:rFonts w:ascii="Times New Roman" w:hAnsi="Times New Roman" w:eastAsia="Times New Roman" w:cs="Times New Roman"/>
                <w:sz w:val="16"/>
                <w:szCs w:val="16"/>
              </w:rPr>
              <w:t>Yes</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43D4B8C">
            <w:pPr>
              <w:jc w:val="center"/>
            </w:pPr>
            <w:r>
              <w:rPr>
                <w:rFonts w:ascii="Times New Roman" w:hAnsi="Times New Roman" w:eastAsia="Times New Roman" w:cs="Times New Roman"/>
                <w:sz w:val="16"/>
                <w:szCs w:val="16"/>
              </w:rPr>
              <w:t>Yes</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9767A83">
            <w:pPr>
              <w:jc w:val="center"/>
            </w:pPr>
            <w:r>
              <w:rPr>
                <w:rFonts w:ascii="Times New Roman" w:hAnsi="Times New Roman" w:eastAsia="Times New Roman" w:cs="Times New Roman"/>
                <w:sz w:val="16"/>
                <w:szCs w:val="16"/>
              </w:rPr>
              <w:t>150Q (Open)</w:t>
            </w:r>
          </w:p>
        </w:tc>
      </w:tr>
    </w:tbl>
    <w:p w14:paraId="11F2F4E2">
      <w:pPr>
        <w:spacing w:before="0" w:after="100"/>
      </w:pPr>
    </w:p>
    <w:p w14:paraId="0E3B786C">
      <w:pPr>
        <w:spacing w:before="160" w:after="80"/>
        <w:jc w:val="center"/>
      </w:pPr>
      <w:r>
        <w:rPr>
          <w:rFonts w:ascii="Times New Roman" w:hAnsi="Times New Roman" w:eastAsia="Times New Roman" w:cs="Times New Roman"/>
          <w:b/>
          <w:bCs/>
          <w:smallCaps/>
          <w:sz w:val="20"/>
          <w:szCs w:val="20"/>
        </w:rPr>
        <w:t>III. Methodology</w:t>
      </w:r>
    </w:p>
    <w:p w14:paraId="7121BC86">
      <w:pPr>
        <w:spacing w:before="120" w:after="60"/>
        <w:jc w:val="left"/>
      </w:pPr>
      <w:r>
        <w:rPr>
          <w:rFonts w:ascii="Times New Roman" w:hAnsi="Times New Roman" w:eastAsia="Times New Roman" w:cs="Times New Roman"/>
          <w:b/>
          <w:bCs/>
          <w:i/>
          <w:iCs/>
          <w:sz w:val="20"/>
          <w:szCs w:val="20"/>
        </w:rPr>
        <w:t>A. System Architecture</w:t>
      </w:r>
    </w:p>
    <w:p w14:paraId="7E848301">
      <w:pPr>
        <w:spacing w:before="0" w:after="60" w:line="240" w:lineRule="auto"/>
        <w:ind w:firstLine="360"/>
        <w:jc w:val="both"/>
      </w:pPr>
      <w:r>
        <w:rPr>
          <w:rFonts w:ascii="Times New Roman" w:hAnsi="Times New Roman" w:eastAsia="Times New Roman" w:cs="Times New Roman"/>
          <w:sz w:val="20"/>
          <w:szCs w:val="20"/>
        </w:rPr>
        <w:t>The proposed pipeline follows five sequential stages: (1) Knowledge Base Construction, (2) Embedding &amp; Indexing, (3) Query-time Retrieval &amp; Re-ranking, (4) Prompt Augmentation, and (5) Response Generation. Fig. 1 illustrates this architecture.</w:t>
      </w:r>
    </w:p>
    <w:p w14:paraId="2F381D17">
      <w:pPr>
        <w:spacing w:before="60" w:after="60"/>
        <w:jc w:val="center"/>
      </w:pPr>
      <w:r>
        <w:rPr>
          <w:rFonts w:ascii="Times New Roman" w:hAnsi="Times New Roman" w:eastAsia="Times New Roman" w:cs="Times New Roman"/>
          <w:b/>
          <w:bCs/>
          <w:sz w:val="18"/>
          <w:szCs w:val="18"/>
        </w:rPr>
        <w:t>Fig. 1. Five-Stage RAG Pipeline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387B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shd w:val="clear" w:color="auto" w:fill="BBDEFB"/>
            <w:tcMar>
              <w:top w:w="60" w:type="dxa"/>
              <w:left w:w="60" w:type="dxa"/>
              <w:bottom w:w="60" w:type="dxa"/>
              <w:right w:w="60" w:type="dxa"/>
            </w:tcMar>
          </w:tcPr>
          <w:p w14:paraId="3C3B005D">
            <w:pPr>
              <w:jc w:val="center"/>
            </w:pPr>
            <w:r>
              <w:rPr>
                <w:rFonts w:ascii="Times New Roman" w:hAnsi="Times New Roman" w:eastAsia="Times New Roman" w:cs="Times New Roman"/>
                <w:b w:val="0"/>
                <w:bCs w:val="0"/>
                <w:color w:val="000000"/>
                <w:sz w:val="15"/>
                <w:szCs w:val="15"/>
              </w:rPr>
              <w:t>(1)
User Query</w:t>
            </w:r>
          </w:p>
        </w:tc>
        <w:tc>
          <w:tcPr>
            <w:tcW w:w="1560" w:type="dxa"/>
            <w:tcBorders>
              <w:top w:val="single" w:color="000000" w:sz="4" w:space="0"/>
              <w:left w:val="single" w:color="000000" w:sz="4" w:space="0"/>
              <w:bottom w:val="single" w:color="000000" w:sz="4" w:space="0"/>
              <w:right w:val="single" w:color="000000" w:sz="4" w:space="0"/>
            </w:tcBorders>
            <w:shd w:val="clear" w:color="auto" w:fill="90CAF9"/>
            <w:tcMar>
              <w:top w:w="60" w:type="dxa"/>
              <w:left w:w="60" w:type="dxa"/>
              <w:bottom w:w="60" w:type="dxa"/>
              <w:right w:w="60" w:type="dxa"/>
            </w:tcMar>
          </w:tcPr>
          <w:p w14:paraId="5863589A">
            <w:pPr>
              <w:jc w:val="center"/>
            </w:pPr>
            <w:r>
              <w:rPr>
                <w:rFonts w:ascii="Times New Roman" w:hAnsi="Times New Roman" w:eastAsia="Times New Roman" w:cs="Times New Roman"/>
                <w:b w:val="0"/>
                <w:bCs w:val="0"/>
                <w:color w:val="000000"/>
                <w:sz w:val="15"/>
                <w:szCs w:val="15"/>
              </w:rPr>
              <w:t>(2)
SentBERT
Embed</w:t>
            </w:r>
          </w:p>
        </w:tc>
        <w:tc>
          <w:tcPr>
            <w:tcW w:w="1560" w:type="dxa"/>
            <w:tcBorders>
              <w:top w:val="single" w:color="000000" w:sz="4" w:space="0"/>
              <w:left w:val="single" w:color="000000" w:sz="4" w:space="0"/>
              <w:bottom w:val="single" w:color="000000" w:sz="4" w:space="0"/>
              <w:right w:val="single" w:color="000000" w:sz="4" w:space="0"/>
            </w:tcBorders>
            <w:shd w:val="clear" w:color="auto" w:fill="64B5F6"/>
            <w:tcMar>
              <w:top w:w="60" w:type="dxa"/>
              <w:left w:w="60" w:type="dxa"/>
              <w:bottom w:w="60" w:type="dxa"/>
              <w:right w:w="60" w:type="dxa"/>
            </w:tcMar>
          </w:tcPr>
          <w:p w14:paraId="2A6FC270">
            <w:pPr>
              <w:jc w:val="center"/>
            </w:pPr>
            <w:r>
              <w:rPr>
                <w:rFonts w:ascii="Times New Roman" w:hAnsi="Times New Roman" w:eastAsia="Times New Roman" w:cs="Times New Roman"/>
                <w:b w:val="0"/>
                <w:bCs w:val="0"/>
                <w:color w:val="000000"/>
                <w:sz w:val="15"/>
                <w:szCs w:val="15"/>
              </w:rPr>
              <w:t>(3)
FAISS
Retrieval</w:t>
            </w:r>
          </w:p>
        </w:tc>
        <w:tc>
          <w:tcPr>
            <w:tcW w:w="1560" w:type="dxa"/>
            <w:tcBorders>
              <w:top w:val="single" w:color="000000" w:sz="4" w:space="0"/>
              <w:left w:val="single" w:color="000000" w:sz="4" w:space="0"/>
              <w:bottom w:val="single" w:color="000000" w:sz="4" w:space="0"/>
              <w:right w:val="single" w:color="000000" w:sz="4" w:space="0"/>
            </w:tcBorders>
            <w:shd w:val="clear" w:color="auto" w:fill="42A5F5"/>
            <w:tcMar>
              <w:top w:w="60" w:type="dxa"/>
              <w:left w:w="60" w:type="dxa"/>
              <w:bottom w:w="60" w:type="dxa"/>
              <w:right w:w="60" w:type="dxa"/>
            </w:tcMar>
          </w:tcPr>
          <w:p w14:paraId="27383421">
            <w:pPr>
              <w:jc w:val="center"/>
            </w:pPr>
            <w:r>
              <w:rPr>
                <w:rFonts w:ascii="Times New Roman" w:hAnsi="Times New Roman" w:eastAsia="Times New Roman" w:cs="Times New Roman"/>
                <w:b w:val="0"/>
                <w:bCs w:val="0"/>
                <w:color w:val="000000"/>
                <w:sz w:val="15"/>
                <w:szCs w:val="15"/>
              </w:rPr>
              <w:t>(4)
Re-rank
(Cross-Enc)</w:t>
            </w:r>
          </w:p>
        </w:tc>
        <w:tc>
          <w:tcPr>
            <w:tcW w:w="1560" w:type="dxa"/>
            <w:tcBorders>
              <w:top w:val="single" w:color="000000" w:sz="4" w:space="0"/>
              <w:left w:val="single" w:color="000000" w:sz="4" w:space="0"/>
              <w:bottom w:val="single" w:color="000000" w:sz="4" w:space="0"/>
              <w:right w:val="single" w:color="000000" w:sz="4" w:space="0"/>
            </w:tcBorders>
            <w:shd w:val="clear" w:color="auto" w:fill="1E88E5"/>
            <w:tcMar>
              <w:top w:w="60" w:type="dxa"/>
              <w:left w:w="60" w:type="dxa"/>
              <w:bottom w:w="60" w:type="dxa"/>
              <w:right w:w="60" w:type="dxa"/>
            </w:tcMar>
          </w:tcPr>
          <w:p w14:paraId="40E483FE">
            <w:pPr>
              <w:jc w:val="center"/>
            </w:pPr>
            <w:r>
              <w:rPr>
                <w:rFonts w:ascii="Times New Roman" w:hAnsi="Times New Roman" w:eastAsia="Times New Roman" w:cs="Times New Roman"/>
                <w:b/>
                <w:bCs/>
                <w:color w:val="FFFFFF"/>
                <w:sz w:val="15"/>
                <w:szCs w:val="15"/>
              </w:rPr>
              <w:t>(5)
Prompt
Augment</w:t>
            </w:r>
          </w:p>
        </w:tc>
        <w:tc>
          <w:tcPr>
            <w:tcW w:w="1560" w:type="dxa"/>
            <w:tcBorders>
              <w:top w:val="single" w:color="000000" w:sz="4" w:space="0"/>
              <w:left w:val="single" w:color="000000" w:sz="4" w:space="0"/>
              <w:bottom w:val="single" w:color="000000" w:sz="4" w:space="0"/>
              <w:right w:val="single" w:color="000000" w:sz="4" w:space="0"/>
            </w:tcBorders>
            <w:shd w:val="clear" w:color="auto" w:fill="1565C0"/>
            <w:tcMar>
              <w:top w:w="60" w:type="dxa"/>
              <w:left w:w="60" w:type="dxa"/>
              <w:bottom w:w="60" w:type="dxa"/>
              <w:right w:w="60" w:type="dxa"/>
            </w:tcMar>
          </w:tcPr>
          <w:p w14:paraId="1F2D23FB">
            <w:pPr>
              <w:jc w:val="center"/>
            </w:pPr>
            <w:r>
              <w:rPr>
                <w:rFonts w:ascii="Times New Roman" w:hAnsi="Times New Roman" w:eastAsia="Times New Roman" w:cs="Times New Roman"/>
                <w:b/>
                <w:bCs/>
                <w:color w:val="FFFFFF"/>
                <w:sz w:val="15"/>
                <w:szCs w:val="15"/>
              </w:rPr>
              <w:t>(6)
Llama 3.2
Generate</w:t>
            </w:r>
          </w:p>
        </w:tc>
      </w:tr>
    </w:tbl>
    <w:p w14:paraId="4B37E0E6">
      <w:pPr>
        <w:spacing w:before="40" w:after="100"/>
        <w:jc w:val="center"/>
      </w:pPr>
      <w:r>
        <w:rPr>
          <w:rFonts w:ascii="Times New Roman" w:hAnsi="Times New Roman" w:eastAsia="Times New Roman" w:cs="Times New Roman"/>
          <w:i/>
          <w:iCs/>
          <w:sz w:val="18"/>
          <w:szCs w:val="18"/>
        </w:rPr>
        <w:t>Fig. 1. Query flows left to right through five processing stages. Re-ranking selects top-5 passages for prompt augmentation.</w:t>
      </w:r>
    </w:p>
    <w:p w14:paraId="6D77C80B">
      <w:pPr>
        <w:spacing w:before="120" w:after="60"/>
        <w:jc w:val="left"/>
      </w:pPr>
      <w:r>
        <w:rPr>
          <w:rFonts w:ascii="Times New Roman" w:hAnsi="Times New Roman" w:eastAsia="Times New Roman" w:cs="Times New Roman"/>
          <w:b/>
          <w:bCs/>
          <w:i/>
          <w:iCs/>
          <w:sz w:val="20"/>
          <w:szCs w:val="20"/>
        </w:rPr>
        <w:t>B. Knowledge Base</w:t>
      </w:r>
    </w:p>
    <w:p w14:paraId="26B67E3A">
      <w:pPr>
        <w:spacing w:before="0" w:after="60" w:line="240" w:lineRule="auto"/>
        <w:ind w:firstLine="360"/>
        <w:jc w:val="both"/>
      </w:pPr>
      <w:r>
        <w:rPr>
          <w:rFonts w:ascii="Times New Roman" w:hAnsi="Times New Roman" w:eastAsia="Times New Roman" w:cs="Times New Roman"/>
          <w:sz w:val="20"/>
          <w:szCs w:val="20"/>
        </w:rPr>
        <w:t>The pharmaceutical knowledge base was assembled from three authoritative sources: the FDA Drugs@FDA database (prescribing information for 2,847 approved drugs), ASHP clinical practice guidelines, and peer-reviewed pharmacology articles from PubMed (2015–2024). Documents were segmented into 512-token overlapping chunks (64-token stride). The knowledge base comprises 184,329 chunks (FAISS index: 1.2 GB).</w:t>
      </w:r>
    </w:p>
    <w:p w14:paraId="5B895507">
      <w:pPr>
        <w:spacing w:before="120" w:after="60"/>
        <w:jc w:val="left"/>
      </w:pPr>
      <w:r>
        <w:rPr>
          <w:rFonts w:ascii="Times New Roman" w:hAnsi="Times New Roman" w:eastAsia="Times New Roman" w:cs="Times New Roman"/>
          <w:b/>
          <w:bCs/>
          <w:i/>
          <w:iCs/>
          <w:sz w:val="20"/>
          <w:szCs w:val="20"/>
        </w:rPr>
        <w:t>C. Embedding and Indexing</w:t>
      </w:r>
    </w:p>
    <w:p w14:paraId="4F0B16A0">
      <w:pPr>
        <w:spacing w:before="0" w:after="60" w:line="240" w:lineRule="auto"/>
        <w:ind w:firstLine="360"/>
        <w:jc w:val="both"/>
      </w:pPr>
      <w:r>
        <w:rPr>
          <w:rFonts w:ascii="Times New Roman" w:hAnsi="Times New Roman" w:eastAsia="Times New Roman" w:cs="Times New Roman"/>
          <w:sz w:val="20"/>
          <w:szCs w:val="20"/>
        </w:rPr>
        <w:t>Chunks were encoded using Sentence-BERT (all-MiniLM-L6-v2), yielding 384-dimensional dense vectors. An IVF-PQ FAISS index (nlist=256, m=64) provides sub-millisecond approximate nearest-neighbor search.</w:t>
      </w:r>
    </w:p>
    <w:p w14:paraId="26F1A049">
      <w:pPr>
        <w:spacing w:before="120" w:after="60"/>
        <w:jc w:val="left"/>
      </w:pPr>
      <w:r>
        <w:rPr>
          <w:rFonts w:ascii="Times New Roman" w:hAnsi="Times New Roman" w:eastAsia="Times New Roman" w:cs="Times New Roman"/>
          <w:b/>
          <w:bCs/>
          <w:i/>
          <w:iCs/>
          <w:sz w:val="20"/>
          <w:szCs w:val="20"/>
        </w:rPr>
        <w:t>D. Retrieval and Re-ranking</w:t>
      </w:r>
    </w:p>
    <w:p w14:paraId="3EC62496">
      <w:pPr>
        <w:spacing w:before="0" w:after="60" w:line="240" w:lineRule="auto"/>
        <w:ind w:firstLine="360"/>
        <w:jc w:val="both"/>
      </w:pPr>
      <w:r>
        <w:rPr>
          <w:rFonts w:ascii="Times New Roman" w:hAnsi="Times New Roman" w:eastAsia="Times New Roman" w:cs="Times New Roman"/>
          <w:sz w:val="20"/>
          <w:szCs w:val="20"/>
        </w:rPr>
        <w:t>At inference time, the user query is encoded identically, top-k=20 candidates are retrieved via L2 distance, then a cross-encoder (ms-marco-MiniLM-L-6-v2) re-scores all 20 against the query and the top-5 passages are selected.</w:t>
      </w:r>
    </w:p>
    <w:p w14:paraId="5FE6ACDC">
      <w:pPr>
        <w:spacing w:before="120" w:after="60"/>
        <w:jc w:val="left"/>
      </w:pPr>
      <w:r>
        <w:rPr>
          <w:rFonts w:ascii="Times New Roman" w:hAnsi="Times New Roman" w:eastAsia="Times New Roman" w:cs="Times New Roman"/>
          <w:b/>
          <w:bCs/>
          <w:i/>
          <w:iCs/>
          <w:sz w:val="20"/>
          <w:szCs w:val="20"/>
        </w:rPr>
        <w:t>E. Prompt Augmentation and Generation</w:t>
      </w:r>
    </w:p>
    <w:p w14:paraId="7C8374F9">
      <w:pPr>
        <w:spacing w:before="0" w:after="60" w:line="240" w:lineRule="auto"/>
        <w:ind w:firstLine="360"/>
        <w:jc w:val="both"/>
      </w:pPr>
      <w:r>
        <w:rPr>
          <w:rFonts w:ascii="Times New Roman" w:hAnsi="Times New Roman" w:eastAsia="Times New Roman" w:cs="Times New Roman"/>
          <w:sz w:val="20"/>
          <w:szCs w:val="20"/>
        </w:rPr>
        <w:t>Retrieved passages are concatenated with a system prompt instructing Llama 3.2 to: (a) answer only from provided context, (b) cite supporting passages, and (c) respond with 'I cannot confirm this from the available sources' when context is insufficient. This enforces grounding at the instruction level.</w:t>
      </w:r>
    </w:p>
    <w:p w14:paraId="6A6DEC46">
      <w:pPr>
        <w:spacing w:before="60" w:after="60"/>
        <w:jc w:val="center"/>
      </w:pPr>
      <w:r>
        <w:rPr>
          <w:rFonts w:ascii="Times New Roman" w:hAnsi="Times New Roman" w:eastAsia="Times New Roman" w:cs="Times New Roman"/>
          <w:b/>
          <w:bCs/>
          <w:sz w:val="18"/>
          <w:szCs w:val="18"/>
        </w:rPr>
        <w:t>TABLE II</w:t>
      </w:r>
    </w:p>
    <w:p w14:paraId="54BF2B2F">
      <w:pPr>
        <w:spacing w:before="60" w:after="60"/>
        <w:jc w:val="center"/>
      </w:pPr>
      <w:r>
        <w:rPr>
          <w:rFonts w:ascii="Times New Roman" w:hAnsi="Times New Roman" w:eastAsia="Times New Roman" w:cs="Times New Roman"/>
          <w:b/>
          <w:bCs/>
          <w:sz w:val="18"/>
          <w:szCs w:val="18"/>
        </w:rPr>
        <w:t>Dataset Composition (N = 150)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160"/>
      </w:tblGrid>
      <w:tr w14:paraId="1CCA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21AED396">
            <w:pPr>
              <w:jc w:val="center"/>
            </w:pPr>
            <w:r>
              <w:rPr>
                <w:rFonts w:ascii="Times New Roman" w:hAnsi="Times New Roman" w:eastAsia="Times New Roman" w:cs="Times New Roman"/>
                <w:b/>
                <w:bCs/>
                <w:sz w:val="16"/>
                <w:szCs w:val="16"/>
              </w:rPr>
              <w:t>Category</w:t>
            </w:r>
          </w:p>
        </w:tc>
        <w:tc>
          <w:tcPr>
            <w:tcW w:w="14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520EBD8">
            <w:pPr>
              <w:jc w:val="center"/>
            </w:pPr>
            <w:r>
              <w:rPr>
                <w:rFonts w:ascii="Times New Roman" w:hAnsi="Times New Roman" w:eastAsia="Times New Roman" w:cs="Times New Roman"/>
                <w:b/>
                <w:bCs/>
                <w:sz w:val="16"/>
                <w:szCs w:val="16"/>
              </w:rPr>
              <w:t>N (%)</w:t>
            </w:r>
          </w:p>
        </w:tc>
        <w:tc>
          <w:tcPr>
            <w:tcW w:w="516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7C686B0">
            <w:pPr>
              <w:jc w:val="center"/>
            </w:pPr>
            <w:r>
              <w:rPr>
                <w:rFonts w:ascii="Times New Roman" w:hAnsi="Times New Roman" w:eastAsia="Times New Roman" w:cs="Times New Roman"/>
                <w:b/>
                <w:bCs/>
                <w:sz w:val="16"/>
                <w:szCs w:val="16"/>
              </w:rPr>
              <w:t>Sample Topic</w:t>
            </w:r>
          </w:p>
        </w:tc>
      </w:tr>
      <w:tr w14:paraId="0285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DE862FC">
            <w:pPr>
              <w:jc w:val="left"/>
            </w:pPr>
            <w:r>
              <w:rPr>
                <w:rFonts w:ascii="Times New Roman" w:hAnsi="Times New Roman" w:eastAsia="Times New Roman" w:cs="Times New Roman"/>
                <w:sz w:val="16"/>
                <w:szCs w:val="16"/>
              </w:rPr>
              <w:t>Cardiovascular</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2468A0D">
            <w:pPr>
              <w:jc w:val="center"/>
            </w:pPr>
            <w:r>
              <w:rPr>
                <w:rFonts w:ascii="Times New Roman" w:hAnsi="Times New Roman" w:eastAsia="Times New Roman" w:cs="Times New Roman"/>
                <w:sz w:val="16"/>
                <w:szCs w:val="16"/>
              </w:rPr>
              <w:t>28 (18.7)</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ECBA87C">
            <w:pPr>
              <w:jc w:val="center"/>
            </w:pPr>
            <w:r>
              <w:rPr>
                <w:rFonts w:ascii="Times New Roman" w:hAnsi="Times New Roman" w:eastAsia="Times New Roman" w:cs="Times New Roman"/>
                <w:sz w:val="16"/>
                <w:szCs w:val="16"/>
              </w:rPr>
              <w:t>Anticoagulant interactions</w:t>
            </w:r>
          </w:p>
        </w:tc>
      </w:tr>
      <w:tr w14:paraId="3063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AF3873C">
            <w:pPr>
              <w:jc w:val="left"/>
            </w:pPr>
            <w:r>
              <w:rPr>
                <w:rFonts w:ascii="Times New Roman" w:hAnsi="Times New Roman" w:eastAsia="Times New Roman" w:cs="Times New Roman"/>
                <w:sz w:val="16"/>
                <w:szCs w:val="16"/>
              </w:rPr>
              <w:t>Oncology</w:t>
            </w:r>
          </w:p>
        </w:tc>
        <w:tc>
          <w:tcPr>
            <w:tcW w:w="1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C792936">
            <w:pPr>
              <w:jc w:val="center"/>
            </w:pPr>
            <w:r>
              <w:rPr>
                <w:rFonts w:ascii="Times New Roman" w:hAnsi="Times New Roman" w:eastAsia="Times New Roman" w:cs="Times New Roman"/>
                <w:sz w:val="16"/>
                <w:szCs w:val="16"/>
              </w:rPr>
              <w:t>24 (16.0)</w:t>
            </w:r>
          </w:p>
        </w:tc>
        <w:tc>
          <w:tcPr>
            <w:tcW w:w="51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CFA0E23">
            <w:pPr>
              <w:jc w:val="center"/>
            </w:pPr>
            <w:r>
              <w:rPr>
                <w:rFonts w:ascii="Times New Roman" w:hAnsi="Times New Roman" w:eastAsia="Times New Roman" w:cs="Times New Roman"/>
                <w:sz w:val="16"/>
                <w:szCs w:val="16"/>
              </w:rPr>
              <w:t>Chemotherapy dosing</w:t>
            </w:r>
          </w:p>
        </w:tc>
      </w:tr>
      <w:tr w14:paraId="1DAD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4E1705D">
            <w:pPr>
              <w:jc w:val="left"/>
            </w:pPr>
            <w:r>
              <w:rPr>
                <w:rFonts w:ascii="Times New Roman" w:hAnsi="Times New Roman" w:eastAsia="Times New Roman" w:cs="Times New Roman"/>
                <w:sz w:val="16"/>
                <w:szCs w:val="16"/>
              </w:rPr>
              <w:t>Endocrinology</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E01B233">
            <w:pPr>
              <w:jc w:val="center"/>
            </w:pPr>
            <w:r>
              <w:rPr>
                <w:rFonts w:ascii="Times New Roman" w:hAnsi="Times New Roman" w:eastAsia="Times New Roman" w:cs="Times New Roman"/>
                <w:sz w:val="16"/>
                <w:szCs w:val="16"/>
              </w:rPr>
              <w:t>22 (14.7)</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CBE858F">
            <w:pPr>
              <w:jc w:val="center"/>
            </w:pPr>
            <w:r>
              <w:rPr>
                <w:rFonts w:ascii="Times New Roman" w:hAnsi="Times New Roman" w:eastAsia="Times New Roman" w:cs="Times New Roman"/>
                <w:sz w:val="16"/>
                <w:szCs w:val="16"/>
              </w:rPr>
              <w:t>Insulin regimens</w:t>
            </w:r>
          </w:p>
        </w:tc>
      </w:tr>
      <w:tr w14:paraId="0561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63295E1">
            <w:pPr>
              <w:jc w:val="left"/>
            </w:pPr>
            <w:r>
              <w:rPr>
                <w:rFonts w:ascii="Times New Roman" w:hAnsi="Times New Roman" w:eastAsia="Times New Roman" w:cs="Times New Roman"/>
                <w:sz w:val="16"/>
                <w:szCs w:val="16"/>
              </w:rPr>
              <w:t>Infectious Disease</w:t>
            </w:r>
          </w:p>
        </w:tc>
        <w:tc>
          <w:tcPr>
            <w:tcW w:w="1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8377EA1">
            <w:pPr>
              <w:jc w:val="center"/>
            </w:pPr>
            <w:r>
              <w:rPr>
                <w:rFonts w:ascii="Times New Roman" w:hAnsi="Times New Roman" w:eastAsia="Times New Roman" w:cs="Times New Roman"/>
                <w:sz w:val="16"/>
                <w:szCs w:val="16"/>
              </w:rPr>
              <w:t>22 (14.7)</w:t>
            </w:r>
          </w:p>
        </w:tc>
        <w:tc>
          <w:tcPr>
            <w:tcW w:w="51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23B1C85">
            <w:pPr>
              <w:jc w:val="center"/>
            </w:pPr>
            <w:r>
              <w:rPr>
                <w:rFonts w:ascii="Times New Roman" w:hAnsi="Times New Roman" w:eastAsia="Times New Roman" w:cs="Times New Roman"/>
                <w:sz w:val="16"/>
                <w:szCs w:val="16"/>
              </w:rPr>
              <w:t>Antibiotic resistance</w:t>
            </w:r>
          </w:p>
        </w:tc>
      </w:tr>
      <w:tr w14:paraId="7512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4C6B2BC">
            <w:pPr>
              <w:jc w:val="left"/>
            </w:pPr>
            <w:r>
              <w:rPr>
                <w:rFonts w:ascii="Times New Roman" w:hAnsi="Times New Roman" w:eastAsia="Times New Roman" w:cs="Times New Roman"/>
                <w:sz w:val="16"/>
                <w:szCs w:val="16"/>
              </w:rPr>
              <w:t>Neurology</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EAE5981">
            <w:pPr>
              <w:jc w:val="center"/>
            </w:pPr>
            <w:r>
              <w:rPr>
                <w:rFonts w:ascii="Times New Roman" w:hAnsi="Times New Roman" w:eastAsia="Times New Roman" w:cs="Times New Roman"/>
                <w:sz w:val="16"/>
                <w:szCs w:val="16"/>
              </w:rPr>
              <w:t>20 (13.3)</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28A3026">
            <w:pPr>
              <w:jc w:val="center"/>
            </w:pPr>
            <w:r>
              <w:rPr>
                <w:rFonts w:ascii="Times New Roman" w:hAnsi="Times New Roman" w:eastAsia="Times New Roman" w:cs="Times New Roman"/>
                <w:sz w:val="16"/>
                <w:szCs w:val="16"/>
              </w:rPr>
              <w:t>CNS drug interactions</w:t>
            </w:r>
          </w:p>
        </w:tc>
      </w:tr>
      <w:tr w14:paraId="1D23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DFF5348">
            <w:pPr>
              <w:jc w:val="left"/>
            </w:pPr>
            <w:r>
              <w:rPr>
                <w:rFonts w:ascii="Times New Roman" w:hAnsi="Times New Roman" w:eastAsia="Times New Roman" w:cs="Times New Roman"/>
                <w:sz w:val="16"/>
                <w:szCs w:val="16"/>
              </w:rPr>
              <w:t>Pain Management</w:t>
            </w:r>
          </w:p>
        </w:tc>
        <w:tc>
          <w:tcPr>
            <w:tcW w:w="1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FCBABCB">
            <w:pPr>
              <w:jc w:val="center"/>
            </w:pPr>
            <w:r>
              <w:rPr>
                <w:rFonts w:ascii="Times New Roman" w:hAnsi="Times New Roman" w:eastAsia="Times New Roman" w:cs="Times New Roman"/>
                <w:sz w:val="16"/>
                <w:szCs w:val="16"/>
              </w:rPr>
              <w:t>18 (12.0)</w:t>
            </w:r>
          </w:p>
        </w:tc>
        <w:tc>
          <w:tcPr>
            <w:tcW w:w="51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C9E2E5A">
            <w:pPr>
              <w:jc w:val="center"/>
            </w:pPr>
            <w:r>
              <w:rPr>
                <w:rFonts w:ascii="Times New Roman" w:hAnsi="Times New Roman" w:eastAsia="Times New Roman" w:cs="Times New Roman"/>
                <w:sz w:val="16"/>
                <w:szCs w:val="16"/>
              </w:rPr>
              <w:t>Opioid safety</w:t>
            </w:r>
          </w:p>
        </w:tc>
      </w:tr>
      <w:tr w14:paraId="37E8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4B69AC7">
            <w:pPr>
              <w:jc w:val="left"/>
            </w:pPr>
            <w:r>
              <w:rPr>
                <w:rFonts w:ascii="Times New Roman" w:hAnsi="Times New Roman" w:eastAsia="Times New Roman" w:cs="Times New Roman"/>
                <w:sz w:val="16"/>
                <w:szCs w:val="16"/>
              </w:rPr>
              <w:t>Psychiatry</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39B2566">
            <w:pPr>
              <w:jc w:val="center"/>
            </w:pPr>
            <w:r>
              <w:rPr>
                <w:rFonts w:ascii="Times New Roman" w:hAnsi="Times New Roman" w:eastAsia="Times New Roman" w:cs="Times New Roman"/>
                <w:sz w:val="16"/>
                <w:szCs w:val="16"/>
              </w:rPr>
              <w:t>16 (10.7)</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E2259B3">
            <w:pPr>
              <w:jc w:val="center"/>
            </w:pPr>
            <w:r>
              <w:rPr>
                <w:rFonts w:ascii="Times New Roman" w:hAnsi="Times New Roman" w:eastAsia="Times New Roman" w:cs="Times New Roman"/>
                <w:sz w:val="16"/>
                <w:szCs w:val="16"/>
              </w:rPr>
              <w:t>Antidepressant DDIs</w:t>
            </w:r>
          </w:p>
        </w:tc>
      </w:tr>
      <w:tr w14:paraId="4CE0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8801EA3">
            <w:pPr>
              <w:jc w:val="left"/>
            </w:pPr>
            <w:r>
              <w:rPr>
                <w:rFonts w:ascii="Times New Roman" w:hAnsi="Times New Roman" w:eastAsia="Times New Roman" w:cs="Times New Roman"/>
                <w:sz w:val="16"/>
                <w:szCs w:val="16"/>
              </w:rPr>
              <w:t>Total</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F2AC5BA">
            <w:pPr>
              <w:jc w:val="center"/>
            </w:pPr>
            <w:r>
              <w:rPr>
                <w:rFonts w:ascii="Times New Roman" w:hAnsi="Times New Roman" w:eastAsia="Times New Roman" w:cs="Times New Roman"/>
                <w:sz w:val="16"/>
                <w:szCs w:val="16"/>
              </w:rPr>
              <w:t>150 (100)</w:t>
            </w:r>
          </w:p>
        </w:tc>
        <w:tc>
          <w:tcPr>
            <w:tcW w:w="51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5158C43">
            <w:pPr>
              <w:jc w:val="center"/>
            </w:pPr>
            <w:r>
              <w:rPr>
                <w:rFonts w:ascii="Times New Roman" w:hAnsi="Times New Roman" w:eastAsia="Times New Roman" w:cs="Times New Roman"/>
                <w:sz w:val="16"/>
                <w:szCs w:val="16"/>
              </w:rPr>
              <w:t>—</w:t>
            </w:r>
          </w:p>
        </w:tc>
      </w:tr>
    </w:tbl>
    <w:p w14:paraId="583B6840">
      <w:pPr>
        <w:spacing w:before="0" w:after="80"/>
      </w:pPr>
    </w:p>
    <w:p w14:paraId="19564FFB">
      <w:pPr>
        <w:spacing w:before="120" w:after="60"/>
        <w:jc w:val="left"/>
      </w:pPr>
      <w:r>
        <w:rPr>
          <w:rFonts w:ascii="Times New Roman" w:hAnsi="Times New Roman" w:eastAsia="Times New Roman" w:cs="Times New Roman"/>
          <w:b/>
          <w:bCs/>
          <w:i/>
          <w:iCs/>
          <w:sz w:val="20"/>
          <w:szCs w:val="20"/>
        </w:rPr>
        <w:t>F. Evaluation Protocol</w:t>
      </w:r>
    </w:p>
    <w:p w14:paraId="78E3F0E6">
      <w:pPr>
        <w:spacing w:before="0" w:after="60" w:line="240" w:lineRule="auto"/>
        <w:ind w:firstLine="360"/>
        <w:jc w:val="both"/>
      </w:pPr>
      <w:r>
        <w:t>Five metrics were computed using RAGAS automated scoring against the reference-answer benchmark developed for this study: (1) Hallucination Rate — proportion of responses with at least one fabricated clinical claim; (2) Faithfulness — semantic consistency with retrieved passages [0–1]; (3) Answer Relevance — embedding similarity between answer and question intent [0–1]; (4) Factual Accuracy — proportion of claims corroborated by authoritative sources; (5) Context Precision — proportion of retrieved passages genuinely relevant to the query [0–1].</w:t>
      </w:r>
    </w:p>
    <w:p w14:paraId="0A5BF6E4">
      <w:pPr>
        <w:spacing w:before="160" w:after="80"/>
        <w:jc w:val="center"/>
      </w:pPr>
      <w:r>
        <w:rPr>
          <w:rFonts w:ascii="Times New Roman" w:hAnsi="Times New Roman" w:eastAsia="Times New Roman" w:cs="Times New Roman"/>
          <w:b/>
          <w:bCs/>
          <w:smallCaps/>
          <w:sz w:val="20"/>
          <w:szCs w:val="20"/>
        </w:rPr>
        <w:t>IV. Experimental Results</w:t>
      </w:r>
    </w:p>
    <w:p w14:paraId="3A5CE76E">
      <w:pPr>
        <w:spacing w:before="120" w:after="60"/>
        <w:jc w:val="left"/>
      </w:pPr>
      <w:r>
        <w:rPr>
          <w:rFonts w:ascii="Times New Roman" w:hAnsi="Times New Roman" w:eastAsia="Times New Roman" w:cs="Times New Roman"/>
          <w:b/>
          <w:bCs/>
          <w:i/>
          <w:iCs/>
          <w:sz w:val="20"/>
          <w:szCs w:val="20"/>
        </w:rPr>
        <w:t>A. Main Results</w:t>
      </w:r>
    </w:p>
    <w:p w14:paraId="621A3FCF">
      <w:pPr>
        <w:spacing w:before="0" w:after="60" w:line="240" w:lineRule="auto"/>
        <w:ind w:firstLine="360"/>
        <w:jc w:val="both"/>
      </w:pPr>
      <w:r>
        <w:rPr>
          <w:rFonts w:ascii="Times New Roman" w:hAnsi="Times New Roman" w:eastAsia="Times New Roman" w:cs="Times New Roman"/>
          <w:sz w:val="20"/>
          <w:szCs w:val="20"/>
        </w:rPr>
        <w:t>Table III summarizes the primary comparison between the RAG system and the LLM-only baseline across all 150 questions. The RAG pipeline produces statistically significant improvements on all five dimensions.</w:t>
      </w:r>
    </w:p>
    <w:p w14:paraId="0C65FFBF">
      <w:pPr>
        <w:spacing w:before="60" w:after="60"/>
        <w:jc w:val="center"/>
      </w:pPr>
      <w:r>
        <w:rPr>
          <w:rFonts w:ascii="Times New Roman" w:hAnsi="Times New Roman" w:eastAsia="Times New Roman" w:cs="Times New Roman"/>
          <w:b/>
          <w:bCs/>
          <w:sz w:val="18"/>
          <w:szCs w:val="18"/>
        </w:rPr>
        <w:t>TABLE III</w:t>
      </w:r>
    </w:p>
    <w:p w14:paraId="6B001AB7">
      <w:pPr>
        <w:spacing w:before="60" w:after="60"/>
        <w:jc w:val="center"/>
      </w:pPr>
      <w:r>
        <w:rPr>
          <w:rFonts w:ascii="Times New Roman" w:hAnsi="Times New Roman" w:eastAsia="Times New Roman" w:cs="Times New Roman"/>
          <w:b/>
          <w:bCs/>
          <w:sz w:val="18"/>
          <w:szCs w:val="18"/>
        </w:rPr>
        <w:t>Main Results — RAG vs. Baseline (N = 150)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1600"/>
        <w:gridCol w:w="1760"/>
        <w:gridCol w:w="1600"/>
      </w:tblGrid>
      <w:tr w14:paraId="2EB6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566D0D3">
            <w:pPr>
              <w:jc w:val="center"/>
            </w:pPr>
            <w:r>
              <w:rPr>
                <w:rFonts w:ascii="Times New Roman" w:hAnsi="Times New Roman" w:eastAsia="Times New Roman" w:cs="Times New Roman"/>
                <w:b/>
                <w:bCs/>
                <w:sz w:val="16"/>
                <w:szCs w:val="16"/>
              </w:rPr>
              <w:t>Metric</w:t>
            </w:r>
          </w:p>
        </w:tc>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763A1B9A">
            <w:pPr>
              <w:jc w:val="center"/>
            </w:pPr>
            <w:r>
              <w:rPr>
                <w:rFonts w:ascii="Times New Roman" w:hAnsi="Times New Roman" w:eastAsia="Times New Roman" w:cs="Times New Roman"/>
                <w:b/>
                <w:bCs/>
                <w:sz w:val="16"/>
                <w:szCs w:val="16"/>
              </w:rPr>
              <w:t>Baseline</w:t>
            </w:r>
          </w:p>
        </w:tc>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63BD5EA0">
            <w:pPr>
              <w:jc w:val="center"/>
            </w:pPr>
            <w:r>
              <w:rPr>
                <w:rFonts w:ascii="Times New Roman" w:hAnsi="Times New Roman" w:eastAsia="Times New Roman" w:cs="Times New Roman"/>
                <w:b/>
                <w:bCs/>
                <w:sz w:val="16"/>
                <w:szCs w:val="16"/>
              </w:rPr>
              <w:t>RAG</w:t>
            </w:r>
          </w:p>
        </w:tc>
        <w:tc>
          <w:tcPr>
            <w:tcW w:w="176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652E4E5">
            <w:pPr>
              <w:jc w:val="center"/>
            </w:pPr>
            <w:r>
              <w:rPr>
                <w:rFonts w:ascii="Times New Roman" w:hAnsi="Times New Roman" w:eastAsia="Times New Roman" w:cs="Times New Roman"/>
                <w:b/>
                <w:bCs/>
                <w:sz w:val="16"/>
                <w:szCs w:val="16"/>
              </w:rPr>
              <w:t>Δ</w:t>
            </w:r>
          </w:p>
        </w:tc>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04CB0D6A">
            <w:pPr>
              <w:jc w:val="center"/>
            </w:pPr>
            <w:r>
              <w:rPr>
                <w:rFonts w:ascii="Times New Roman" w:hAnsi="Times New Roman" w:eastAsia="Times New Roman" w:cs="Times New Roman"/>
                <w:b/>
                <w:bCs/>
                <w:sz w:val="16"/>
                <w:szCs w:val="16"/>
              </w:rPr>
              <w:t>p-value</w:t>
            </w:r>
          </w:p>
        </w:tc>
      </w:tr>
      <w:tr w14:paraId="650E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C16E247">
            <w:pPr>
              <w:jc w:val="left"/>
            </w:pPr>
            <w:r>
              <w:rPr>
                <w:rFonts w:ascii="Times New Roman" w:hAnsi="Times New Roman" w:eastAsia="Times New Roman" w:cs="Times New Roman"/>
                <w:sz w:val="16"/>
                <w:szCs w:val="16"/>
              </w:rPr>
              <w:t>Hallucination Rate ↓</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6BD8036">
            <w:pPr>
              <w:jc w:val="center"/>
            </w:pPr>
            <w:r>
              <w:rPr>
                <w:rFonts w:ascii="Times New Roman" w:hAnsi="Times New Roman" w:eastAsia="Times New Roman" w:cs="Times New Roman"/>
                <w:sz w:val="16"/>
                <w:szCs w:val="16"/>
              </w:rPr>
              <w:t>47.8%</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BF1646F">
            <w:pPr>
              <w:jc w:val="center"/>
            </w:pPr>
            <w:r>
              <w:rPr>
                <w:rFonts w:ascii="Times New Roman" w:hAnsi="Times New Roman" w:eastAsia="Times New Roman" w:cs="Times New Roman"/>
                <w:sz w:val="16"/>
                <w:szCs w:val="16"/>
              </w:rPr>
              <w:t>12.3%</w:t>
            </w:r>
          </w:p>
        </w:tc>
        <w:tc>
          <w:tcPr>
            <w:tcW w:w="17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09A0F59">
            <w:pPr>
              <w:jc w:val="center"/>
            </w:pPr>
            <w:r>
              <w:rPr>
                <w:rFonts w:ascii="Times New Roman" w:hAnsi="Times New Roman" w:eastAsia="Times New Roman" w:cs="Times New Roman"/>
                <w:sz w:val="16"/>
                <w:szCs w:val="16"/>
              </w:rPr>
              <w:t>−35.5 pp</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C13D144">
            <w:pPr>
              <w:jc w:val="center"/>
            </w:pPr>
            <w:r>
              <w:rPr>
                <w:rFonts w:ascii="Times New Roman" w:hAnsi="Times New Roman" w:eastAsia="Times New Roman" w:cs="Times New Roman"/>
                <w:sz w:val="16"/>
                <w:szCs w:val="16"/>
              </w:rPr>
              <w:t>&lt;0.001</w:t>
            </w:r>
          </w:p>
        </w:tc>
      </w:tr>
      <w:tr w14:paraId="0C48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3EADDDF">
            <w:pPr>
              <w:jc w:val="left"/>
            </w:pPr>
            <w:r>
              <w:rPr>
                <w:rFonts w:ascii="Times New Roman" w:hAnsi="Times New Roman" w:eastAsia="Times New Roman" w:cs="Times New Roman"/>
                <w:sz w:val="16"/>
                <w:szCs w:val="16"/>
              </w:rPr>
              <w:t>Faithfulness ↑</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18496CF">
            <w:pPr>
              <w:jc w:val="center"/>
            </w:pPr>
            <w:r>
              <w:rPr>
                <w:rFonts w:ascii="Times New Roman" w:hAnsi="Times New Roman" w:eastAsia="Times New Roman" w:cs="Times New Roman"/>
                <w:sz w:val="16"/>
                <w:szCs w:val="16"/>
              </w:rPr>
              <w:t>0.52</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6D35333">
            <w:pPr>
              <w:jc w:val="center"/>
            </w:pPr>
            <w:r>
              <w:rPr>
                <w:rFonts w:ascii="Times New Roman" w:hAnsi="Times New Roman" w:eastAsia="Times New Roman" w:cs="Times New Roman"/>
                <w:sz w:val="16"/>
                <w:szCs w:val="16"/>
              </w:rPr>
              <w:t>0.87</w:t>
            </w:r>
          </w:p>
        </w:tc>
        <w:tc>
          <w:tcPr>
            <w:tcW w:w="17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50229EA">
            <w:pPr>
              <w:jc w:val="center"/>
            </w:pPr>
            <w:r>
              <w:rPr>
                <w:rFonts w:ascii="Times New Roman" w:hAnsi="Times New Roman" w:eastAsia="Times New Roman" w:cs="Times New Roman"/>
                <w:sz w:val="16"/>
                <w:szCs w:val="16"/>
              </w:rPr>
              <w:t>+0.35</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D9D33C1">
            <w:pPr>
              <w:jc w:val="center"/>
            </w:pPr>
            <w:r>
              <w:rPr>
                <w:rFonts w:ascii="Times New Roman" w:hAnsi="Times New Roman" w:eastAsia="Times New Roman" w:cs="Times New Roman"/>
                <w:sz w:val="16"/>
                <w:szCs w:val="16"/>
              </w:rPr>
              <w:t>&lt;0.001</w:t>
            </w:r>
          </w:p>
        </w:tc>
      </w:tr>
      <w:tr w14:paraId="605C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9A9B2F0">
            <w:pPr>
              <w:jc w:val="left"/>
            </w:pPr>
            <w:r>
              <w:rPr>
                <w:rFonts w:ascii="Times New Roman" w:hAnsi="Times New Roman" w:eastAsia="Times New Roman" w:cs="Times New Roman"/>
                <w:sz w:val="16"/>
                <w:szCs w:val="16"/>
              </w:rPr>
              <w:t>Answer Relevance ↑</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BBB2875">
            <w:pPr>
              <w:jc w:val="center"/>
            </w:pPr>
            <w:r>
              <w:rPr>
                <w:rFonts w:ascii="Times New Roman" w:hAnsi="Times New Roman" w:eastAsia="Times New Roman" w:cs="Times New Roman"/>
                <w:sz w:val="16"/>
                <w:szCs w:val="16"/>
              </w:rPr>
              <w:t>0.61</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5AEA278">
            <w:pPr>
              <w:jc w:val="center"/>
            </w:pPr>
            <w:r>
              <w:rPr>
                <w:rFonts w:ascii="Times New Roman" w:hAnsi="Times New Roman" w:eastAsia="Times New Roman" w:cs="Times New Roman"/>
                <w:sz w:val="16"/>
                <w:szCs w:val="16"/>
              </w:rPr>
              <w:t>0.83</w:t>
            </w:r>
          </w:p>
        </w:tc>
        <w:tc>
          <w:tcPr>
            <w:tcW w:w="17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5CA8C98">
            <w:pPr>
              <w:jc w:val="center"/>
            </w:pPr>
            <w:r>
              <w:rPr>
                <w:rFonts w:ascii="Times New Roman" w:hAnsi="Times New Roman" w:eastAsia="Times New Roman" w:cs="Times New Roman"/>
                <w:sz w:val="16"/>
                <w:szCs w:val="16"/>
              </w:rPr>
              <w:t>+0.22</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532576E">
            <w:pPr>
              <w:jc w:val="center"/>
            </w:pPr>
            <w:r>
              <w:rPr>
                <w:rFonts w:ascii="Times New Roman" w:hAnsi="Times New Roman" w:eastAsia="Times New Roman" w:cs="Times New Roman"/>
                <w:sz w:val="16"/>
                <w:szCs w:val="16"/>
              </w:rPr>
              <w:t>&lt;0.001</w:t>
            </w:r>
          </w:p>
        </w:tc>
      </w:tr>
      <w:tr w14:paraId="2890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711AA70F">
            <w:pPr>
              <w:jc w:val="left"/>
            </w:pPr>
            <w:r>
              <w:rPr>
                <w:rFonts w:ascii="Times New Roman" w:hAnsi="Times New Roman" w:eastAsia="Times New Roman" w:cs="Times New Roman"/>
                <w:sz w:val="16"/>
                <w:szCs w:val="16"/>
              </w:rPr>
              <w:t>Factual Accuracy ↑</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510AC40">
            <w:pPr>
              <w:jc w:val="center"/>
            </w:pPr>
            <w:r>
              <w:rPr>
                <w:rFonts w:ascii="Times New Roman" w:hAnsi="Times New Roman" w:eastAsia="Times New Roman" w:cs="Times New Roman"/>
                <w:sz w:val="16"/>
                <w:szCs w:val="16"/>
              </w:rPr>
              <w:t>0.54</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4C618DE">
            <w:pPr>
              <w:jc w:val="center"/>
            </w:pPr>
            <w:r>
              <w:rPr>
                <w:rFonts w:ascii="Times New Roman" w:hAnsi="Times New Roman" w:eastAsia="Times New Roman" w:cs="Times New Roman"/>
                <w:sz w:val="16"/>
                <w:szCs w:val="16"/>
              </w:rPr>
              <w:t>0.89</w:t>
            </w:r>
          </w:p>
        </w:tc>
        <w:tc>
          <w:tcPr>
            <w:tcW w:w="17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C79B39F">
            <w:pPr>
              <w:jc w:val="center"/>
            </w:pPr>
            <w:r>
              <w:rPr>
                <w:rFonts w:ascii="Times New Roman" w:hAnsi="Times New Roman" w:eastAsia="Times New Roman" w:cs="Times New Roman"/>
                <w:sz w:val="16"/>
                <w:szCs w:val="16"/>
              </w:rPr>
              <w:t>+0.35</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536A62D">
            <w:pPr>
              <w:jc w:val="center"/>
            </w:pPr>
            <w:r>
              <w:rPr>
                <w:rFonts w:ascii="Times New Roman" w:hAnsi="Times New Roman" w:eastAsia="Times New Roman" w:cs="Times New Roman"/>
                <w:sz w:val="16"/>
                <w:szCs w:val="16"/>
              </w:rPr>
              <w:t>&lt;0.001</w:t>
            </w:r>
          </w:p>
        </w:tc>
      </w:tr>
      <w:tr w14:paraId="65BF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B393E9D">
            <w:pPr>
              <w:jc w:val="left"/>
            </w:pPr>
            <w:r>
              <w:rPr>
                <w:rFonts w:ascii="Times New Roman" w:hAnsi="Times New Roman" w:eastAsia="Times New Roman" w:cs="Times New Roman"/>
                <w:sz w:val="16"/>
                <w:szCs w:val="16"/>
              </w:rPr>
              <w:t>Context Precision ↑</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0EFCA3E">
            <w:pPr>
              <w:jc w:val="center"/>
            </w:pPr>
            <w:r>
              <w:rPr>
                <w:rFonts w:ascii="Times New Roman" w:hAnsi="Times New Roman" w:eastAsia="Times New Roman" w:cs="Times New Roman"/>
                <w:sz w:val="16"/>
                <w:szCs w:val="16"/>
              </w:rPr>
              <w:t>N/A</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59E55B4">
            <w:pPr>
              <w:jc w:val="center"/>
            </w:pPr>
            <w:r>
              <w:rPr>
                <w:rFonts w:ascii="Times New Roman" w:hAnsi="Times New Roman" w:eastAsia="Times New Roman" w:cs="Times New Roman"/>
                <w:sz w:val="16"/>
                <w:szCs w:val="16"/>
              </w:rPr>
              <w:t>0.78</w:t>
            </w:r>
          </w:p>
        </w:tc>
        <w:tc>
          <w:tcPr>
            <w:tcW w:w="176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D788DC4">
            <w:pPr>
              <w:jc w:val="center"/>
            </w:pPr>
            <w:r>
              <w:rPr>
                <w:rFonts w:ascii="Times New Roman" w:hAnsi="Times New Roman" w:eastAsia="Times New Roman" w:cs="Times New Roman"/>
                <w:sz w:val="16"/>
                <w:szCs w:val="16"/>
              </w:rPr>
              <w:t>—</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54B68AE">
            <w:pPr>
              <w:jc w:val="center"/>
            </w:pPr>
            <w:r>
              <w:rPr>
                <w:rFonts w:ascii="Times New Roman" w:hAnsi="Times New Roman" w:eastAsia="Times New Roman" w:cs="Times New Roman"/>
                <w:sz w:val="16"/>
                <w:szCs w:val="16"/>
              </w:rPr>
              <w:t>—</w:t>
            </w:r>
          </w:p>
        </w:tc>
      </w:tr>
      <w:tr w14:paraId="076C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7E8D0AF4">
            <w:pPr>
              <w:jc w:val="left"/>
            </w:pPr>
            <w:r>
              <w:rPr>
                <w:rFonts w:ascii="Times New Roman" w:hAnsi="Times New Roman" w:eastAsia="Times New Roman" w:cs="Times New Roman"/>
                <w:sz w:val="16"/>
                <w:szCs w:val="16"/>
              </w:rPr>
              <w:t>Latency (s)</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7A5D206">
            <w:pPr>
              <w:jc w:val="center"/>
            </w:pPr>
            <w:r>
              <w:rPr>
                <w:rFonts w:ascii="Times New Roman" w:hAnsi="Times New Roman" w:eastAsia="Times New Roman" w:cs="Times New Roman"/>
                <w:sz w:val="16"/>
                <w:szCs w:val="16"/>
              </w:rPr>
              <w:t>1.1</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36FA410">
            <w:pPr>
              <w:jc w:val="center"/>
            </w:pPr>
            <w:r>
              <w:rPr>
                <w:rFonts w:ascii="Times New Roman" w:hAnsi="Times New Roman" w:eastAsia="Times New Roman" w:cs="Times New Roman"/>
                <w:sz w:val="16"/>
                <w:szCs w:val="16"/>
              </w:rPr>
              <w:t>3.2</w:t>
            </w:r>
          </w:p>
        </w:tc>
        <w:tc>
          <w:tcPr>
            <w:tcW w:w="176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4C28CF3">
            <w:pPr>
              <w:jc w:val="center"/>
            </w:pPr>
            <w:r>
              <w:rPr>
                <w:rFonts w:ascii="Times New Roman" w:hAnsi="Times New Roman" w:eastAsia="Times New Roman" w:cs="Times New Roman"/>
                <w:sz w:val="16"/>
                <w:szCs w:val="16"/>
              </w:rPr>
              <w:t>+2.1</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59DF2BD">
            <w:pPr>
              <w:jc w:val="center"/>
            </w:pPr>
            <w:r>
              <w:rPr>
                <w:rFonts w:ascii="Times New Roman" w:hAnsi="Times New Roman" w:eastAsia="Times New Roman" w:cs="Times New Roman"/>
                <w:sz w:val="16"/>
                <w:szCs w:val="16"/>
              </w:rPr>
              <w:t>—</w:t>
            </w:r>
          </w:p>
        </w:tc>
      </w:tr>
    </w:tbl>
    <w:p w14:paraId="03CF9A2B">
      <w:pPr>
        <w:spacing w:before="0" w:after="80"/>
      </w:pPr>
    </w:p>
    <w:p w14:paraId="08CB6C23">
      <w:pPr>
        <w:spacing w:before="0" w:after="60" w:line="240" w:lineRule="auto"/>
        <w:ind w:firstLine="360"/>
        <w:jc w:val="both"/>
      </w:pPr>
      <w:r>
        <w:rPr>
          <w:rFonts w:ascii="Times New Roman" w:hAnsi="Times New Roman" w:eastAsia="Times New Roman" w:cs="Times New Roman"/>
          <w:sz w:val="20"/>
          <w:szCs w:val="20"/>
        </w:rPr>
        <w:t>The most clinically significant finding is the reduction in Hallucination Rate from 47.8% to 12.3% — a 74.3% relative reduction. Residual RAG hallucinations are predominantly omission-type (retrieval failures) rather than commission-type (false assertions), which is the safer failure mode in clinical applications.</w:t>
      </w:r>
    </w:p>
    <w:p w14:paraId="7D41EBE9">
      <w:pPr>
        <w:spacing w:before="120" w:after="60"/>
        <w:jc w:val="left"/>
      </w:pPr>
      <w:r>
        <w:rPr>
          <w:rFonts w:ascii="Times New Roman" w:hAnsi="Times New Roman" w:eastAsia="Times New Roman" w:cs="Times New Roman"/>
          <w:b/>
          <w:bCs/>
          <w:i/>
          <w:iCs/>
          <w:sz w:val="20"/>
          <w:szCs w:val="20"/>
        </w:rPr>
        <w:t>B. Category-Wise Analysis</w:t>
      </w:r>
    </w:p>
    <w:p w14:paraId="14E5CC4C">
      <w:pPr>
        <w:spacing w:before="0" w:after="60" w:line="240" w:lineRule="auto"/>
        <w:ind w:firstLine="360"/>
        <w:jc w:val="both"/>
      </w:pPr>
      <w:r>
        <w:rPr>
          <w:rFonts w:ascii="Times New Roman" w:hAnsi="Times New Roman" w:eastAsia="Times New Roman" w:cs="Times New Roman"/>
          <w:sz w:val="20"/>
          <w:szCs w:val="20"/>
        </w:rPr>
        <w:t>Hallucination rates were highest in Oncology (baseline 61.4%) and Pain Management (55.3%) — categories where dosing precision and drug-interaction specificity are most critical. The RAG system showed its greatest benefit in these high-risk categories, with Oncology improving by 44.8 pp and Pain Management by 40.3 pp.</w:t>
      </w:r>
    </w:p>
    <w:p w14:paraId="79BA0B6B">
      <w:pPr>
        <w:spacing w:before="60" w:after="60"/>
        <w:jc w:val="center"/>
      </w:pPr>
      <w:r>
        <w:rPr>
          <w:rFonts w:ascii="Times New Roman" w:hAnsi="Times New Roman" w:eastAsia="Times New Roman" w:cs="Times New Roman"/>
          <w:b/>
          <w:bCs/>
          <w:sz w:val="18"/>
          <w:szCs w:val="18"/>
        </w:rPr>
        <w:t>TABLE IV</w:t>
      </w:r>
    </w:p>
    <w:p w14:paraId="17BF3697">
      <w:pPr>
        <w:spacing w:before="60" w:after="60"/>
        <w:jc w:val="center"/>
      </w:pPr>
      <w:r>
        <w:rPr>
          <w:rFonts w:ascii="Times New Roman" w:hAnsi="Times New Roman" w:eastAsia="Times New Roman" w:cs="Times New Roman"/>
          <w:b/>
          <w:bCs/>
          <w:sz w:val="18"/>
          <w:szCs w:val="18"/>
        </w:rPr>
        <w:t>Category-Wise Hallucination Rates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4"/>
        <w:gridCol w:w="1581"/>
        <w:gridCol w:w="1581"/>
        <w:gridCol w:w="1710"/>
        <w:gridCol w:w="1924"/>
      </w:tblGrid>
      <w:tr w14:paraId="5790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F66B6A3">
            <w:pPr>
              <w:jc w:val="center"/>
            </w:pPr>
            <w:r>
              <w:rPr>
                <w:rFonts w:ascii="Times New Roman" w:hAnsi="Times New Roman" w:eastAsia="Times New Roman" w:cs="Times New Roman"/>
                <w:b/>
                <w:bCs/>
                <w:sz w:val="16"/>
                <w:szCs w:val="16"/>
              </w:rPr>
              <w:t>Category</w:t>
            </w:r>
          </w:p>
        </w:tc>
        <w:tc>
          <w:tcPr>
            <w:tcW w:w="148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47E0C85D">
            <w:pPr>
              <w:jc w:val="center"/>
            </w:pPr>
            <w:r>
              <w:rPr>
                <w:rFonts w:ascii="Times New Roman" w:hAnsi="Times New Roman" w:eastAsia="Times New Roman" w:cs="Times New Roman"/>
                <w:b/>
                <w:bCs/>
                <w:sz w:val="16"/>
                <w:szCs w:val="16"/>
              </w:rPr>
              <w:t>Baseline</w:t>
            </w:r>
          </w:p>
        </w:tc>
        <w:tc>
          <w:tcPr>
            <w:tcW w:w="148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6BF468E9">
            <w:pPr>
              <w:jc w:val="center"/>
            </w:pPr>
            <w:r>
              <w:rPr>
                <w:rFonts w:ascii="Times New Roman" w:hAnsi="Times New Roman" w:eastAsia="Times New Roman" w:cs="Times New Roman"/>
                <w:b/>
                <w:bCs/>
                <w:sz w:val="16"/>
                <w:szCs w:val="16"/>
              </w:rPr>
              <w:t>RAG</w:t>
            </w:r>
          </w:p>
        </w:tc>
        <w:tc>
          <w:tcPr>
            <w:tcW w:w="16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3E77786B">
            <w:pPr>
              <w:jc w:val="center"/>
            </w:pPr>
            <w:r>
              <w:rPr>
                <w:rFonts w:ascii="Times New Roman" w:hAnsi="Times New Roman" w:eastAsia="Times New Roman" w:cs="Times New Roman"/>
                <w:b/>
                <w:bCs/>
                <w:sz w:val="16"/>
                <w:szCs w:val="16"/>
              </w:rPr>
              <w:t>Reduction</w:t>
            </w:r>
          </w:p>
        </w:tc>
        <w:tc>
          <w:tcPr>
            <w:tcW w:w="1800" w:type="dxa"/>
            <w:tcBorders>
              <w:top w:val="single" w:color="000000" w:sz="4" w:space="0"/>
              <w:left w:val="single" w:color="000000" w:sz="4" w:space="0"/>
              <w:bottom w:val="single" w:color="000000" w:sz="4" w:space="0"/>
              <w:right w:val="single" w:color="000000" w:sz="4" w:space="0"/>
            </w:tcBorders>
            <w:shd w:val="clear" w:color="auto" w:fill="D0D0D0"/>
            <w:tcMar>
              <w:top w:w="40" w:type="dxa"/>
              <w:left w:w="80" w:type="dxa"/>
              <w:bottom w:w="40" w:type="dxa"/>
              <w:right w:w="80" w:type="dxa"/>
            </w:tcMar>
          </w:tcPr>
          <w:p w14:paraId="15A48CBB">
            <w:pPr>
              <w:jc w:val="center"/>
            </w:pPr>
            <w:r>
              <w:rPr>
                <w:rFonts w:ascii="Times New Roman" w:hAnsi="Times New Roman" w:eastAsia="Times New Roman" w:cs="Times New Roman"/>
                <w:b/>
                <w:bCs/>
                <w:sz w:val="16"/>
                <w:szCs w:val="16"/>
              </w:rPr>
              <w:t>Faith.</w:t>
            </w:r>
          </w:p>
        </w:tc>
      </w:tr>
      <w:tr w14:paraId="46B68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0E76095">
            <w:pPr>
              <w:jc w:val="left"/>
            </w:pPr>
            <w:r>
              <w:rPr>
                <w:rFonts w:ascii="Times New Roman" w:hAnsi="Times New Roman" w:eastAsia="Times New Roman" w:cs="Times New Roman"/>
                <w:sz w:val="16"/>
                <w:szCs w:val="16"/>
              </w:rPr>
              <w:t>Cardiovascular</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4B81500">
            <w:pPr>
              <w:jc w:val="center"/>
            </w:pPr>
            <w:r>
              <w:rPr>
                <w:rFonts w:ascii="Times New Roman" w:hAnsi="Times New Roman" w:eastAsia="Times New Roman" w:cs="Times New Roman"/>
                <w:sz w:val="16"/>
                <w:szCs w:val="16"/>
              </w:rPr>
              <w:t>52.1%</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74F2AC0">
            <w:pPr>
              <w:jc w:val="center"/>
            </w:pPr>
            <w:r>
              <w:rPr>
                <w:rFonts w:ascii="Times New Roman" w:hAnsi="Times New Roman" w:eastAsia="Times New Roman" w:cs="Times New Roman"/>
                <w:sz w:val="16"/>
                <w:szCs w:val="16"/>
              </w:rPr>
              <w:t>14.2%</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671C036">
            <w:pPr>
              <w:jc w:val="center"/>
            </w:pPr>
            <w:r>
              <w:rPr>
                <w:rFonts w:ascii="Times New Roman" w:hAnsi="Times New Roman" w:eastAsia="Times New Roman" w:cs="Times New Roman"/>
                <w:sz w:val="16"/>
                <w:szCs w:val="16"/>
              </w:rPr>
              <w:t>37.9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BAC2DA5">
            <w:pPr>
              <w:jc w:val="center"/>
            </w:pPr>
            <w:r>
              <w:rPr>
                <w:rFonts w:ascii="Times New Roman" w:hAnsi="Times New Roman" w:eastAsia="Times New Roman" w:cs="Times New Roman"/>
                <w:sz w:val="16"/>
                <w:szCs w:val="16"/>
              </w:rPr>
              <w:t>0.88</w:t>
            </w:r>
          </w:p>
        </w:tc>
      </w:tr>
      <w:tr w14:paraId="59663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F68150E">
            <w:pPr>
              <w:jc w:val="left"/>
            </w:pPr>
            <w:r>
              <w:rPr>
                <w:rFonts w:ascii="Times New Roman" w:hAnsi="Times New Roman" w:eastAsia="Times New Roman" w:cs="Times New Roman"/>
                <w:sz w:val="16"/>
                <w:szCs w:val="16"/>
              </w:rPr>
              <w:t>Oncology</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6A488DCB">
            <w:pPr>
              <w:jc w:val="center"/>
            </w:pPr>
            <w:r>
              <w:rPr>
                <w:rFonts w:ascii="Times New Roman" w:hAnsi="Times New Roman" w:eastAsia="Times New Roman" w:cs="Times New Roman"/>
                <w:sz w:val="16"/>
                <w:szCs w:val="16"/>
              </w:rPr>
              <w:t>61.4%</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D83D12B">
            <w:pPr>
              <w:jc w:val="center"/>
            </w:pPr>
            <w:r>
              <w:rPr>
                <w:rFonts w:ascii="Times New Roman" w:hAnsi="Times New Roman" w:eastAsia="Times New Roman" w:cs="Times New Roman"/>
                <w:sz w:val="16"/>
                <w:szCs w:val="16"/>
              </w:rPr>
              <w:t>16.6%</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59BC44E">
            <w:pPr>
              <w:jc w:val="center"/>
            </w:pPr>
            <w:r>
              <w:rPr>
                <w:rFonts w:ascii="Times New Roman" w:hAnsi="Times New Roman" w:eastAsia="Times New Roman" w:cs="Times New Roman"/>
                <w:sz w:val="16"/>
                <w:szCs w:val="16"/>
              </w:rPr>
              <w:t>44.8 pp</w:t>
            </w:r>
          </w:p>
        </w:tc>
        <w:tc>
          <w:tcPr>
            <w:tcW w:w="1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1A91F8D">
            <w:pPr>
              <w:jc w:val="center"/>
            </w:pPr>
            <w:r>
              <w:rPr>
                <w:rFonts w:ascii="Times New Roman" w:hAnsi="Times New Roman" w:eastAsia="Times New Roman" w:cs="Times New Roman"/>
                <w:sz w:val="16"/>
                <w:szCs w:val="16"/>
              </w:rPr>
              <w:t>0.85</w:t>
            </w:r>
          </w:p>
        </w:tc>
      </w:tr>
      <w:tr w14:paraId="70F7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59E5E30">
            <w:pPr>
              <w:jc w:val="left"/>
            </w:pPr>
            <w:r>
              <w:rPr>
                <w:rFonts w:ascii="Times New Roman" w:hAnsi="Times New Roman" w:eastAsia="Times New Roman" w:cs="Times New Roman"/>
                <w:sz w:val="16"/>
                <w:szCs w:val="16"/>
              </w:rPr>
              <w:t>Endocrinology</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F880E69">
            <w:pPr>
              <w:jc w:val="center"/>
            </w:pPr>
            <w:r>
              <w:rPr>
                <w:rFonts w:ascii="Times New Roman" w:hAnsi="Times New Roman" w:eastAsia="Times New Roman" w:cs="Times New Roman"/>
                <w:sz w:val="16"/>
                <w:szCs w:val="16"/>
              </w:rPr>
              <w:t>43.2%</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7498FF8">
            <w:pPr>
              <w:jc w:val="center"/>
            </w:pPr>
            <w:r>
              <w:rPr>
                <w:rFonts w:ascii="Times New Roman" w:hAnsi="Times New Roman" w:eastAsia="Times New Roman" w:cs="Times New Roman"/>
                <w:sz w:val="16"/>
                <w:szCs w:val="16"/>
              </w:rPr>
              <w:t>10.1%</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9CD5EA6">
            <w:pPr>
              <w:jc w:val="center"/>
            </w:pPr>
            <w:r>
              <w:rPr>
                <w:rFonts w:ascii="Times New Roman" w:hAnsi="Times New Roman" w:eastAsia="Times New Roman" w:cs="Times New Roman"/>
                <w:sz w:val="16"/>
                <w:szCs w:val="16"/>
              </w:rPr>
              <w:t>33.1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D9D17FB">
            <w:pPr>
              <w:jc w:val="center"/>
            </w:pPr>
            <w:r>
              <w:rPr>
                <w:rFonts w:ascii="Times New Roman" w:hAnsi="Times New Roman" w:eastAsia="Times New Roman" w:cs="Times New Roman"/>
                <w:sz w:val="16"/>
                <w:szCs w:val="16"/>
              </w:rPr>
              <w:t>0.89</w:t>
            </w:r>
          </w:p>
        </w:tc>
      </w:tr>
      <w:tr w14:paraId="11B5A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06543FF">
            <w:pPr>
              <w:jc w:val="left"/>
            </w:pPr>
            <w:r>
              <w:rPr>
                <w:rFonts w:ascii="Times New Roman" w:hAnsi="Times New Roman" w:eastAsia="Times New Roman" w:cs="Times New Roman"/>
                <w:sz w:val="16"/>
                <w:szCs w:val="16"/>
              </w:rPr>
              <w:t>Inf. Disease</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ABAE7AC">
            <w:pPr>
              <w:jc w:val="center"/>
            </w:pPr>
            <w:r>
              <w:rPr>
                <w:rFonts w:ascii="Times New Roman" w:hAnsi="Times New Roman" w:eastAsia="Times New Roman" w:cs="Times New Roman"/>
                <w:sz w:val="16"/>
                <w:szCs w:val="16"/>
              </w:rPr>
              <w:t>38.9%</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14C4D0A3">
            <w:pPr>
              <w:jc w:val="center"/>
            </w:pPr>
            <w:r>
              <w:rPr>
                <w:rFonts w:ascii="Times New Roman" w:hAnsi="Times New Roman" w:eastAsia="Times New Roman" w:cs="Times New Roman"/>
                <w:sz w:val="16"/>
                <w:szCs w:val="16"/>
              </w:rPr>
              <w:t>8.4%</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4E1A957">
            <w:pPr>
              <w:jc w:val="center"/>
            </w:pPr>
            <w:r>
              <w:rPr>
                <w:rFonts w:ascii="Times New Roman" w:hAnsi="Times New Roman" w:eastAsia="Times New Roman" w:cs="Times New Roman"/>
                <w:sz w:val="16"/>
                <w:szCs w:val="16"/>
              </w:rPr>
              <w:t>30.5 pp</w:t>
            </w:r>
          </w:p>
        </w:tc>
        <w:tc>
          <w:tcPr>
            <w:tcW w:w="1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4FBBA469">
            <w:pPr>
              <w:jc w:val="center"/>
            </w:pPr>
            <w:r>
              <w:rPr>
                <w:rFonts w:ascii="Times New Roman" w:hAnsi="Times New Roman" w:eastAsia="Times New Roman" w:cs="Times New Roman"/>
                <w:sz w:val="16"/>
                <w:szCs w:val="16"/>
              </w:rPr>
              <w:t>0.91</w:t>
            </w:r>
          </w:p>
        </w:tc>
      </w:tr>
      <w:tr w14:paraId="469A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FE461A9">
            <w:pPr>
              <w:jc w:val="left"/>
            </w:pPr>
            <w:r>
              <w:rPr>
                <w:rFonts w:ascii="Times New Roman" w:hAnsi="Times New Roman" w:eastAsia="Times New Roman" w:cs="Times New Roman"/>
                <w:sz w:val="16"/>
                <w:szCs w:val="16"/>
              </w:rPr>
              <w:t>Neurology</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BE0CEB5">
            <w:pPr>
              <w:jc w:val="center"/>
            </w:pPr>
            <w:r>
              <w:rPr>
                <w:rFonts w:ascii="Times New Roman" w:hAnsi="Times New Roman" w:eastAsia="Times New Roman" w:cs="Times New Roman"/>
                <w:sz w:val="16"/>
                <w:szCs w:val="16"/>
              </w:rPr>
              <w:t>49.7%</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65EB7F9E">
            <w:pPr>
              <w:jc w:val="center"/>
            </w:pPr>
            <w:r>
              <w:rPr>
                <w:rFonts w:ascii="Times New Roman" w:hAnsi="Times New Roman" w:eastAsia="Times New Roman" w:cs="Times New Roman"/>
                <w:sz w:val="16"/>
                <w:szCs w:val="16"/>
              </w:rPr>
              <w:t>13.5%</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1178A880">
            <w:pPr>
              <w:jc w:val="center"/>
            </w:pPr>
            <w:r>
              <w:rPr>
                <w:rFonts w:ascii="Times New Roman" w:hAnsi="Times New Roman" w:eastAsia="Times New Roman" w:cs="Times New Roman"/>
                <w:sz w:val="16"/>
                <w:szCs w:val="16"/>
              </w:rPr>
              <w:t>36.2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F99A013">
            <w:pPr>
              <w:jc w:val="center"/>
            </w:pPr>
            <w:r>
              <w:rPr>
                <w:rFonts w:ascii="Times New Roman" w:hAnsi="Times New Roman" w:eastAsia="Times New Roman" w:cs="Times New Roman"/>
                <w:sz w:val="16"/>
                <w:szCs w:val="16"/>
              </w:rPr>
              <w:t>0.86</w:t>
            </w:r>
          </w:p>
        </w:tc>
      </w:tr>
      <w:tr w14:paraId="23F3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0754874E">
            <w:pPr>
              <w:jc w:val="left"/>
            </w:pPr>
            <w:r>
              <w:rPr>
                <w:rFonts w:ascii="Times New Roman" w:hAnsi="Times New Roman" w:eastAsia="Times New Roman" w:cs="Times New Roman"/>
                <w:sz w:val="16"/>
                <w:szCs w:val="16"/>
              </w:rPr>
              <w:t>Pain Mgmt.</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529642FC">
            <w:pPr>
              <w:jc w:val="center"/>
            </w:pPr>
            <w:r>
              <w:rPr>
                <w:rFonts w:ascii="Times New Roman" w:hAnsi="Times New Roman" w:eastAsia="Times New Roman" w:cs="Times New Roman"/>
                <w:sz w:val="16"/>
                <w:szCs w:val="16"/>
              </w:rPr>
              <w:t>55.3%</w:t>
            </w:r>
          </w:p>
        </w:tc>
        <w:tc>
          <w:tcPr>
            <w:tcW w:w="148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23CD7722">
            <w:pPr>
              <w:jc w:val="center"/>
            </w:pPr>
            <w:r>
              <w:rPr>
                <w:rFonts w:ascii="Times New Roman" w:hAnsi="Times New Roman" w:eastAsia="Times New Roman" w:cs="Times New Roman"/>
                <w:sz w:val="16"/>
                <w:szCs w:val="16"/>
              </w:rPr>
              <w:t>15.0%</w:t>
            </w:r>
          </w:p>
        </w:tc>
        <w:tc>
          <w:tcPr>
            <w:tcW w:w="16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326B669A">
            <w:pPr>
              <w:jc w:val="center"/>
            </w:pPr>
            <w:r>
              <w:rPr>
                <w:rFonts w:ascii="Times New Roman" w:hAnsi="Times New Roman" w:eastAsia="Times New Roman" w:cs="Times New Roman"/>
                <w:sz w:val="16"/>
                <w:szCs w:val="16"/>
              </w:rPr>
              <w:t>40.3 pp</w:t>
            </w:r>
          </w:p>
        </w:tc>
        <w:tc>
          <w:tcPr>
            <w:tcW w:w="1800" w:type="dxa"/>
            <w:tcBorders>
              <w:top w:val="single" w:color="000000" w:sz="4" w:space="0"/>
              <w:left w:val="single" w:color="000000" w:sz="4" w:space="0"/>
              <w:bottom w:val="single" w:color="000000" w:sz="4" w:space="0"/>
              <w:right w:val="single" w:color="000000" w:sz="4" w:space="0"/>
            </w:tcBorders>
            <w:shd w:val="clear" w:color="auto" w:fill="F0F0F0"/>
            <w:tcMar>
              <w:top w:w="30" w:type="dxa"/>
              <w:left w:w="80" w:type="dxa"/>
              <w:bottom w:w="30" w:type="dxa"/>
              <w:right w:w="80" w:type="dxa"/>
            </w:tcMar>
          </w:tcPr>
          <w:p w14:paraId="7BFBE409">
            <w:pPr>
              <w:jc w:val="center"/>
            </w:pPr>
            <w:r>
              <w:rPr>
                <w:rFonts w:ascii="Times New Roman" w:hAnsi="Times New Roman" w:eastAsia="Times New Roman" w:cs="Times New Roman"/>
                <w:sz w:val="16"/>
                <w:szCs w:val="16"/>
              </w:rPr>
              <w:t>0.83</w:t>
            </w:r>
          </w:p>
        </w:tc>
      </w:tr>
      <w:tr w14:paraId="16BA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322E9F9">
            <w:pPr>
              <w:jc w:val="left"/>
            </w:pPr>
            <w:r>
              <w:rPr>
                <w:rFonts w:ascii="Times New Roman" w:hAnsi="Times New Roman" w:eastAsia="Times New Roman" w:cs="Times New Roman"/>
                <w:sz w:val="16"/>
                <w:szCs w:val="16"/>
              </w:rPr>
              <w:t>Psychiatry</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CFA72DD">
            <w:pPr>
              <w:jc w:val="center"/>
            </w:pPr>
            <w:r>
              <w:rPr>
                <w:rFonts w:ascii="Times New Roman" w:hAnsi="Times New Roman" w:eastAsia="Times New Roman" w:cs="Times New Roman"/>
                <w:sz w:val="16"/>
                <w:szCs w:val="16"/>
              </w:rPr>
              <w:t>41.8%</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2D6AB48B">
            <w:pPr>
              <w:jc w:val="center"/>
            </w:pPr>
            <w:r>
              <w:rPr>
                <w:rFonts w:ascii="Times New Roman" w:hAnsi="Times New Roman" w:eastAsia="Times New Roman" w:cs="Times New Roman"/>
                <w:sz w:val="16"/>
                <w:szCs w:val="16"/>
              </w:rPr>
              <w:t>9.7%</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55A7C194">
            <w:pPr>
              <w:jc w:val="center"/>
            </w:pPr>
            <w:r>
              <w:rPr>
                <w:rFonts w:ascii="Times New Roman" w:hAnsi="Times New Roman" w:eastAsia="Times New Roman" w:cs="Times New Roman"/>
                <w:sz w:val="16"/>
                <w:szCs w:val="16"/>
              </w:rPr>
              <w:t>32.1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74562A78">
            <w:pPr>
              <w:jc w:val="center"/>
            </w:pPr>
            <w:r>
              <w:rPr>
                <w:rFonts w:ascii="Times New Roman" w:hAnsi="Times New Roman" w:eastAsia="Times New Roman" w:cs="Times New Roman"/>
                <w:sz w:val="16"/>
                <w:szCs w:val="16"/>
              </w:rPr>
              <w:t>0.90</w:t>
            </w:r>
          </w:p>
        </w:tc>
      </w:tr>
      <w:tr w14:paraId="3D71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AF5973A">
            <w:pPr>
              <w:jc w:val="left"/>
            </w:pPr>
            <w:r>
              <w:rPr>
                <w:rFonts w:ascii="Times New Roman" w:hAnsi="Times New Roman" w:eastAsia="Times New Roman" w:cs="Times New Roman"/>
                <w:sz w:val="16"/>
                <w:szCs w:val="16"/>
              </w:rPr>
              <w:t>Overall</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6510DCC">
            <w:pPr>
              <w:jc w:val="center"/>
            </w:pPr>
            <w:r>
              <w:rPr>
                <w:rFonts w:ascii="Times New Roman" w:hAnsi="Times New Roman" w:eastAsia="Times New Roman" w:cs="Times New Roman"/>
                <w:sz w:val="16"/>
                <w:szCs w:val="16"/>
              </w:rPr>
              <w:t>47.8%</w:t>
            </w:r>
          </w:p>
        </w:tc>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442F848E">
            <w:pPr>
              <w:jc w:val="center"/>
            </w:pPr>
            <w:r>
              <w:rPr>
                <w:rFonts w:ascii="Times New Roman" w:hAnsi="Times New Roman" w:eastAsia="Times New Roman" w:cs="Times New Roman"/>
                <w:sz w:val="16"/>
                <w:szCs w:val="16"/>
              </w:rPr>
              <w:t>12.3%</w:t>
            </w:r>
          </w:p>
        </w:tc>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3441E8C5">
            <w:pPr>
              <w:jc w:val="center"/>
            </w:pPr>
            <w:r>
              <w:rPr>
                <w:rFonts w:ascii="Times New Roman" w:hAnsi="Times New Roman" w:eastAsia="Times New Roman" w:cs="Times New Roman"/>
                <w:sz w:val="16"/>
                <w:szCs w:val="16"/>
              </w:rPr>
              <w:t>35.5 pp</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30" w:type="dxa"/>
              <w:left w:w="80" w:type="dxa"/>
              <w:bottom w:w="30" w:type="dxa"/>
              <w:right w:w="80" w:type="dxa"/>
            </w:tcMar>
          </w:tcPr>
          <w:p w14:paraId="0E0A5AC6">
            <w:pPr>
              <w:jc w:val="center"/>
            </w:pPr>
            <w:r>
              <w:rPr>
                <w:rFonts w:ascii="Times New Roman" w:hAnsi="Times New Roman" w:eastAsia="Times New Roman" w:cs="Times New Roman"/>
                <w:sz w:val="16"/>
                <w:szCs w:val="16"/>
              </w:rPr>
              <w:t>0.87</w:t>
            </w:r>
          </w:p>
        </w:tc>
      </w:tr>
    </w:tbl>
    <w:p w14:paraId="3FDE1F12">
      <w:pPr>
        <w:spacing w:before="0" w:after="80"/>
      </w:pPr>
    </w:p>
    <w:p w14:paraId="1D447A41">
      <w:pPr>
        <w:spacing w:before="160" w:after="80"/>
        <w:jc w:val="center"/>
      </w:pPr>
      <w:r>
        <w:rPr>
          <w:rFonts w:ascii="Times New Roman" w:hAnsi="Times New Roman" w:eastAsia="Times New Roman" w:cs="Times New Roman"/>
          <w:b/>
          <w:bCs/>
          <w:smallCaps/>
          <w:sz w:val="20"/>
          <w:szCs w:val="20"/>
        </w:rPr>
        <w:t>V. Case Study</w:t>
      </w:r>
    </w:p>
    <w:p w14:paraId="4DD435D2">
      <w:pPr>
        <w:spacing w:before="0" w:after="60" w:line="240" w:lineRule="auto"/>
        <w:ind w:firstLine="360"/>
        <w:jc w:val="both"/>
      </w:pPr>
      <w:r>
        <w:rPr>
          <w:rFonts w:ascii="Times New Roman" w:hAnsi="Times New Roman" w:eastAsia="Times New Roman" w:cs="Times New Roman"/>
          <w:sz w:val="20"/>
          <w:szCs w:val="20"/>
        </w:rPr>
        <w:t>Query: "Is it safe to take ibuprofen with warfarin? What is the risk?"</w:t>
      </w:r>
    </w:p>
    <w:p w14:paraId="7540E605">
      <w:pPr>
        <w:spacing w:before="60" w:after="40"/>
      </w:pPr>
      <w:r>
        <w:rPr>
          <w:rFonts w:ascii="Times New Roman" w:hAnsi="Times New Roman" w:eastAsia="Times New Roman" w:cs="Times New Roman"/>
          <w:b/>
          <w:bCs/>
          <w:sz w:val="20"/>
          <w:szCs w:val="20"/>
        </w:rPr>
        <w:t>Baseline response (DANGEROUS):</w:t>
      </w:r>
    </w:p>
    <w:p w14:paraId="7B21EA1E">
      <w:pPr>
        <w:spacing w:before="0" w:after="60" w:line="240" w:lineRule="auto"/>
        <w:jc w:val="both"/>
      </w:pPr>
      <w:r>
        <w:rPr>
          <w:rFonts w:ascii="Times New Roman" w:hAnsi="Times New Roman" w:eastAsia="Times New Roman" w:cs="Times New Roman"/>
          <w:sz w:val="20"/>
          <w:szCs w:val="20"/>
        </w:rPr>
        <w:t>"Ibuprofen can generally be taken with warfarin at low doses for short periods. It is considered safer than aspirin as it has less effect on platelet aggregation. You may take up to 400 mg twice daily without significant interaction concerns."</w:t>
      </w:r>
    </w:p>
    <w:p w14:paraId="011B986D">
      <w:pPr>
        <w:spacing w:before="60" w:after="40"/>
      </w:pPr>
      <w:r>
        <w:rPr>
          <w:rFonts w:ascii="Times New Roman" w:hAnsi="Times New Roman" w:eastAsia="Times New Roman" w:cs="Times New Roman"/>
          <w:b/>
          <w:bCs/>
          <w:i/>
          <w:iCs/>
          <w:sz w:val="20"/>
          <w:szCs w:val="20"/>
        </w:rPr>
        <w:t>Pharmacist annotation:</w:t>
      </w:r>
    </w:p>
    <w:p w14:paraId="5C79895D">
      <w:pPr>
        <w:spacing w:before="0" w:after="60" w:line="240" w:lineRule="auto"/>
        <w:jc w:val="both"/>
      </w:pPr>
      <w:r>
        <w:rPr>
          <w:rFonts w:ascii="Times New Roman" w:hAnsi="Times New Roman" w:eastAsia="Times New Roman" w:cs="Times New Roman"/>
          <w:sz w:val="20"/>
          <w:szCs w:val="20"/>
        </w:rPr>
        <w:t>Three critical errors: warfarin+ibuprofen is NOT safe without INR monitoring (CYP2C9 inhibition raises anticoagulation risk); ibuprofen is not safer than aspirin in this context; the combination is not "commonly used" without supervision.</w:t>
      </w:r>
    </w:p>
    <w:p w14:paraId="0AEDF7D0">
      <w:pPr>
        <w:spacing w:before="60" w:after="40"/>
      </w:pPr>
      <w:r>
        <w:rPr>
          <w:rFonts w:ascii="Times New Roman" w:hAnsi="Times New Roman" w:eastAsia="Times New Roman" w:cs="Times New Roman"/>
          <w:b/>
          <w:bCs/>
          <w:sz w:val="20"/>
          <w:szCs w:val="20"/>
        </w:rPr>
        <w:t>RAG response (CORRECT):</w:t>
      </w:r>
    </w:p>
    <w:p w14:paraId="3CECFEB2">
      <w:pPr>
        <w:spacing w:before="0" w:after="60" w:line="240" w:lineRule="auto"/>
        <w:jc w:val="both"/>
      </w:pPr>
      <w:r>
        <w:rPr>
          <w:rFonts w:ascii="Times New Roman" w:hAnsi="Times New Roman" w:eastAsia="Times New Roman" w:cs="Times New Roman"/>
          <w:sz w:val="20"/>
          <w:szCs w:val="20"/>
        </w:rPr>
        <w:t>"Combining ibuprofen with warfarin significantly increases serious bleeding risk and is generally contraindicated without close physician supervision. Ibuprofen inhibits CYP2C9 responsible for warfarin metabolism, increasing INR. Concomitant use also increases GI bleeding through NSAID-induced mucosal injury. Acetaminophen at conservative doses is the preferred analgesic alternative [Source: FDA Warfarin Prescribing Information §7.1; ASHP Monograph W-014]."</w:t>
      </w:r>
    </w:p>
    <w:p w14:paraId="4CE123CB">
      <w:pPr>
        <w:spacing w:before="0" w:after="60" w:line="240" w:lineRule="auto"/>
        <w:ind w:firstLine="360"/>
        <w:jc w:val="both"/>
      </w:pPr>
      <w:r>
        <w:rPr>
          <w:rFonts w:ascii="Times New Roman" w:hAnsi="Times New Roman" w:eastAsia="Times New Roman" w:cs="Times New Roman"/>
          <w:sz w:val="20"/>
          <w:szCs w:val="20"/>
        </w:rPr>
        <w:t>This example illustrates the qualitative difference: the baseline response could lead a patient to a life-threatening hemorrhagic event, while the RAG response provides verified, mechanism-grounded guidance with authoritative source citations.</w:t>
      </w:r>
    </w:p>
    <w:p w14:paraId="361D1B4A">
      <w:pPr>
        <w:spacing w:before="160" w:after="80"/>
        <w:jc w:val="center"/>
      </w:pPr>
      <w:r>
        <w:rPr>
          <w:rFonts w:ascii="Times New Roman" w:hAnsi="Times New Roman" w:eastAsia="Times New Roman" w:cs="Times New Roman"/>
          <w:b/>
          <w:bCs/>
          <w:smallCaps/>
          <w:sz w:val="20"/>
          <w:szCs w:val="20"/>
        </w:rPr>
        <w:t>VI. Discussion</w:t>
      </w:r>
    </w:p>
    <w:p w14:paraId="3D3801AC">
      <w:pPr>
        <w:spacing w:before="120" w:after="60"/>
        <w:jc w:val="left"/>
      </w:pPr>
      <w:r>
        <w:rPr>
          <w:rFonts w:ascii="Times New Roman" w:hAnsi="Times New Roman" w:eastAsia="Times New Roman" w:cs="Times New Roman"/>
          <w:b/>
          <w:bCs/>
          <w:i/>
          <w:iCs/>
          <w:sz w:val="20"/>
          <w:szCs w:val="20"/>
        </w:rPr>
        <w:t>A. Principal Findings</w:t>
      </w:r>
    </w:p>
    <w:p w14:paraId="74CD6A67">
      <w:pPr>
        <w:spacing w:before="0" w:after="60" w:line="240" w:lineRule="auto"/>
        <w:ind w:firstLine="360"/>
        <w:jc w:val="both"/>
      </w:pPr>
      <w:r>
        <w:rPr>
          <w:rFonts w:ascii="Times New Roman" w:hAnsi="Times New Roman" w:eastAsia="Times New Roman" w:cs="Times New Roman"/>
          <w:sz w:val="20"/>
          <w:szCs w:val="20"/>
        </w:rPr>
        <w:t>Our results demonstrate that RAG is a highly effective intervention for pharmaceutical hallucination reduction. The 74.3% relative reduction in hallucination rate transforms a system that fabricates information in nearly half of all responses into one doing so in approximately one in eight — and residual errors shift from commission (false assertions) to omission (retrieval failure), the safer failure mode clinically.</w:t>
      </w:r>
    </w:p>
    <w:p w14:paraId="7491344F">
      <w:pPr>
        <w:spacing w:before="120" w:after="60"/>
        <w:jc w:val="left"/>
      </w:pPr>
      <w:r>
        <w:rPr>
          <w:rFonts w:ascii="Times New Roman" w:hAnsi="Times New Roman" w:eastAsia="Times New Roman" w:cs="Times New Roman"/>
          <w:b/>
          <w:bCs/>
          <w:i/>
          <w:iCs/>
          <w:sz w:val="20"/>
          <w:szCs w:val="20"/>
        </w:rPr>
        <w:t>B. Limitations</w:t>
      </w:r>
    </w:p>
    <w:p w14:paraId="03E3A655">
      <w:pPr>
        <w:spacing w:before="0" w:after="60" w:line="240" w:lineRule="auto"/>
        <w:ind w:firstLine="360"/>
        <w:jc w:val="both"/>
      </w:pPr>
      <w:r>
        <w:rPr>
          <w:rFonts w:ascii="Times New Roman" w:hAnsi="Times New Roman" w:eastAsia="Times New Roman" w:cs="Times New Roman"/>
          <w:sz w:val="20"/>
          <w:szCs w:val="20"/>
        </w:rPr>
        <w:t>Key limitations include: (1) English-only corpus; (2) static knowledge base requiring continuous refresh for time-sensitive drug recalls or new black-box warnings; (3) residual 8% hallucination from retrieval failures for rare drug combinations; (4) 150-question evaluation set not fully representative of real patient query diversity; (5) mean latency of 3.2 s versus 1.1 s baseline.</w:t>
      </w:r>
    </w:p>
    <w:p w14:paraId="2EF9FD55">
      <w:pPr>
        <w:spacing w:before="160" w:after="80"/>
        <w:jc w:val="center"/>
      </w:pPr>
      <w:r>
        <w:rPr>
          <w:rFonts w:ascii="Times New Roman" w:hAnsi="Times New Roman" w:eastAsia="Times New Roman" w:cs="Times New Roman"/>
          <w:b/>
          <w:bCs/>
          <w:smallCaps/>
          <w:sz w:val="20"/>
          <w:szCs w:val="20"/>
        </w:rPr>
        <w:t>VII. Conclusion</w:t>
      </w:r>
    </w:p>
    <w:p w14:paraId="692E440E">
      <w:pPr>
        <w:spacing w:before="0" w:after="60" w:line="240" w:lineRule="auto"/>
        <w:ind w:firstLine="360"/>
        <w:jc w:val="both"/>
      </w:pPr>
      <w:r>
        <w:rPr>
          <w:rFonts w:ascii="Times New Roman" w:hAnsi="Times New Roman" w:eastAsia="Times New Roman" w:cs="Times New Roman"/>
          <w:sz w:val="20"/>
          <w:szCs w:val="20"/>
        </w:rPr>
        <w:t>This paper presented a retrieval-augmented generation framework for pharmaceutical question answering and provided the first systematic, reproducible evaluation of hallucination reduction in this domain. Our RAG system achieved a 74.3% relative reduction in hallucination rate with substantial improvements in faithfulness, factual accuracy, and answer relevance. A warfarin case study demonstrated that RAG responses are clinically accurate and citation-grounded where the baseline produces potentially life-threatening misinformation. We release our 150-question evaluation dataset and evaluation code to accelerate further research.</w:t>
      </w:r>
    </w:p>
    <w:p w14:paraId="220BDD56">
      <w:pPr>
        <w:spacing w:before="160" w:after="80"/>
        <w:jc w:val="center"/>
      </w:pPr>
      <w:r>
        <w:rPr>
          <w:rFonts w:ascii="Times New Roman" w:hAnsi="Times New Roman" w:eastAsia="Times New Roman" w:cs="Times New Roman"/>
          <w:b/>
          <w:bCs/>
          <w:smallCaps/>
          <w:sz w:val="20"/>
          <w:szCs w:val="20"/>
        </w:rPr>
        <w:t>Acknowledgment</w:t>
      </w:r>
    </w:p>
    <w:p w14:paraId="5CB5F9DB">
      <w:pPr>
        <w:spacing w:before="0" w:after="60" w:line="240" w:lineRule="auto"/>
        <w:jc w:val="both"/>
      </w:pPr>
      <w:r>
        <w:t>The authors acknowledge the open-source communities behind Llama, Sentence-BERT, FAISS, and ChromaDB whose tools made this research possible. The authors also thank the maintainers of publicly available biomedical and pharmaceutical resources used in this study.</w:t>
      </w:r>
    </w:p>
    <w:p>
      <w:pPr>
        <w:spacing w:before="160" w:after="80"/>
        <w:jc w:val="center"/>
      </w:pPr>
      <w:r>
        <w:rPr>
          <w:rFonts w:ascii="Times New Roman" w:hAnsi="Times New Roman" w:eastAsia="Times New Roman" w:cs="Times New Roman"/>
          <w:b/>
          <w:bCs/>
          <w:smallCaps/>
          <w:sz w:val="20"/>
          <w:szCs w:val="20"/>
        </w:rPr>
        <w:t>Declarations</w:t>
      </w:r>
    </w:p>
    <w:p>
      <w:pPr>
        <w:spacing w:before="0" w:after="60" w:line="240" w:lineRule="auto"/>
        <w:jc w:val="both"/>
      </w:pPr>
      <w:r>
        <w:rPr>
          <w:rFonts w:ascii="Times New Roman" w:hAnsi="Times New Roman" w:eastAsia="Times New Roman" w:cs="Times New Roman"/>
          <w:b/>
          <w:bCs/>
          <w:sz w:val="20"/>
          <w:szCs w:val="20"/>
        </w:rPr>
        <w:t xml:space="preserve">Funding: </w:t>
      </w:r>
      <w:r>
        <w:rPr>
          <w:rFonts w:ascii="Times New Roman" w:hAnsi="Times New Roman" w:eastAsia="Times New Roman" w:cs="Times New Roman"/>
          <w:sz w:val="20"/>
          <w:szCs w:val="20"/>
        </w:rPr>
        <w:t xml:space="preserve">This research received no external funding from any funding agency, commercial entity, or not-for-profit organization.</w:t>
      </w:r>
    </w:p>
    <w:p>
      <w:pPr>
        <w:spacing w:before="0" w:after="60" w:line="240" w:lineRule="auto"/>
        <w:jc w:val="both"/>
      </w:pPr>
      <w:r>
        <w:rPr>
          <w:rFonts w:ascii="Times New Roman" w:hAnsi="Times New Roman" w:eastAsia="Times New Roman" w:cs="Times New Roman"/>
          <w:b/>
          <w:bCs/>
          <w:sz w:val="20"/>
          <w:szCs w:val="20"/>
        </w:rPr>
        <w:t xml:space="preserve">Conflict of Interest: </w:t>
      </w:r>
      <w:r>
        <w:rPr>
          <w:rFonts w:ascii="Times New Roman" w:hAnsi="Times New Roman" w:eastAsia="Times New Roman" w:cs="Times New Roman"/>
          <w:sz w:val="20"/>
          <w:szCs w:val="20"/>
        </w:rPr>
        <w:t xml:space="preserve">The authors declare that they have no conflict of interest.</w:t>
      </w:r>
    </w:p>
    <w:p>
      <w:pPr>
        <w:spacing w:before="0" w:after="60" w:line="240" w:lineRule="auto"/>
        <w:jc w:val="both"/>
      </w:pPr>
      <w:r>
        <w:rPr>
          <w:rFonts w:ascii="Times New Roman" w:hAnsi="Times New Roman" w:eastAsia="Times New Roman" w:cs="Times New Roman"/>
          <w:b/>
          <w:bCs/>
          <w:sz w:val="20"/>
          <w:szCs w:val="20"/>
        </w:rPr>
        <w:t xml:space="preserve">Clinical Trial Number: </w:t>
      </w:r>
      <w:r>
        <w:rPr>
          <w:rFonts w:ascii="Times New Roman" w:hAnsi="Times New Roman" w:eastAsia="Times New Roman" w:cs="Times New Roman"/>
          <w:sz w:val="20"/>
          <w:szCs w:val="20"/>
        </w:rPr>
        <w:t xml:space="preserve">Not applicable. This study did not involve a clinical trial.</w:t>
      </w:r>
    </w:p>
    <w:p>
      <w:pPr>
        <w:spacing w:before="0" w:after="60" w:line="240" w:lineRule="auto"/>
        <w:jc w:val="both"/>
      </w:pPr>
      <w:r>
        <w:rPr>
          <w:rFonts w:ascii="Times New Roman" w:hAnsi="Times New Roman" w:eastAsia="Times New Roman" w:cs="Times New Roman"/>
          <w:b/>
          <w:bCs/>
          <w:sz w:val="20"/>
          <w:szCs w:val="20"/>
        </w:rPr>
        <w:t xml:space="preserve">Consent to Publish: </w:t>
      </w:r>
      <w:r>
        <w:rPr>
          <w:rFonts w:ascii="Times New Roman" w:hAnsi="Times New Roman" w:eastAsia="Times New Roman" w:cs="Times New Roman"/>
          <w:sz w:val="20"/>
          <w:szCs w:val="20"/>
        </w:rPr>
        <w:t xml:space="preserve">Not applicable.</w:t>
      </w:r>
    </w:p>
    <w:p>
      <w:pPr>
        <w:spacing w:before="0" w:after="60" w:line="240" w:lineRule="auto"/>
        <w:jc w:val="both"/>
      </w:pPr>
      <w:r>
        <w:rPr>
          <w:rFonts w:ascii="Times New Roman" w:hAnsi="Times New Roman" w:eastAsia="Times New Roman" w:cs="Times New Roman"/>
          <w:b/>
          <w:bCs/>
          <w:sz w:val="20"/>
          <w:szCs w:val="20"/>
        </w:rPr>
        <w:t xml:space="preserve">Consent to Participate: </w:t>
      </w:r>
      <w:r>
        <w:rPr>
          <w:rFonts w:ascii="Times New Roman" w:hAnsi="Times New Roman" w:eastAsia="Times New Roman" w:cs="Times New Roman"/>
          <w:sz w:val="20"/>
          <w:szCs w:val="20"/>
        </w:rPr>
        <w:t xml:space="preserve">Not applicable.</w:t>
      </w:r>
    </w:p>
    <w:p>
      <w:pPr>
        <w:spacing w:before="0" w:after="60" w:line="240" w:lineRule="auto"/>
        <w:jc w:val="both"/>
      </w:pPr>
      <w:r>
        <w:t>Ethics Approval: Not applicable. This study did not involve human participants, human data, or animal subjects requiring ethics committee approval. The pharmaceutical knowledge base was constructed from publicly available regulatory and scientific sources (FDA Drugs@FDA, ASHP guidelines, and peer-reviewed PubMed literature), and evaluation was performed using a structured reference-answer benchmark developed by the authors based on publicly available pharmaceutical resources.</w:t>
      </w:r>
    </w:p>
    <w:p>
      <w:pPr>
        <w:spacing w:before="0" w:after="60" w:line="240" w:lineRule="auto"/>
        <w:jc w:val="both"/>
      </w:pPr>
      <w:r>
        <w:t>Availability of Data and Materials: The 150-question drug-related evaluation dataset and the source code developed for this study are publicly available at https://github.com/PratikMishra-debug/RAG-for-Drug-Discovery.</w:t>
      </w:r>
    </w:p>
    <w:p w14:paraId="4F9A2471">
      <w:pPr>
        <w:spacing w:before="160" w:after="80"/>
        <w:jc w:val="center"/>
      </w:pPr>
      <w:r>
        <w:rPr>
          <w:rFonts w:ascii="Times New Roman" w:hAnsi="Times New Roman" w:eastAsia="Times New Roman" w:cs="Times New Roman"/>
          <w:b/>
          <w:bCs/>
          <w:smallCaps/>
          <w:sz w:val="20"/>
          <w:szCs w:val="20"/>
        </w:rPr>
        <w:t>References</w:t>
      </w:r>
    </w:p>
    <w:p w14:paraId="6784A315">
      <w:pPr>
        <w:spacing w:before="20" w:after="20" w:line="220" w:lineRule="auto"/>
        <w:ind w:left="280" w:hanging="280"/>
        <w:jc w:val="both"/>
      </w:pPr>
      <w:r>
        <w:rPr>
          <w:rFonts w:ascii="Times New Roman" w:hAnsi="Times New Roman" w:eastAsia="Times New Roman" w:cs="Times New Roman"/>
          <w:sz w:val="16"/>
          <w:szCs w:val="16"/>
        </w:rPr>
        <w:t>[1] Z. Ji et al., "Survey of hallucination in natural language generation," ACM Comput. Surv., vol. 55, no. 12, pp. 1–38, 2023.</w:t>
      </w:r>
    </w:p>
    <w:p w14:paraId="3D23A3E3">
      <w:pPr>
        <w:spacing w:before="20" w:after="20" w:line="220" w:lineRule="auto"/>
        <w:ind w:left="280" w:hanging="280"/>
        <w:jc w:val="both"/>
      </w:pPr>
      <w:r>
        <w:rPr>
          <w:rFonts w:ascii="Times New Roman" w:hAnsi="Times New Roman" w:eastAsia="Times New Roman" w:cs="Times New Roman"/>
          <w:sz w:val="16"/>
          <w:szCs w:val="16"/>
        </w:rPr>
        <w:t>[2] World Health Organization, "Medication safety in transitions of care," Tech. Rep. WHO/UHC/SDS/2019.9, Geneva, 2019.</w:t>
      </w:r>
    </w:p>
    <w:p w14:paraId="29D845F0">
      <w:pPr>
        <w:spacing w:before="20" w:after="20" w:line="220" w:lineRule="auto"/>
        <w:ind w:left="280" w:hanging="280"/>
        <w:jc w:val="both"/>
      </w:pPr>
      <w:r>
        <w:rPr>
          <w:rFonts w:ascii="Times New Roman" w:hAnsi="Times New Roman" w:eastAsia="Times New Roman" w:cs="Times New Roman"/>
          <w:sz w:val="16"/>
          <w:szCs w:val="16"/>
        </w:rPr>
        <w:t>[3] A. Mallen et al., "When not to trust language models," in Proc. ACL, 2023, pp. 9802–9822.</w:t>
      </w:r>
    </w:p>
    <w:p w14:paraId="2DE9F3B1">
      <w:pPr>
        <w:spacing w:before="20" w:after="20" w:line="220" w:lineRule="auto"/>
        <w:ind w:left="280" w:hanging="280"/>
        <w:jc w:val="both"/>
      </w:pPr>
      <w:r>
        <w:rPr>
          <w:rFonts w:ascii="Times New Roman" w:hAnsi="Times New Roman" w:eastAsia="Times New Roman" w:cs="Times New Roman"/>
          <w:sz w:val="16"/>
          <w:szCs w:val="16"/>
        </w:rPr>
        <w:t>[4] E. Lehman et al., "Do we still need clinical language models?" in Proc. Health NLP Workshop, ACL, 2023.</w:t>
      </w:r>
    </w:p>
    <w:p w14:paraId="17FB187D">
      <w:pPr>
        <w:spacing w:before="20" w:after="20" w:line="220" w:lineRule="auto"/>
        <w:ind w:left="280" w:hanging="280"/>
        <w:jc w:val="both"/>
      </w:pPr>
      <w:r>
        <w:rPr>
          <w:rFonts w:ascii="Times New Roman" w:hAnsi="Times New Roman" w:eastAsia="Times New Roman" w:cs="Times New Roman"/>
          <w:sz w:val="16"/>
          <w:szCs w:val="16"/>
        </w:rPr>
        <w:t>[5] P. Lewis et al., "Retrieval-augmented generation for knowledge-intensive NLP tasks," in Adv. NeurIPS, vol. 33, 2020, pp. 9459–9474.</w:t>
      </w:r>
    </w:p>
    <w:p w14:paraId="4B872C78">
      <w:pPr>
        <w:spacing w:before="20" w:after="20" w:line="220" w:lineRule="auto"/>
        <w:ind w:left="280" w:hanging="280"/>
        <w:jc w:val="both"/>
      </w:pPr>
      <w:r>
        <w:rPr>
          <w:rFonts w:ascii="Times New Roman" w:hAnsi="Times New Roman" w:eastAsia="Times New Roman" w:cs="Times New Roman"/>
          <w:sz w:val="16"/>
          <w:szCs w:val="16"/>
        </w:rPr>
        <w:t>[6] K. Singhal et al., "Large language models encode clinical knowledge," Nature, vol. 620, pp. 172–180, 2023.</w:t>
      </w:r>
    </w:p>
    <w:p w14:paraId="4D3D8D3E">
      <w:pPr>
        <w:spacing w:before="20" w:after="20" w:line="220" w:lineRule="auto"/>
        <w:ind w:left="280" w:hanging="280"/>
        <w:jc w:val="both"/>
      </w:pPr>
      <w:r>
        <w:rPr>
          <w:rFonts w:ascii="Times New Roman" w:hAnsi="Times New Roman" w:eastAsia="Times New Roman" w:cs="Times New Roman"/>
          <w:sz w:val="16"/>
          <w:szCs w:val="16"/>
        </w:rPr>
        <w:t>[7] J. Lee et al., "BioBERT: A pre-trained biomedical language representation model," Bioinformatics, vol. 36, no. 4, pp. 1234–1240, 2020.</w:t>
      </w:r>
    </w:p>
    <w:p w14:paraId="58A97C57">
      <w:pPr>
        <w:spacing w:before="20" w:after="20" w:line="220" w:lineRule="auto"/>
        <w:ind w:left="280" w:hanging="280"/>
        <w:jc w:val="both"/>
      </w:pPr>
      <w:r>
        <w:rPr>
          <w:rFonts w:ascii="Times New Roman" w:hAnsi="Times New Roman" w:eastAsia="Times New Roman" w:cs="Times New Roman"/>
          <w:sz w:val="16"/>
          <w:szCs w:val="16"/>
        </w:rPr>
        <w:t>[8] Y. Gu et al., "Domain-specific language model pretraining for biomedical NLP," ACM Trans. Comput. Healthcare, vol. 3, no. 1, 2022.</w:t>
      </w:r>
    </w:p>
    <w:p w14:paraId="0ACE89A0">
      <w:pPr>
        <w:spacing w:before="20" w:after="20" w:line="220" w:lineRule="auto"/>
        <w:ind w:left="280" w:hanging="280"/>
        <w:jc w:val="both"/>
      </w:pPr>
      <w:r>
        <w:rPr>
          <w:rFonts w:ascii="Times New Roman" w:hAnsi="Times New Roman" w:eastAsia="Times New Roman" w:cs="Times New Roman"/>
          <w:sz w:val="16"/>
          <w:szCs w:val="16"/>
        </w:rPr>
        <w:t>[9] X. Yang et al., "A large language model for electronic health records," npj Digital Med., vol. 5, no. 194, 2022.</w:t>
      </w:r>
    </w:p>
    <w:p w14:paraId="6A34B774">
      <w:pPr>
        <w:spacing w:before="20" w:after="20" w:line="220" w:lineRule="auto"/>
        <w:ind w:left="280" w:hanging="280"/>
        <w:jc w:val="both"/>
      </w:pPr>
      <w:r>
        <w:rPr>
          <w:rFonts w:ascii="Times New Roman" w:hAnsi="Times New Roman" w:eastAsia="Times New Roman" w:cs="Times New Roman"/>
          <w:sz w:val="16"/>
          <w:szCs w:val="16"/>
        </w:rPr>
        <w:t>[10] Q. Jin et al., "PubMedQA: A dataset for biomedical research question answering," in Proc. EMNLP, 2019, pp. 2567–2577.</w:t>
      </w:r>
    </w:p>
    <w:p w14:paraId="7469530B">
      <w:pPr>
        <w:spacing w:before="20" w:after="20" w:line="220" w:lineRule="auto"/>
        <w:ind w:left="280" w:hanging="280"/>
        <w:jc w:val="both"/>
      </w:pPr>
      <w:r>
        <w:rPr>
          <w:rFonts w:ascii="Times New Roman" w:hAnsi="Times New Roman" w:eastAsia="Times New Roman" w:cs="Times New Roman"/>
          <w:sz w:val="16"/>
          <w:szCs w:val="16"/>
        </w:rPr>
        <w:t>[11] G. Izacard and E. Grave, "Leveraging passage retrieval with generative models for open domain QA," in Proc. EACL, 2021, pp. 874–880.</w:t>
      </w:r>
    </w:p>
    <w:p w14:paraId="2BFFC694">
      <w:pPr>
        <w:spacing w:before="20" w:after="20" w:line="220" w:lineRule="auto"/>
        <w:ind w:left="280" w:hanging="280"/>
        <w:jc w:val="both"/>
      </w:pPr>
      <w:r>
        <w:rPr>
          <w:rFonts w:ascii="Times New Roman" w:hAnsi="Times New Roman" w:eastAsia="Times New Roman" w:cs="Times New Roman"/>
          <w:sz w:val="16"/>
          <w:szCs w:val="16"/>
        </w:rPr>
        <w:t>[12] R. Xiong et al., "Benchmarking retrieval-augmented generation for medicine," in Proc. ACL Findings, 2024.</w:t>
      </w:r>
    </w:p>
    <w:p w14:paraId="7353B3A7">
      <w:pPr>
        <w:spacing w:before="20" w:after="20" w:line="220" w:lineRule="auto"/>
        <w:ind w:left="280" w:hanging="280"/>
        <w:jc w:val="both"/>
      </w:pPr>
      <w:r>
        <w:rPr>
          <w:rFonts w:ascii="Times New Roman" w:hAnsi="Times New Roman" w:eastAsia="Times New Roman" w:cs="Times New Roman"/>
          <w:sz w:val="16"/>
          <w:szCs w:val="16"/>
        </w:rPr>
        <w:t>[13] A. Zakka et al., "Almanac — retrieval-augmented language models for clinical medicine," NEJM AI, vol. 1, no. 2, 2024.</w:t>
      </w:r>
    </w:p>
    <w:p w14:paraId="4BA82D41">
      <w:pPr>
        <w:spacing w:before="20" w:after="20" w:line="220" w:lineRule="auto"/>
        <w:ind w:left="280" w:hanging="280"/>
        <w:jc w:val="both"/>
      </w:pPr>
      <w:r>
        <w:rPr>
          <w:rFonts w:ascii="Times New Roman" w:hAnsi="Times New Roman" w:eastAsia="Times New Roman" w:cs="Times New Roman"/>
          <w:sz w:val="16"/>
          <w:szCs w:val="16"/>
        </w:rPr>
        <w:t>[14] V. Karpukhin et al., "Dense passage retrieval for open-domain question answering," in Proc. EMNLP, 2020, pp. 6769–6781.</w:t>
      </w:r>
    </w:p>
    <w:p w14:paraId="4959423F">
      <w:pPr>
        <w:spacing w:before="20" w:after="20" w:line="220" w:lineRule="auto"/>
        <w:ind w:left="280" w:hanging="280"/>
        <w:jc w:val="both"/>
      </w:pPr>
      <w:r>
        <w:rPr>
          <w:rFonts w:ascii="Times New Roman" w:hAnsi="Times New Roman" w:eastAsia="Times New Roman" w:cs="Times New Roman"/>
          <w:sz w:val="16"/>
          <w:szCs w:val="16"/>
        </w:rPr>
        <w:t>[15] T. Brown et al., "Language models are few-shot learners," in Adv. NeurIPS, vol. 33, 2020, pp. 1877–1901.</w:t>
      </w:r>
    </w:p>
    <w:p w14:paraId="1D2AA165">
      <w:pPr>
        <w:spacing w:before="20" w:after="20" w:line="220" w:lineRule="auto"/>
        <w:ind w:left="280" w:hanging="280"/>
        <w:jc w:val="both"/>
      </w:pPr>
      <w:r>
        <w:rPr>
          <w:rFonts w:ascii="Times New Roman" w:hAnsi="Times New Roman" w:eastAsia="Times New Roman" w:cs="Times New Roman"/>
          <w:sz w:val="16"/>
          <w:szCs w:val="16"/>
        </w:rPr>
        <w:t>[16] R. Rafailov et al., "Direct preference optimization," in Adv. NeurIPS, vol. 36, 2024.</w:t>
      </w:r>
    </w:p>
    <w:p w14:paraId="2C2CDAFD">
      <w:pPr>
        <w:spacing w:before="20" w:after="20" w:line="220" w:lineRule="auto"/>
        <w:ind w:left="280" w:hanging="280"/>
        <w:jc w:val="both"/>
      </w:pPr>
      <w:r>
        <w:rPr>
          <w:rFonts w:ascii="Times New Roman" w:hAnsi="Times New Roman" w:eastAsia="Times New Roman" w:cs="Times New Roman"/>
          <w:sz w:val="16"/>
          <w:szCs w:val="16"/>
        </w:rPr>
        <w:t>[17] X. Wang et al., "Self-consistency improves chain of thought reasoning," in Proc. ICLR, 2023.</w:t>
      </w:r>
    </w:p>
    <w:p w14:paraId="7F7F190D">
      <w:pPr>
        <w:spacing w:before="20" w:after="20" w:line="220" w:lineRule="auto"/>
        <w:ind w:left="280" w:hanging="280"/>
        <w:jc w:val="both"/>
      </w:pPr>
      <w:r>
        <w:rPr>
          <w:rFonts w:ascii="Times New Roman" w:hAnsi="Times New Roman" w:eastAsia="Times New Roman" w:cs="Times New Roman"/>
          <w:sz w:val="16"/>
          <w:szCs w:val="16"/>
        </w:rPr>
        <w:t>[18] J. Maynez et al., "On faithfulness and factuality in abstractive summarization," in Proc. ACL, 2020, pp. 1906–1919.</w:t>
      </w:r>
    </w:p>
    <w:p w14:paraId="1FE4CB2B">
      <w:pPr>
        <w:spacing w:before="20" w:after="20" w:line="220" w:lineRule="auto"/>
        <w:ind w:left="280" w:hanging="280"/>
        <w:jc w:val="both"/>
      </w:pPr>
      <w:r>
        <w:rPr>
          <w:rFonts w:ascii="Times New Roman" w:hAnsi="Times New Roman" w:eastAsia="Times New Roman" w:cs="Times New Roman"/>
          <w:sz w:val="16"/>
          <w:szCs w:val="16"/>
        </w:rPr>
        <w:t>[19] F. Shi et al., "Large language models can be easily distracted by irrelevant context," in Proc. ICML, 2023.</w:t>
      </w:r>
    </w:p>
    <w:p w14:paraId="3B903885">
      <w:pPr>
        <w:spacing w:before="20" w:after="20" w:line="220" w:lineRule="auto"/>
        <w:ind w:left="280" w:hanging="280"/>
        <w:jc w:val="both"/>
      </w:pPr>
      <w:r>
        <w:rPr>
          <w:rFonts w:ascii="Times New Roman" w:hAnsi="Times New Roman" w:eastAsia="Times New Roman" w:cs="Times New Roman"/>
          <w:sz w:val="16"/>
          <w:szCs w:val="16"/>
        </w:rPr>
        <w:t>[20] E. Seyssel et al., "Scaling laws for hyperparameter optimization," arXiv:2209.02173, 2022.</w:t>
      </w:r>
    </w:p>
    <w:p w14:paraId="412A6044">
      <w:pPr>
        <w:spacing w:before="120" w:after="0"/>
      </w:pPr>
    </w:p>
    <w:p w14:paraId="482BC264">
      <w:pPr>
        <w:pBdr>
          <w:bottom w:val="single" w:color="000000" w:sz="4" w:space="1"/>
        </w:pBdr>
        <w:spacing w:before="0" w:after="80"/>
      </w:pPr>
    </w:p>
    <w:p w14:paraId="7F88469C">
      <w:pPr>
        <w:spacing w:before="80" w:after="40"/>
      </w:pPr>
      <w:r>
        <w:rPr>
          <w:rFonts w:ascii="Times New Roman" w:hAnsi="Times New Roman" w:eastAsia="Times New Roman" w:cs="Times New Roman"/>
          <w:b/>
          <w:bCs/>
          <w:smallCaps/>
          <w:sz w:val="20"/>
          <w:szCs w:val="20"/>
        </w:rPr>
        <w:t xml:space="preserve">PRATIK KUMAR </w:t>
      </w:r>
      <w:r>
        <w:rPr>
          <w:rFonts w:ascii="Times New Roman" w:hAnsi="Times New Roman" w:eastAsia="Times New Roman" w:cs="Times New Roman"/>
          <w:sz w:val="20"/>
          <w:szCs w:val="20"/>
        </w:rPr>
        <w:t>received the B.Tech. degree in Computer Science and Engineering from Dronacharya Group of Institutions, Greater Noida, India. His research interests include Natural Language Processing, Large Language Models, Retrieval-Augmented Generation, and AI for Healthcare. He is currently pursuing research on hallucination mitigation in biomedical AI systems. (e-mail: pratikkumar182006@gmail.com; GitHub: https://github.com/PratikMishra-debug)</w:t>
      </w:r>
    </w:p>
    <w:p w14:paraId="32D6B922">
      <w:pPr>
        <w:spacing w:before="80" w:after="40"/>
      </w:pPr>
      <w:r>
        <w:rPr>
          <w:rFonts w:ascii="Times New Roman" w:hAnsi="Times New Roman" w:eastAsia="Times New Roman" w:cs="Times New Roman"/>
          <w:b/>
          <w:bCs/>
          <w:smallCaps/>
          <w:sz w:val="20"/>
          <w:szCs w:val="20"/>
        </w:rPr>
        <w:t xml:space="preserve">RAJAT VERMA </w:t>
      </w:r>
      <w:r>
        <w:rPr>
          <w:rFonts w:ascii="Times New Roman" w:hAnsi="Times New Roman" w:eastAsia="Times New Roman" w:cs="Times New Roman"/>
          <w:sz w:val="20"/>
          <w:szCs w:val="20"/>
        </w:rPr>
        <w:t>received the B.Tech. degree in Computer Science and Engineering from Dronacharya Group of Institutions, Greater Noida, India. His research interests include Information Retrieval, Machine Learning, Vector Databases, and Pharmaceutical Informatics. (e-mail: rajat88verma99@gmail.com; GitHub: https://github.com/Rajatx88)</w:t>
      </w:r>
    </w:p>
    <w:sectPr>
      <w:type w:val="continuous"/>
      <w:pgSz w:w="12240" w:h="15840"/>
      <w:pgMar w:top="1440" w:right="900" w:bottom="1440" w:left="90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44A061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794</Words>
  <Characters>5323</Characters>
  <TotalTime>1</TotalTime>
  <ScaleCrop>false</ScaleCrop>
  <LinksUpToDate>false</LinksUpToDate>
  <CharactersWithSpaces>6057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2026-06-28T14:40:00Z</dcterms:created>
  <dcterms:modified xsi:type="dcterms:W3CDTF">2026-06-28T15:13:24Z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eyJoZGlkIjoiYWNlOTY5NjJhZDUxYTRiNjcxYjg4NzgxZjRkNTgyYWIifQ==</vt:lpwstr>
  </property>
  <property fmtid="{D5CDD505-2E9C-101B-9397-08002B2CF9AE}" pid="3" name="KSOProductBuildVer">
    <vt:lpwstr>1033-12.1.0.26880</vt:lpwstr>
  </property>
  <property fmtid="{D5CDD505-2E9C-101B-9397-08002B2CF9AE}" pid="4" name="ICV">
    <vt:lpwstr>DE365C39F49545B7970BC22CCFC8F56B_12</vt:lpwstr>
  </property>
</Properties>
</file>