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Alert Investigation Report</w:t>
      </w:r>
    </w:p>
    <w:p>
      <w:pPr>
        <w:pStyle w:val="Heading1"/>
      </w:pPr>
      <w:r>
        <w:t>Alert Details</w:t>
      </w:r>
    </w:p>
    <w:p>
      <w:r>
        <w:t>Alert Name: Suspicious Login Attempt</w:t>
      </w:r>
    </w:p>
    <w:p>
      <w:r>
        <w:t>Source IP: 185.220.101.1</w:t>
      </w:r>
    </w:p>
    <w:p>
      <w:r>
        <w:t>Alert Type: Brute Force Attempt</w:t>
      </w:r>
    </w:p>
    <w:p>
      <w:r>
        <w:t>Priority: Medium</w:t>
      </w:r>
    </w:p>
    <w:p>
      <w:r>
        <w:t>Status: Open</w:t>
      </w:r>
    </w:p>
    <w:p>
      <w:pPr>
        <w:pStyle w:val="Heading1"/>
      </w:pPr>
      <w:r>
        <w:t>Description</w:t>
      </w:r>
    </w:p>
    <w:p>
      <w:r>
        <w:t>A series of multiple failed login attempts were detected from a single external IP address indicating a potential brute force attack. The activity was flagged based on abnormal login frequency and repeated authentication failures.</w:t>
      </w:r>
    </w:p>
    <w:p>
      <w:pPr>
        <w:pStyle w:val="Heading1"/>
      </w:pPr>
      <w:r>
        <w:t>Investigation Steps</w:t>
      </w:r>
    </w:p>
    <w:p>
      <w:r>
        <w:t>I reviewed authentication logs and identified repeated failed login attempts originating from the IP address 185.220.101.1. The attempts were occurring in short intervals which is consistent with automated attack behavior. I then validated the IP address using external threat intelligence platforms.</w:t>
      </w:r>
    </w:p>
    <w:p>
      <w:pPr>
        <w:pStyle w:val="Heading1"/>
      </w:pPr>
      <w:r>
        <w:t>Threat Intelligence Analysis</w:t>
      </w:r>
    </w:p>
    <w:p>
      <w:r>
        <w:t>The IP address was analyzed using VirusTotal and AlienVault OTX where it showed multiple detections and was associated with suspicious activity. The IP is also linked with anonymization networks which increases the risk level.</w:t>
      </w:r>
    </w:p>
    <w:p>
      <w:pPr>
        <w:pStyle w:val="Heading1"/>
      </w:pPr>
      <w:r>
        <w:t>Analysis and Findings</w:t>
      </w:r>
    </w:p>
    <w:p>
      <w:r>
        <w:t>The behavior observed in the logs combined with threat intelligence results indicates that the activity is likely a brute force attack. The repeated login attempts and external reputation confirm that this is not normal user behavior.</w:t>
      </w:r>
    </w:p>
    <w:p>
      <w:pPr>
        <w:pStyle w:val="Heading1"/>
      </w:pPr>
      <w:r>
        <w:t>Conclusion</w:t>
      </w:r>
    </w:p>
    <w:p>
      <w:r>
        <w:t>This alert is classified as a True Positive representing a potential brute force attack attempt.</w:t>
      </w:r>
    </w:p>
    <w:p>
      <w:pPr>
        <w:pStyle w:val="Heading1"/>
      </w:pPr>
      <w:r>
        <w:t>Action Taken</w:t>
      </w:r>
    </w:p>
    <w:p>
      <w:r>
        <w:t>The IP address was blocked at the firewall level. The affected account was secured by enforcing a password reset. Additional monitoring was enabled to detect further suspicious activity.</w:t>
      </w:r>
    </w:p>
    <w:p>
      <w:pPr>
        <w:pStyle w:val="Heading1"/>
      </w:pPr>
      <w:r>
        <w:t>Recommendation</w:t>
      </w:r>
    </w:p>
    <w:p>
      <w:r>
        <w:t>Implement account lockout policies after multiple failed login attempts. Enable multi factor authentication for critical systems. Continuously monitor authentication logs and update detection rules to reduce similar threats in the future.</w:t>
      </w:r>
    </w:p>
    <w:p>
      <w:pPr>
        <w:pStyle w:val="Heading1"/>
      </w:pPr>
      <w:r>
        <w:t>Evidence (VirusTotal Screenshot)</w:t>
      </w:r>
    </w:p>
    <w:p>
      <w:r>
        <w:drawing>
          <wp:inline xmlns:a="http://schemas.openxmlformats.org/drawingml/2006/main" xmlns:pic="http://schemas.openxmlformats.org/drawingml/2006/picture">
            <wp:extent cx="5486400" cy="2504474"/>
            <wp:docPr id="1" name="Picture 1"/>
            <wp:cNvGraphicFramePr>
              <a:graphicFrameLocks noChangeAspect="1"/>
            </wp:cNvGraphicFramePr>
            <a:graphic>
              <a:graphicData uri="http://schemas.openxmlformats.org/drawingml/2006/picture">
                <pic:pic>
                  <pic:nvPicPr>
                    <pic:cNvPr id="0" name="075ecbe9-9e0d-4f6e-ba43-a812f422b71f.png"/>
                    <pic:cNvPicPr/>
                  </pic:nvPicPr>
                  <pic:blipFill>
                    <a:blip r:embed="rId9"/>
                    <a:stretch>
                      <a:fillRect/>
                    </a:stretch>
                  </pic:blipFill>
                  <pic:spPr>
                    <a:xfrm>
                      <a:off x="0" y="0"/>
                      <a:ext cx="5486400" cy="250447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