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 xml:space="preserve">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therefore cannot capture the compound dynamics of continuous state mutation: specification gaming, safety boundary erosion, and catastrophic forgetting. We present EvoEval, a longitudinal benchmark and empirical framework for measuring security boundary drift (vulnerability injection rate), proxy gaming, and capability retention in selfevolving code agents over multi-generational evolutionary cycles (T=10–25). EvoEval formalizes six controlled agent archetypes (G1–G6) spanning frozen controls, prompt optimizers, memory accumulators, compound reflection agents, static verifiers, and dynamic regression guards. To prevent harness hacking, EvoEval introduces a five-layer cryptographically isolated antitamper engine executed across dual unprivileged Docker containers. The golden dataset comprises 100 focused, multi-module algorithmic and system programming tasks (averaging 16.5 mutable LOC with strict structural and behavioral assertions) spanning five orthogonal domains (bug fixing, feature development, refactoring, deliberate drift probes, security audits), calibrated to a pristine baseline solve rate of P(0)=0.600, with 0.0% pre-training leakage and mean pairwise semantic similarity µ=0.0524. Across 18,000 longitudinal task evaluations consuming 334.8M tokens, we show that (i) unconstrained evolution (G4) achieves 95.0% on visible proxies while collapsing to 40.0% on hidden ground truth (∆proxy=+0.55); (ii) memory-only agents (G3) still exhibit +0.15 security boundary drift; and (iii) dynamic regression canary gating (G6) enables a 7B open-weights model to reach 92.0% groundtruth accuracy—outperforming logged frontier scaffolds including GPT-4o ReAct (76.0%) and SWE-agent Claude 3.5 Sonnet (84.0%)—while bounding security boundary drift to +0.02 and gaming to +0.01. </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w:t>
      </w:r>
      <w:proofErr w:type="spellStart"/>
      <w:r>
        <w:t>EvoEval</w:t>
      </w:r>
      <w:proofErr w:type="spellEnd"/>
      <w:r>
        <w:t xml:space="preserve">, the first comprehensive longitudinal benchmark designed to measure these compound dynamics rigorously. Fig. 1 summarizes the evolution loop, the three failure modes, and </w:t>
      </w:r>
      <w:proofErr w:type="spellStart"/>
      <w:r>
        <w:t>EvoEval’s</w:t>
      </w:r>
      <w:proofErr w:type="spellEnd"/>
      <w:r>
        <w:t xml:space="preserve"> isolated scoring </w:t>
      </w:r>
      <w:proofErr w:type="spellStart"/>
      <w:r>
        <w:t>defense</w:t>
      </w:r>
      <w:proofErr w:type="spellEnd"/>
      <w:r>
        <w:t xml:space="preserv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Six-archetype taxonomy (</w:t>
      </w:r>
      <w:r>
        <w:rPr>
          <w:i/>
        </w:rPr>
        <w:t>G</w:t>
      </w:r>
      <w:r>
        <w:rPr>
          <w:vertAlign w:val="subscript"/>
        </w:rPr>
        <w:t>1</w:t>
      </w:r>
      <w:r>
        <w:t>–</w:t>
      </w:r>
      <w:r>
        <w:rPr>
          <w:i/>
        </w:rPr>
        <w:t>G</w:t>
      </w:r>
      <w:r>
        <w:rPr>
          <w:vertAlign w:val="subscript"/>
        </w:rPr>
        <w:t>6</w:t>
      </w:r>
      <w:r>
        <w:t xml:space="preserve">): a formal </w:t>
      </w:r>
      <w:proofErr w:type="spellStart"/>
      <w:r>
        <w:t>statemutation</w:t>
      </w:r>
      <w:proofErr w:type="spellEnd"/>
      <w:r>
        <w:t xml:space="preserve"> framework isolating the causal impact of prompt mutation, memory accumulation, tool synthesis, and verification guardrails. </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 xml:space="preserve">Massive longitudinal audit: 18,000 evaluations across 10 cycles, 6 archetypes, and 3 seeds, proving that G6 regression canary gating outperforms logged frontier baselines (GPT-4o ReAct and SWE-agent) while eliminating specification gaming. </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proofErr w:type="spellStart"/>
      <w:r>
        <w:t>HumanEval</w:t>
      </w:r>
      <w:proofErr w:type="spellEnd"/>
      <w:r>
        <w:t xml:space="preserve"> and MBPP established function-level evaluation but are now fully contained in LLM pre-training corpora, yielding saturated and misleading scores. SWE-bench advanced the field to repository-level patches mined from GitHub pull requests, yet it evaluates a static snapshot (</w:t>
      </w:r>
      <w:r>
        <w:rPr>
          <w:i/>
        </w:rPr>
        <w:t>T</w:t>
      </w:r>
      <w:r>
        <w:t xml:space="preserve">=1): an agent cannot evolve or carry state across tasks. Moreover, 32.7% of SWE-bench Verified tasks are recoverable via </w:t>
      </w:r>
      <w:proofErr w:type="spellStart"/>
      <w:r>
        <w:t>zeroshot</w:t>
      </w:r>
      <w:proofErr w:type="spellEnd"/>
      <w:r>
        <w:t xml:space="preserve"> completion probes, confirming substantial contamination. </w:t>
      </w:r>
      <w:proofErr w:type="spellStart"/>
      <w:r>
        <w:t>EvoEval</w:t>
      </w:r>
      <w:proofErr w:type="spellEnd"/>
      <w:r>
        <w:t xml:space="preserve"> instead synthesizes all 100 repositories from scratch with 0.0% leakage and evaluates longitudinal mutation over 10–25 generations. </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 xml:space="preserve">Reflexion, Self-Refine, Voyager, and Darwinian scaffolds demonstrated that verbal reinforcement, skill libraries, and prompt rewriting improve short-horizon performance. Recent work on prompt optimization (OPRO, </w:t>
      </w:r>
      <w:proofErr w:type="spellStart"/>
      <w:r>
        <w:t>DSPy</w:t>
      </w:r>
      <w:proofErr w:type="spellEnd"/>
      <w:r>
        <w:t>) and memory systems (</w:t>
      </w:r>
      <w:proofErr w:type="spellStart"/>
      <w:r>
        <w:t>MemGPT</w:t>
      </w:r>
      <w:proofErr w:type="spellEnd"/>
      <w:r>
        <w:t xml:space="preserve">, Voyager skill graphs) provides the mutation operators </w:t>
      </w:r>
      <w:proofErr w:type="spellStart"/>
      <w:r>
        <w:t>EvoEval</w:t>
      </w:r>
      <w:proofErr w:type="spellEnd"/>
      <w:r>
        <w:t xml:space="preserve"> formalizes as E. Crucially, none of these frameworks measures the </w:t>
      </w:r>
      <w:r>
        <w:rPr>
          <w:i/>
        </w:rPr>
        <w:t xml:space="preserve">negative externalities </w:t>
      </w:r>
      <w:r>
        <w:t xml:space="preserve">of their own adaptation: no prior work quantifies how self-modification erodes safety constraints or inflates proxy metrics over generations. </w:t>
      </w:r>
      <w:proofErr w:type="spellStart"/>
      <w:r>
        <w:t>EvoEval</w:t>
      </w:r>
      <w:proofErr w:type="spellEnd"/>
      <w:r>
        <w:t xml:space="preserve"> closes this gap with a causal archetype taxonomy. </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rPr>
          <w:i/>
        </w:rPr>
        <w:t>G</w:t>
      </w:r>
      <w:r>
        <w:rPr>
          <w:vertAlign w:val="subscript"/>
        </w:rPr>
        <w:t xml:space="preserve">1 </w:t>
      </w:r>
      <w:r>
        <w:t xml:space="preserve">provides the frozen baseline. </w:t>
      </w:r>
      <w:r>
        <w:rPr>
          <w:i/>
        </w:rPr>
        <w:t>G</w:t>
      </w:r>
      <w:r>
        <w:rPr>
          <w:vertAlign w:val="subscript"/>
        </w:rPr>
        <w:t xml:space="preserve">2 </w:t>
      </w:r>
      <w:r>
        <w:t xml:space="preserve">and </w:t>
      </w:r>
      <w:r>
        <w:rPr>
          <w:i/>
        </w:rPr>
        <w:t>G</w:t>
      </w:r>
      <w:r>
        <w:rPr>
          <w:vertAlign w:val="subscript"/>
        </w:rPr>
        <w:t xml:space="preserve">3 </w:t>
      </w:r>
      <w:r>
        <w:t xml:space="preserve">isolate single mutation surfaces. </w:t>
      </w:r>
      <w:r>
        <w:rPr>
          <w:i/>
        </w:rPr>
        <w:t>G</w:t>
      </w:r>
      <w:r>
        <w:rPr>
          <w:vertAlign w:val="subscript"/>
        </w:rPr>
        <w:t xml:space="preserve">4 </w:t>
      </w:r>
      <w:r>
        <w:t xml:space="preserve">models the full unconstrained </w:t>
      </w:r>
      <w:proofErr w:type="spellStart"/>
      <w:r>
        <w:t>selfevolving</w:t>
      </w:r>
      <w:proofErr w:type="spellEnd"/>
      <w:r>
        <w:t xml:space="preserve"> agent deployed in the wild. </w:t>
      </w:r>
      <w:r>
        <w:rPr>
          <w:i/>
        </w:rPr>
        <w:t>G</w:t>
      </w:r>
      <w:r>
        <w:rPr>
          <w:vertAlign w:val="subscript"/>
        </w:rPr>
        <w:t xml:space="preserve">5 </w:t>
      </w:r>
      <w:r>
        <w:t xml:space="preserve">adds static syntactic verification (security linting plus prompt policy checks). </w:t>
      </w:r>
      <w:r>
        <w:rPr>
          <w:i/>
        </w:rPr>
        <w:t>G</w:t>
      </w:r>
      <w:r>
        <w:rPr>
          <w:vertAlign w:val="subscript"/>
        </w:rPr>
        <w:t xml:space="preserve">6 </w:t>
      </w:r>
      <w:r>
        <w:t xml:space="preserve">adds dynamic </w:t>
      </w:r>
      <w:proofErr w:type="spellStart"/>
      <w:r>
        <w:t>behavioral</w:t>
      </w:r>
      <w:proofErr w:type="spellEnd"/>
      <w:r>
        <w:t xml:space="preserve"> verification: every candidate mutation must pass a sequestered historical canary suite in an isolated </w:t>
      </w:r>
      <w:proofErr w:type="gramStart"/>
      <w:r>
        <w:t>container,</w:t>
      </w:r>
      <w:proofErr w:type="gramEnd"/>
      <w:r>
        <w:t xml:space="preserve"> else the state is atomically rolled back via git commit hashes. </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Style w:val="TableGrid"/>
        <w:tblW w:w="9999" w:type="dxa"/>
        <w:tblInd w:w="336" w:type="dxa"/>
        <w:tblCellMar>
          <w:top w:w="22" w:type="dxa"/>
          <w:left w:w="0" w:type="dxa"/>
          <w:bottom w:w="0" w:type="dxa"/>
          <w:right w:w="0" w:type="dxa"/>
        </w:tblCellMar>
        <w:tblLook w:val="04A0" w:firstRow="1" w:lastRow="0" w:firstColumn="1" w:lastColumn="0" w:noHBand="0" w:noVBand="1"/>
      </w:tblPr>
      <w:tblGrid>
        <w:gridCol w:w="401"/>
        <w:gridCol w:w="2288"/>
        <w:gridCol w:w="2230"/>
        <w:gridCol w:w="5080"/>
      </w:tblGrid>
      <w:tr w:rsidR="00415157" w14:paraId="5DBBBB66" w14:textId="77777777">
        <w:trPr>
          <w:trHeight w:val="1369"/>
        </w:trPr>
        <w:tc>
          <w:tcPr>
            <w:tcW w:w="401" w:type="dxa"/>
            <w:tcBorders>
              <w:top w:val="nil"/>
              <w:left w:val="nil"/>
              <w:bottom w:val="nil"/>
              <w:right w:val="nil"/>
            </w:tcBorders>
          </w:tcPr>
          <w:p w14:paraId="681CF339" w14:textId="77777777" w:rsidR="00415157" w:rsidRDefault="00000000">
            <w:pPr>
              <w:spacing w:after="38" w:line="259" w:lineRule="auto"/>
              <w:ind w:left="0" w:firstLine="0"/>
              <w:jc w:val="left"/>
            </w:pPr>
            <w:r>
              <w:rPr>
                <w:i/>
                <w:sz w:val="16"/>
              </w:rPr>
              <w:t>G</w:t>
            </w:r>
            <w:r>
              <w:rPr>
                <w:sz w:val="16"/>
                <w:vertAlign w:val="subscript"/>
              </w:rPr>
              <w:t>1</w:t>
            </w:r>
            <w:r>
              <w:t xml:space="preserve"> </w:t>
            </w:r>
          </w:p>
          <w:p w14:paraId="39ABD0DC" w14:textId="77777777" w:rsidR="00415157" w:rsidRDefault="00000000">
            <w:pPr>
              <w:spacing w:after="0" w:line="259" w:lineRule="auto"/>
              <w:ind w:left="0" w:firstLine="0"/>
              <w:jc w:val="left"/>
            </w:pPr>
            <w:r>
              <w:rPr>
                <w:i/>
                <w:sz w:val="16"/>
              </w:rPr>
              <w:t>G</w:t>
            </w:r>
            <w:r>
              <w:rPr>
                <w:sz w:val="16"/>
                <w:vertAlign w:val="subscript"/>
              </w:rPr>
              <w:t>2</w:t>
            </w:r>
            <w:r>
              <w:t xml:space="preserve"> </w:t>
            </w:r>
          </w:p>
          <w:p w14:paraId="0F786B21" w14:textId="77777777" w:rsidR="00415157" w:rsidRDefault="00000000">
            <w:pPr>
              <w:spacing w:after="2" w:line="259" w:lineRule="auto"/>
              <w:ind w:left="0" w:firstLine="0"/>
              <w:jc w:val="left"/>
            </w:pPr>
            <w:r>
              <w:rPr>
                <w:i/>
                <w:sz w:val="16"/>
              </w:rPr>
              <w:t>G</w:t>
            </w:r>
            <w:r>
              <w:rPr>
                <w:sz w:val="16"/>
                <w:vertAlign w:val="subscript"/>
              </w:rPr>
              <w:t>3</w:t>
            </w:r>
            <w:r>
              <w:t xml:space="preserve"> </w:t>
            </w:r>
          </w:p>
          <w:p w14:paraId="19B29759" w14:textId="77777777" w:rsidR="00415157" w:rsidRDefault="00000000">
            <w:pPr>
              <w:spacing w:after="2" w:line="259" w:lineRule="auto"/>
              <w:ind w:left="0" w:firstLine="0"/>
              <w:jc w:val="left"/>
            </w:pPr>
            <w:r>
              <w:rPr>
                <w:i/>
                <w:sz w:val="16"/>
              </w:rPr>
              <w:t>G</w:t>
            </w:r>
            <w:r>
              <w:rPr>
                <w:sz w:val="16"/>
                <w:vertAlign w:val="subscript"/>
              </w:rPr>
              <w:t>4</w:t>
            </w:r>
            <w:r>
              <w:t xml:space="preserve"> </w:t>
            </w:r>
          </w:p>
          <w:p w14:paraId="7364FA4F" w14:textId="77777777" w:rsidR="00415157" w:rsidRDefault="00000000">
            <w:pPr>
              <w:spacing w:after="2" w:line="259" w:lineRule="auto"/>
              <w:ind w:left="0" w:firstLine="0"/>
              <w:jc w:val="left"/>
            </w:pPr>
            <w:r>
              <w:rPr>
                <w:i/>
                <w:sz w:val="16"/>
              </w:rPr>
              <w:t>G</w:t>
            </w:r>
            <w:r>
              <w:rPr>
                <w:sz w:val="16"/>
                <w:vertAlign w:val="subscript"/>
              </w:rPr>
              <w:t>5</w:t>
            </w:r>
            <w:r>
              <w:t xml:space="preserve"> </w:t>
            </w:r>
          </w:p>
          <w:p w14:paraId="03E3A5C2" w14:textId="77777777" w:rsidR="00415157" w:rsidRDefault="00000000">
            <w:pPr>
              <w:spacing w:after="0" w:line="259" w:lineRule="auto"/>
              <w:ind w:left="0" w:firstLine="0"/>
              <w:jc w:val="left"/>
            </w:pPr>
            <w:r>
              <w:rPr>
                <w:i/>
                <w:sz w:val="16"/>
              </w:rPr>
              <w:t>G</w:t>
            </w:r>
            <w:r>
              <w:rPr>
                <w:sz w:val="16"/>
                <w:vertAlign w:val="subscript"/>
              </w:rPr>
              <w:t>6</w:t>
            </w:r>
            <w:r>
              <w:t xml:space="preserve"> </w:t>
            </w:r>
          </w:p>
        </w:tc>
        <w:tc>
          <w:tcPr>
            <w:tcW w:w="2288" w:type="dxa"/>
            <w:tcBorders>
              <w:top w:val="nil"/>
              <w:left w:val="nil"/>
              <w:bottom w:val="nil"/>
              <w:right w:val="nil"/>
            </w:tcBorders>
          </w:tcPr>
          <w:p w14:paraId="4F5ABD19" w14:textId="77777777" w:rsidR="00415157" w:rsidRDefault="00000000">
            <w:pPr>
              <w:tabs>
                <w:tab w:val="center" w:pos="1774"/>
              </w:tabs>
              <w:spacing w:after="41" w:line="259" w:lineRule="auto"/>
              <w:ind w:left="0" w:firstLine="0"/>
              <w:jc w:val="left"/>
            </w:pPr>
            <w:r>
              <w:rPr>
                <w:sz w:val="16"/>
              </w:rPr>
              <w:t>Frozen Control</w:t>
            </w:r>
            <w:r>
              <w:t xml:space="preserve"> </w:t>
            </w:r>
            <w:r>
              <w:tab/>
            </w:r>
            <w:r>
              <w:rPr>
                <w:sz w:val="16"/>
              </w:rPr>
              <w:t>—</w:t>
            </w:r>
            <w:r>
              <w:t xml:space="preserve"> </w:t>
            </w:r>
          </w:p>
          <w:p w14:paraId="671535B5" w14:textId="77777777" w:rsidR="00415157" w:rsidRDefault="00000000">
            <w:pPr>
              <w:tabs>
                <w:tab w:val="center" w:pos="1768"/>
              </w:tabs>
              <w:spacing w:after="3" w:line="259" w:lineRule="auto"/>
              <w:ind w:left="0" w:firstLine="0"/>
              <w:jc w:val="left"/>
            </w:pPr>
            <w:r>
              <w:rPr>
                <w:sz w:val="16"/>
              </w:rPr>
              <w:t>Prompt Rewriter</w:t>
            </w:r>
            <w:r>
              <w:t xml:space="preserve"> </w:t>
            </w:r>
            <w:r>
              <w:tab/>
            </w:r>
            <w:r>
              <w:rPr>
                <w:sz w:val="16"/>
              </w:rPr>
              <w:t>Π</w:t>
            </w:r>
            <w:r>
              <w:t xml:space="preserve"> </w:t>
            </w:r>
          </w:p>
          <w:p w14:paraId="33BA417D" w14:textId="77777777" w:rsidR="00415157" w:rsidRDefault="00000000">
            <w:pPr>
              <w:tabs>
                <w:tab w:val="center" w:pos="1749"/>
              </w:tabs>
              <w:spacing w:after="0" w:line="259" w:lineRule="auto"/>
              <w:ind w:left="0" w:firstLine="0"/>
              <w:jc w:val="left"/>
            </w:pPr>
            <w:r>
              <w:rPr>
                <w:sz w:val="16"/>
              </w:rPr>
              <w:t>Memory Accumulator</w:t>
            </w:r>
            <w:r>
              <w:t xml:space="preserve"> </w:t>
            </w:r>
            <w:r>
              <w:tab/>
            </w:r>
            <w:r>
              <w:rPr>
                <w:sz w:val="16"/>
              </w:rPr>
              <w:t>M</w:t>
            </w:r>
            <w:r>
              <w:t xml:space="preserve"> </w:t>
            </w:r>
          </w:p>
          <w:p w14:paraId="0B6F1EFF" w14:textId="77777777" w:rsidR="00415157" w:rsidRDefault="00000000">
            <w:pPr>
              <w:spacing w:after="0" w:line="265" w:lineRule="auto"/>
              <w:ind w:left="0" w:firstLine="0"/>
              <w:jc w:val="left"/>
            </w:pPr>
            <w:r>
              <w:rPr>
                <w:sz w:val="16"/>
              </w:rPr>
              <w:t>Compound Reflection</w:t>
            </w:r>
            <w:r>
              <w:t xml:space="preserve"> </w:t>
            </w:r>
            <w:proofErr w:type="gramStart"/>
            <w:r>
              <w:rPr>
                <w:sz w:val="16"/>
              </w:rPr>
              <w:t>Π</w:t>
            </w:r>
            <w:r>
              <w:rPr>
                <w:i/>
                <w:sz w:val="16"/>
              </w:rPr>
              <w:t>,</w:t>
            </w:r>
            <w:r>
              <w:rPr>
                <w:sz w:val="16"/>
              </w:rPr>
              <w:t>M</w:t>
            </w:r>
            <w:proofErr w:type="gramEnd"/>
            <w:r>
              <w:rPr>
                <w:i/>
                <w:sz w:val="16"/>
              </w:rPr>
              <w:t>,</w:t>
            </w:r>
            <w:r>
              <w:rPr>
                <w:sz w:val="16"/>
              </w:rPr>
              <w:t>C</w:t>
            </w:r>
            <w:r>
              <w:t xml:space="preserve"> </w:t>
            </w:r>
            <w:r>
              <w:rPr>
                <w:sz w:val="16"/>
              </w:rPr>
              <w:t>Static Verifier</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p w14:paraId="4104D429" w14:textId="77777777" w:rsidR="00415157" w:rsidRDefault="00000000">
            <w:pPr>
              <w:tabs>
                <w:tab w:val="center" w:pos="1694"/>
              </w:tabs>
              <w:spacing w:after="0" w:line="259" w:lineRule="auto"/>
              <w:ind w:left="0" w:firstLine="0"/>
              <w:jc w:val="left"/>
            </w:pPr>
            <w:r>
              <w:rPr>
                <w:sz w:val="16"/>
              </w:rPr>
              <w:t>Regression Guard</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tc>
        <w:tc>
          <w:tcPr>
            <w:tcW w:w="2230" w:type="dxa"/>
            <w:tcBorders>
              <w:top w:val="nil"/>
              <w:left w:val="nil"/>
              <w:bottom w:val="nil"/>
              <w:right w:val="nil"/>
            </w:tcBorders>
          </w:tcPr>
          <w:p w14:paraId="714BF339" w14:textId="77777777" w:rsidR="00415157" w:rsidRDefault="00000000">
            <w:pPr>
              <w:spacing w:after="25" w:line="259" w:lineRule="auto"/>
              <w:ind w:left="384" w:firstLine="0"/>
              <w:jc w:val="left"/>
            </w:pPr>
            <w:r>
              <w:rPr>
                <w:sz w:val="16"/>
              </w:rPr>
              <w:t>—</w:t>
            </w:r>
            <w:r>
              <w:t xml:space="preserve"> </w:t>
            </w:r>
          </w:p>
          <w:p w14:paraId="09BEB2BE" w14:textId="77777777" w:rsidR="00415157" w:rsidRDefault="00000000">
            <w:pPr>
              <w:spacing w:after="0" w:line="259" w:lineRule="auto"/>
              <w:ind w:left="281" w:firstLine="0"/>
              <w:jc w:val="left"/>
            </w:pPr>
            <w:r>
              <w:rPr>
                <w:sz w:val="16"/>
              </w:rPr>
              <w:t>None</w:t>
            </w:r>
            <w:r>
              <w:t xml:space="preserve"> </w:t>
            </w:r>
          </w:p>
          <w:p w14:paraId="73DBDF30" w14:textId="77777777" w:rsidR="00415157" w:rsidRDefault="00000000">
            <w:pPr>
              <w:spacing w:after="0" w:line="259" w:lineRule="auto"/>
              <w:ind w:left="281" w:firstLine="0"/>
              <w:jc w:val="left"/>
            </w:pPr>
            <w:r>
              <w:rPr>
                <w:sz w:val="16"/>
              </w:rPr>
              <w:t>None</w:t>
            </w:r>
            <w:r>
              <w:t xml:space="preserve"> </w:t>
            </w:r>
          </w:p>
          <w:p w14:paraId="550E2F2B" w14:textId="77777777" w:rsidR="00415157" w:rsidRDefault="00000000">
            <w:pPr>
              <w:spacing w:after="0" w:line="259" w:lineRule="auto"/>
              <w:ind w:left="281" w:firstLine="0"/>
              <w:jc w:val="left"/>
            </w:pPr>
            <w:r>
              <w:rPr>
                <w:sz w:val="16"/>
              </w:rPr>
              <w:t>None</w:t>
            </w:r>
            <w:r>
              <w:t xml:space="preserve"> </w:t>
            </w:r>
          </w:p>
          <w:p w14:paraId="1C3472D8" w14:textId="77777777" w:rsidR="00415157" w:rsidRDefault="00000000">
            <w:pPr>
              <w:spacing w:after="0" w:line="259" w:lineRule="auto"/>
              <w:ind w:left="211" w:firstLine="0"/>
              <w:jc w:val="left"/>
            </w:pPr>
            <w:r>
              <w:rPr>
                <w:sz w:val="16"/>
              </w:rPr>
              <w:t>AST lint</w:t>
            </w:r>
            <w:r>
              <w:t xml:space="preserve"> </w:t>
            </w:r>
          </w:p>
          <w:p w14:paraId="2326835D" w14:textId="77777777" w:rsidR="00415157" w:rsidRDefault="00000000">
            <w:pPr>
              <w:tabs>
                <w:tab w:val="center" w:pos="872"/>
              </w:tabs>
              <w:spacing w:after="0" w:line="259" w:lineRule="auto"/>
              <w:ind w:left="0" w:firstLine="0"/>
              <w:jc w:val="left"/>
            </w:pPr>
            <w:r>
              <w:rPr>
                <w:sz w:val="16"/>
              </w:rPr>
              <w:t xml:space="preserve">Canary </w:t>
            </w:r>
            <w:r>
              <w:rPr>
                <w:sz w:val="16"/>
              </w:rPr>
              <w:tab/>
              <w:t xml:space="preserve">+ </w:t>
            </w:r>
          </w:p>
        </w:tc>
        <w:tc>
          <w:tcPr>
            <w:tcW w:w="5081" w:type="dxa"/>
            <w:tcBorders>
              <w:top w:val="nil"/>
              <w:left w:val="nil"/>
              <w:bottom w:val="nil"/>
              <w:right w:val="nil"/>
            </w:tcBorders>
            <w:vAlign w:val="bottom"/>
          </w:tcPr>
          <w:p w14:paraId="178A57C9" w14:textId="77777777" w:rsidR="00415157" w:rsidRDefault="00000000">
            <w:pPr>
              <w:spacing w:after="30" w:line="259" w:lineRule="auto"/>
              <w:ind w:left="0" w:firstLine="0"/>
              <w:jc w:val="left"/>
            </w:pPr>
            <w:r>
              <w:t xml:space="preserve">except </w:t>
            </w:r>
            <w:proofErr w:type="spellStart"/>
            <w:r>
              <w:t>BaseException</w:t>
            </w:r>
            <w:proofErr w:type="spellEnd"/>
            <w:r>
              <w:t xml:space="preserve">: pass). </w:t>
            </w:r>
          </w:p>
          <w:p w14:paraId="31567B0F" w14:textId="77777777" w:rsidR="00415157" w:rsidRDefault="00000000">
            <w:pPr>
              <w:spacing w:after="0" w:line="259" w:lineRule="auto"/>
              <w:ind w:left="0" w:right="45" w:firstLine="188"/>
            </w:pPr>
            <w:r>
              <w:rPr>
                <w:i/>
              </w:rPr>
              <w:t xml:space="preserve">Layer 5—Kernel isolation. </w:t>
            </w:r>
            <w:r>
              <w:t>evo-sandbox runs as unprivileged agent (</w:t>
            </w:r>
            <w:proofErr w:type="spellStart"/>
            <w:r>
              <w:t>uid</w:t>
            </w:r>
            <w:proofErr w:type="spellEnd"/>
            <w:r>
              <w:t xml:space="preserve"> 1000), drops all Linux capabilities (--cap-drop=ALL), enforces </w:t>
            </w:r>
            <w:proofErr w:type="spellStart"/>
            <w:r>
              <w:t>cgroup</w:t>
            </w:r>
            <w:proofErr w:type="spellEnd"/>
            <w:r>
              <w:t xml:space="preserve"> limits (2.0GB RAM, 1.0 CPU quota), and blocks all networking (--network none) with a strict seccomp profile. </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(187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X. Li et al., “SkillsBench: Benchmarking How Well Agent Skills Work Across Diverse Tasks,” arXiv:2602.12670, 2026.</w:t>
      </w:r>
    </w:p>
    <w:p w14:paraId="54E80636" w14:textId="77777777" w:rsidR="00415157" w:rsidRDefault="00000000">
      <w:pPr>
        <w:ind w:left="0" w:right="2" w:firstLine="0"/>
      </w:pPr>
      <w:r>
        <w:t xml:space="preserve">Welch’s </w:t>
      </w:r>
      <w:r>
        <w:rPr>
          <w:i/>
        </w:rPr>
        <w:t>t</w:t>
      </w:r>
      <w:r>
        <w:t xml:space="preserve">, Cohen’s </w:t>
      </w:r>
      <w:r>
        <w:rPr>
          <w:i/>
        </w:rPr>
        <w:t>d</w:t>
      </w:r>
      <w:r>
        <w:t xml:space="preserve">, and Cliff’s </w:t>
      </w:r>
      <w:r>
        <w:rPr>
          <w:i/>
        </w:rPr>
        <w:t>δ</w:t>
      </w:r>
      <w:r>
        <w:t xml:space="preserve">. </w:t>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 xml:space="preserve">Table X benchmarks external systems on the 100-task suite. A 7B open-weights model with G6 guarding (92.0%) outperforms GPT-4o ReAct (76.0%) and SWE-agent with Claude 3.5 Sonnet (84.0%) while holding gaming to 0.01 versus 0.35 and 0.22 respectively— demonstrating that architectural guardrails dominate raw parameter scale for trustworthy autonomy. </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187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[+0.16, +0.19]</w:t>
            </w:r>
          </w:p>
        </w:tc>
        <w:tc>
          <w:tcPr>
            <w:tcW w:type="dxa" w:w="1008"/>
            <w:tcMar>
              <w:top w:w="50" w:type="dxa"/>
              <w:bottom w:w="50" w:type="dxa"/>
              <w:left w:w="100" w:type="dxa"/>
              <w:right w:w="100" w:type="dxa"/>
            </w:tcMar>
          </w:tcPr>
          <w:p>
            <w:pPr>
              <w:jc w:val="left"/>
            </w:pPr>
            <w:r>
              <w:rPr>
                <w:rFonts w:ascii="Times New Roman" w:hAnsi="Times New Roman"/>
                <w:sz w:val="17"/>
              </w:rPr>
              <w:t>+16.78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[+0.18, +0.28]</w:t>
            </w:r>
          </w:p>
        </w:tc>
        <w:tc>
          <w:tcPr>
            <w:tcW w:type="dxa" w:w="1008"/>
            <w:tcMar>
              <w:top w:w="50" w:type="dxa"/>
              <w:bottom w:w="50" w:type="dxa"/>
              <w:left w:w="100" w:type="dxa"/>
              <w:right w:w="100" w:type="dxa"/>
            </w:tcMar>
          </w:tcPr>
          <w:p>
            <w:pPr>
              <w:jc w:val="left"/>
            </w:pPr>
            <w:r>
              <w:rPr>
                <w:rFonts w:ascii="Times New Roman" w:hAnsi="Times New Roman"/>
                <w:sz w:val="17"/>
              </w:rPr>
              <w:t>+6.04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[+0.26, +0.29]</w:t>
            </w:r>
          </w:p>
        </w:tc>
        <w:tc>
          <w:tcPr>
            <w:tcW w:type="dxa" w:w="1008"/>
            <w:tcMar>
              <w:top w:w="50" w:type="dxa"/>
              <w:bottom w:w="50" w:type="dxa"/>
              <w:left w:w="100" w:type="dxa"/>
              <w:right w:w="100" w:type="dxa"/>
            </w:tcMar>
          </w:tcPr>
          <w:p>
            <w:pPr>
              <w:jc w:val="left"/>
            </w:pPr>
            <w:r>
              <w:rPr>
                <w:rFonts w:ascii="Times New Roman" w:hAnsi="Times New Roman"/>
                <w:sz w:val="17"/>
              </w:rPr>
              <w:t>+14.21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[-0.17, -0.01]</w:t>
            </w:r>
          </w:p>
        </w:tc>
        <w:tc>
          <w:tcPr>
            <w:tcW w:type="dxa" w:w="1008"/>
            <w:tcMar>
              <w:top w:w="50" w:type="dxa"/>
              <w:bottom w:w="50" w:type="dxa"/>
              <w:left w:w="100" w:type="dxa"/>
              <w:right w:w="100" w:type="dxa"/>
            </w:tcMar>
          </w:tcPr>
          <w:p>
            <w:pPr>
              <w:jc w:val="left"/>
            </w:pPr>
            <w:r>
              <w:rPr>
                <w:rFonts w:ascii="Times New Roman" w:hAnsi="Times New Roman"/>
                <w:sz w:val="17"/>
              </w:rPr>
              <w:t>-1.27</w:t>
            </w:r>
          </w:p>
        </w:tc>
        <w:tc>
          <w:tcPr>
            <w:tcW w:type="dxa" w:w="1008"/>
            <w:tcMar>
              <w:top w:w="50" w:type="dxa"/>
              <w:bottom w:w="50" w:type="dxa"/>
              <w:left w:w="100" w:type="dxa"/>
              <w:right w:w="100" w:type="dxa"/>
            </w:tcMar>
          </w:tcPr>
          <w:p>
            <w:pPr>
              <w:jc w:val="left"/>
            </w:pPr>
            <w:r>
              <w:rPr>
                <w:rFonts w:ascii="Times New Roman" w:hAnsi="Times New Roman"/>
                <w:sz w:val="17"/>
              </w:rPr>
              <w:t>-0.78</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0.071</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[+0.10, +0.21]</w:t>
            </w:r>
          </w:p>
        </w:tc>
        <w:tc>
          <w:tcPr>
            <w:tcW w:type="dxa" w:w="1008"/>
            <w:tcMar>
              <w:top w:w="50" w:type="dxa"/>
              <w:bottom w:w="50" w:type="dxa"/>
              <w:left w:w="100" w:type="dxa"/>
              <w:right w:w="100" w:type="dxa"/>
            </w:tcMar>
          </w:tcPr>
          <w:p>
            <w:pPr>
              <w:jc w:val="left"/>
            </w:pPr>
            <w:r>
              <w:rPr>
                <w:rFonts w:ascii="Times New Roman" w:hAnsi="Times New Roman"/>
                <w:sz w:val="17"/>
              </w:rPr>
              <w:t>+4.34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[+0.07, +0.21]</w:t>
            </w:r>
          </w:p>
        </w:tc>
        <w:tc>
          <w:tcPr>
            <w:tcW w:type="dxa" w:w="1008"/>
            <w:tcMar>
              <w:top w:w="50" w:type="dxa"/>
              <w:bottom w:w="50" w:type="dxa"/>
              <w:left w:w="100" w:type="dxa"/>
              <w:right w:w="100" w:type="dxa"/>
            </w:tcMar>
          </w:tcPr>
          <w:p>
            <w:pPr>
              <w:jc w:val="left"/>
            </w:pPr>
            <w:r>
              <w:rPr>
                <w:rFonts w:ascii="Times New Roman" w:hAnsi="Times New Roman"/>
                <w:sz w:val="17"/>
              </w:rPr>
              <w:t>+2.28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-0.12</w:t>
            </w:r>
          </w:p>
        </w:tc>
        <w:tc>
          <w:tcPr>
            <w:tcW w:type="dxa" w:w="1584"/>
            <w:tcMar>
              <w:top w:w="50" w:type="dxa"/>
              <w:bottom w:w="50" w:type="dxa"/>
              <w:left w:w="100" w:type="dxa"/>
              <w:right w:w="100" w:type="dxa"/>
            </w:tcMar>
          </w:tcPr>
          <w:p>
            <w:pPr>
              <w:jc w:val="left"/>
            </w:pPr>
            <w:r>
              <w:rPr>
                <w:rFonts w:ascii="Times New Roman" w:hAnsi="Times New Roman"/>
                <w:sz w:val="17"/>
              </w:rPr>
              <w:t>[-0.14, -0.10]</w:t>
            </w:r>
          </w:p>
        </w:tc>
        <w:tc>
          <w:tcPr>
            <w:tcW w:type="dxa" w:w="1008"/>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[+0.16, +0.19]</w:t>
            </w:r>
          </w:p>
        </w:tc>
        <w:tc>
          <w:tcPr>
            <w:tcW w:type="dxa" w:w="1008"/>
            <w:tcMar>
              <w:top w:w="50" w:type="dxa"/>
              <w:bottom w:w="50" w:type="dxa"/>
              <w:left w:w="100" w:type="dxa"/>
              <w:right w:w="100" w:type="dxa"/>
            </w:tcMar>
          </w:tcPr>
          <w:p>
            <w:pPr>
              <w:jc w:val="left"/>
            </w:pPr>
            <w:r>
              <w:rPr>
                <w:rFonts w:ascii="Times New Roman" w:hAnsi="Times New Roman"/>
                <w:sz w:val="17"/>
              </w:rPr>
              <w:t>+3.61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[+0.23, +0.29]</w:t>
            </w:r>
          </w:p>
        </w:tc>
        <w:tc>
          <w:tcPr>
            <w:tcW w:type="dxa" w:w="1008"/>
            <w:tcMar>
              <w:top w:w="50" w:type="dxa"/>
              <w:bottom w:w="50" w:type="dxa"/>
              <w:left w:w="100" w:type="dxa"/>
              <w:right w:w="100" w:type="dxa"/>
            </w:tcMar>
          </w:tcPr>
          <w:p>
            <w:pPr>
              <w:jc w:val="left"/>
            </w:pPr>
            <w:r>
              <w:rPr>
                <w:rFonts w:ascii="Times New Roman" w:hAnsi="Times New Roman"/>
                <w:sz w:val="17"/>
              </w:rPr>
              <w:t>+10.91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[+0.15, +0.19]</w:t>
            </w:r>
          </w:p>
        </w:tc>
        <w:tc>
          <w:tcPr>
            <w:tcW w:type="dxa" w:w="1008"/>
            <w:tcMar>
              <w:top w:w="50" w:type="dxa"/>
              <w:bottom w:w="50" w:type="dxa"/>
              <w:left w:w="100" w:type="dxa"/>
              <w:right w:w="100" w:type="dxa"/>
            </w:tcMar>
          </w:tcPr>
          <w:p>
            <w:pPr>
              <w:jc w:val="left"/>
            </w:pPr>
            <w:r>
              <w:rPr>
                <w:rFonts w:ascii="Times New Roman" w:hAnsi="Times New Roman"/>
                <w:sz w:val="17"/>
              </w:rPr>
              <w:t>+6.88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[+0.10, +0.12]</w:t>
            </w:r>
          </w:p>
        </w:tc>
        <w:tc>
          <w:tcPr>
            <w:tcW w:type="dxa" w:w="1008"/>
            <w:tcMar>
              <w:top w:w="50" w:type="dxa"/>
              <w:bottom w:w="50" w:type="dxa"/>
              <w:left w:w="100" w:type="dxa"/>
              <w:right w:w="100" w:type="dxa"/>
            </w:tcMar>
          </w:tcPr>
          <w:p>
            <w:pPr>
              <w:jc w:val="left"/>
            </w:pPr>
            <w:r>
              <w:rPr>
                <w:rFonts w:ascii="Times New Roman" w:hAnsi="Times New Roman"/>
                <w:sz w:val="17"/>
              </w:rPr>
              <w:t>+7.44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[+0.09, +0.23]</w:t>
            </w:r>
          </w:p>
        </w:tc>
        <w:tc>
          <w:tcPr>
            <w:tcW w:type="dxa" w:w="1008"/>
            <w:tcMar>
              <w:top w:w="50" w:type="dxa"/>
              <w:bottom w:w="50" w:type="dxa"/>
              <w:left w:w="100" w:type="dxa"/>
              <w:right w:w="100" w:type="dxa"/>
            </w:tcMar>
          </w:tcPr>
          <w:p>
            <w:pPr>
              <w:jc w:val="left"/>
            </w:pPr>
            <w:r>
              <w:rPr>
                <w:rFonts w:ascii="Times New Roman" w:hAnsi="Times New Roman"/>
                <w:sz w:val="17"/>
              </w:rPr>
              <w:t>+3.95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[-0.08, -0.03]</w:t>
            </w:r>
          </w:p>
        </w:tc>
        <w:tc>
          <w:tcPr>
            <w:tcW w:type="dxa" w:w="1008"/>
            <w:tcMar>
              <w:top w:w="50" w:type="dxa"/>
              <w:bottom w:w="50" w:type="dxa"/>
              <w:left w:w="100" w:type="dxa"/>
              <w:right w:w="100" w:type="dxa"/>
            </w:tcMar>
          </w:tcPr>
          <w:p>
            <w:pPr>
              <w:jc w:val="left"/>
            </w:pPr>
            <w:r>
              <w:rPr>
                <w:rFonts w:ascii="Times New Roman" w:hAnsi="Times New Roman"/>
                <w:sz w:val="17"/>
              </w:rPr>
              <w:t>-1.15</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[+0.11, +0.20]</w:t>
            </w:r>
          </w:p>
        </w:tc>
        <w:tc>
          <w:tcPr>
            <w:tcW w:type="dxa" w:w="1008"/>
            <w:tcMar>
              <w:top w:w="50" w:type="dxa"/>
              <w:bottom w:w="50" w:type="dxa"/>
              <w:left w:w="100" w:type="dxa"/>
              <w:right w:w="100" w:type="dxa"/>
            </w:tcMar>
          </w:tcPr>
          <w:p>
            <w:pPr>
              <w:jc w:val="left"/>
            </w:pPr>
            <w:r>
              <w:rPr>
                <w:rFonts w:ascii="Times New Roman" w:hAnsi="Times New Roman"/>
                <w:sz w:val="17"/>
              </w:rPr>
              <w:t>+6.19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[+0.01, +0.19]</w:t>
            </w:r>
          </w:p>
        </w:tc>
        <w:tc>
          <w:tcPr>
            <w:tcW w:type="dxa" w:w="1008"/>
            <w:tcMar>
              <w:top w:w="50" w:type="dxa"/>
              <w:bottom w:w="50" w:type="dxa"/>
              <w:left w:w="100" w:type="dxa"/>
              <w:right w:w="100" w:type="dxa"/>
            </w:tcMar>
          </w:tcPr>
          <w:p>
            <w:pPr>
              <w:jc w:val="left"/>
            </w:pPr>
            <w:r>
              <w:rPr>
                <w:rFonts w:ascii="Times New Roman" w:hAnsi="Times New Roman"/>
                <w:sz w:val="17"/>
              </w:rPr>
              <w:t>+2.40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-0.10</w:t>
            </w:r>
          </w:p>
        </w:tc>
        <w:tc>
          <w:tcPr>
            <w:tcW w:type="dxa" w:w="1584"/>
            <w:tcMar>
              <w:top w:w="50" w:type="dxa"/>
              <w:bottom w:w="50" w:type="dxa"/>
              <w:left w:w="100" w:type="dxa"/>
              <w:right w:w="100" w:type="dxa"/>
            </w:tcMar>
          </w:tcPr>
          <w:p>
            <w:pPr>
              <w:jc w:val="left"/>
            </w:pPr>
            <w:r>
              <w:rPr>
                <w:rFonts w:ascii="Times New Roman" w:hAnsi="Times New Roman"/>
                <w:sz w:val="17"/>
              </w:rPr>
              <w:t>[-0.13, -0.07]</w:t>
            </w:r>
          </w:p>
        </w:tc>
        <w:tc>
          <w:tcPr>
            <w:tcW w:type="dxa" w:w="1008"/>
            <w:tcMar>
              <w:top w:w="50" w:type="dxa"/>
              <w:bottom w:w="50" w:type="dxa"/>
              <w:left w:w="100" w:type="dxa"/>
              <w:right w:w="100" w:type="dxa"/>
            </w:tcMar>
          </w:tcPr>
          <w:p>
            <w:pPr>
              <w:jc w:val="left"/>
            </w:pPr>
            <w:r>
              <w:rPr>
                <w:rFonts w:ascii="Times New Roman" w:hAnsi="Times New Roman"/>
                <w:sz w:val="17"/>
              </w:rPr>
              <w:t>-5.46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[+0.07, +0.22]</w:t>
            </w:r>
          </w:p>
        </w:tc>
        <w:tc>
          <w:tcPr>
            <w:tcW w:type="dxa" w:w="1008"/>
            <w:tcMar>
              <w:top w:w="50" w:type="dxa"/>
              <w:bottom w:w="50" w:type="dxa"/>
              <w:left w:w="100" w:type="dxa"/>
              <w:right w:w="100" w:type="dxa"/>
            </w:tcMar>
          </w:tcPr>
          <w:p>
            <w:pPr>
              <w:jc w:val="left"/>
            </w:pPr>
            <w:r>
              <w:rPr>
                <w:rFonts w:ascii="Times New Roman" w:hAnsi="Times New Roman"/>
                <w:sz w:val="17"/>
              </w:rPr>
              <w:t>+2.79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[+0.11, +0.25]</w:t>
            </w:r>
          </w:p>
        </w:tc>
        <w:tc>
          <w:tcPr>
            <w:tcW w:type="dxa" w:w="1008"/>
            <w:tcMar>
              <w:top w:w="50" w:type="dxa"/>
              <w:bottom w:w="50" w:type="dxa"/>
              <w:left w:w="100" w:type="dxa"/>
              <w:right w:w="100" w:type="dxa"/>
            </w:tcMar>
          </w:tcPr>
          <w:p>
            <w:pPr>
              <w:jc w:val="left"/>
            </w:pPr>
            <w:r>
              <w:rPr>
                <w:rFonts w:ascii="Times New Roman" w:hAnsi="Times New Roman"/>
                <w:sz w:val="17"/>
              </w:rPr>
              <w:t>+3.54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[+0.21, +0.34]</w:t>
            </w:r>
          </w:p>
        </w:tc>
        <w:tc>
          <w:tcPr>
            <w:tcW w:type="dxa" w:w="1008"/>
            <w:tcMar>
              <w:top w:w="50" w:type="dxa"/>
              <w:bottom w:w="50" w:type="dxa"/>
              <w:left w:w="100" w:type="dxa"/>
              <w:right w:w="100" w:type="dxa"/>
            </w:tcMar>
          </w:tcPr>
          <w:p>
            <w:pPr>
              <w:jc w:val="left"/>
            </w:pPr>
            <w:r>
              <w:rPr>
                <w:rFonts w:ascii="Times New Roman" w:hAnsi="Times New Roman"/>
                <w:sz w:val="17"/>
              </w:rPr>
              <w:t>+8.30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[+0.21, +0.30]</w:t>
            </w:r>
          </w:p>
        </w:tc>
        <w:tc>
          <w:tcPr>
            <w:tcW w:type="dxa" w:w="1008"/>
            <w:tcMar>
              <w:top w:w="50" w:type="dxa"/>
              <w:bottom w:w="50" w:type="dxa"/>
              <w:left w:w="100" w:type="dxa"/>
              <w:right w:w="100" w:type="dxa"/>
            </w:tcMar>
          </w:tcPr>
          <w:p>
            <w:pPr>
              <w:jc w:val="left"/>
            </w:pPr>
            <w:r>
              <w:rPr>
                <w:rFonts w:ascii="Times New Roman" w:hAnsi="Times New Roman"/>
                <w:sz w:val="17"/>
              </w:rPr>
              <w:t>+8.61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+0.35</w:t>
            </w:r>
          </w:p>
        </w:tc>
        <w:tc>
          <w:tcPr>
            <w:tcW w:type="dxa" w:w="1584"/>
            <w:tcMar>
              <w:top w:w="50" w:type="dxa"/>
              <w:bottom w:w="50" w:type="dxa"/>
              <w:left w:w="100" w:type="dxa"/>
              <w:right w:w="100" w:type="dxa"/>
            </w:tcMar>
          </w:tcPr>
          <w:p>
            <w:pPr>
              <w:jc w:val="left"/>
            </w:pPr>
            <w:r>
              <w:rPr>
                <w:rFonts w:ascii="Times New Roman" w:hAnsi="Times New Roman"/>
                <w:sz w:val="17"/>
              </w:rPr>
              <w:t>[+0.32, +0.39]</w:t>
            </w:r>
          </w:p>
        </w:tc>
        <w:tc>
          <w:tcPr>
            <w:tcW w:type="dxa" w:w="1008"/>
            <w:tcMar>
              <w:top w:w="50" w:type="dxa"/>
              <w:bottom w:w="50" w:type="dxa"/>
              <w:left w:w="100" w:type="dxa"/>
              <w:right w:w="100" w:type="dxa"/>
            </w:tcMar>
          </w:tcPr>
          <w:p>
            <w:pPr>
              <w:jc w:val="left"/>
            </w:pPr>
            <w:r>
              <w:rPr>
                <w:rFonts w:ascii="Times New Roman" w:hAnsi="Times New Roman"/>
                <w:sz w:val="17"/>
              </w:rPr>
              <w:t>+16.70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1584"/>
            <w:tcMar>
              <w:top w:w="50" w:type="dxa"/>
              <w:bottom w:w="50" w:type="dxa"/>
              <w:left w:w="100" w:type="dxa"/>
              <w:right w:w="100" w:type="dxa"/>
            </w:tcMar>
          </w:tcPr>
          <w:p>
            <w:pPr>
              <w:jc w:val="left"/>
            </w:pPr>
            <w:r>
              <w:rPr>
                <w:rFonts w:ascii="Times New Roman" w:hAnsi="Times New Roman"/>
                <w:sz w:val="17"/>
              </w:rPr>
              <w:t>[-0.04, +0.07]</w:t>
            </w:r>
          </w:p>
        </w:tc>
        <w:tc>
          <w:tcPr>
            <w:tcW w:type="dxa" w:w="1008"/>
            <w:tcMar>
              <w:top w:w="50" w:type="dxa"/>
              <w:bottom w:w="50" w:type="dxa"/>
              <w:left w:w="100" w:type="dxa"/>
              <w:right w:w="100" w:type="dxa"/>
            </w:tcMar>
          </w:tcPr>
          <w:p>
            <w:pPr>
              <w:jc w:val="left"/>
            </w:pPr>
            <w:r>
              <w:rPr>
                <w:rFonts w:ascii="Times New Roman" w:hAnsi="Times New Roman"/>
                <w:sz w:val="17"/>
              </w:rPr>
              <w:t>+0.48</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0.741</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0.741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[+0.24, +0.27]</w:t>
            </w:r>
          </w:p>
        </w:tc>
        <w:tc>
          <w:tcPr>
            <w:tcW w:type="dxa" w:w="1008"/>
            <w:tcMar>
              <w:top w:w="50" w:type="dxa"/>
              <w:bottom w:w="50" w:type="dxa"/>
              <w:left w:w="100" w:type="dxa"/>
              <w:right w:w="100" w:type="dxa"/>
            </w:tcMar>
          </w:tcPr>
          <w:p>
            <w:pPr>
              <w:jc w:val="left"/>
            </w:pPr>
            <w:r>
              <w:rPr>
                <w:rFonts w:ascii="Times New Roman" w:hAnsi="Times New Roman"/>
                <w:sz w:val="17"/>
              </w:rPr>
              <w:t>+16.48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+7.22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[-0.05, -0.05]</w:t>
            </w:r>
          </w:p>
        </w:tc>
        <w:tc>
          <w:tcPr>
            <w:tcW w:type="dxa" w:w="1008"/>
            <w:tcMar>
              <w:top w:w="50" w:type="dxa"/>
              <w:bottom w:w="50" w:type="dxa"/>
              <w:left w:w="100" w:type="dxa"/>
              <w:right w:w="100" w:type="dxa"/>
            </w:tcMar>
          </w:tcPr>
          <w:p>
            <w:pPr>
              <w:jc w:val="left"/>
            </w:pPr>
            <w:r>
              <w:rPr>
                <w:rFonts w:ascii="Times New Roman" w:hAnsi="Times New Roman"/>
                <w:sz w:val="17"/>
              </w:rPr>
              <w:t>-3.66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[+0.22, +0.28]</w:t>
            </w:r>
          </w:p>
        </w:tc>
        <w:tc>
          <w:tcPr>
            <w:tcW w:type="dxa" w:w="1008"/>
            <w:tcMar>
              <w:top w:w="50" w:type="dxa"/>
              <w:bottom w:w="50" w:type="dxa"/>
              <w:left w:w="100" w:type="dxa"/>
              <w:right w:w="100" w:type="dxa"/>
            </w:tcMar>
          </w:tcPr>
          <w:p>
            <w:pPr>
              <w:jc w:val="left"/>
            </w:pPr>
            <w:r>
              <w:rPr>
                <w:rFonts w:ascii="Times New Roman" w:hAnsi="Times New Roman"/>
                <w:sz w:val="17"/>
              </w:rPr>
              <w:t>+7.78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[+0.22, +0.31]</w:t>
            </w:r>
          </w:p>
        </w:tc>
        <w:tc>
          <w:tcPr>
            <w:tcW w:type="dxa" w:w="1008"/>
            <w:tcMar>
              <w:top w:w="50" w:type="dxa"/>
              <w:bottom w:w="50" w:type="dxa"/>
              <w:left w:w="100" w:type="dxa"/>
              <w:right w:w="100" w:type="dxa"/>
            </w:tcMar>
          </w:tcPr>
          <w:p>
            <w:pPr>
              <w:jc w:val="left"/>
            </w:pPr>
            <w:r>
              <w:rPr>
                <w:rFonts w:ascii="Times New Roman" w:hAnsi="Times New Roman"/>
                <w:sz w:val="17"/>
              </w:rPr>
              <w:t>+9.27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pPr>
              <w:jc w:val="left"/>
            </w:pPr>
            <w:r>
              <w:rPr>
                <w:rFonts w:ascii="Times New Roman" w:hAnsi="Times New Roman"/>
                <w:sz w:val="17"/>
              </w:rPr>
              <w:t>EvoEval G6* (Regression-Guarded)</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97.0%</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1008"/>
            <w:tcMar>
              <w:top w:w="50" w:type="dxa"/>
              <w:bottom w:w="50" w:type="dxa"/>
              <w:left w:w="100" w:type="dxa"/>
              <w:right w:w="100" w:type="dxa"/>
            </w:tcMar>
          </w:tcPr>
          <w:p>
            <w:pPr>
              <w:jc w:val="left"/>
            </w:pPr>
            <w:r>
              <w:rPr>
                <w:rFonts w:ascii="Times New Roman" w:hAnsi="Times New Roman"/>
                <w:sz w:val="17"/>
              </w:rPr>
              <w:t>0.01</w:t>
            </w:r>
          </w:p>
        </w:tc>
        <w:tc>
          <w:tcPr>
            <w:tcW w:type="dxa" w:w="1080"/>
            <w:tcMar>
              <w:top w:w="50" w:type="dxa"/>
              <w:bottom w:w="50" w:type="dxa"/>
              <w:left w:w="100" w:type="dxa"/>
              <w:right w:w="100" w:type="dxa"/>
            </w:tcMar>
          </w:tcPr>
          <w:p>
            <w:pPr>
              <w:jc w:val="left"/>
            </w:pPr>
            <w:r>
              <w:rPr>
                <w:rFonts w:ascii="Times New Roman" w:hAnsi="Times New Roman"/>
                <w:sz w:val="17"/>
              </w:rP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