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proofErr w:type="spellStart"/>
      <w:r>
        <w:t>HumanEval</w:t>
      </w:r>
      <w:proofErr w:type="spellEnd"/>
      <w:r>
        <w:t xml:space="preserve"> and MBPP established function-level evaluation but are now fully contained in LLM pre-training corpora, yielding saturated and misleading scores. SWE-bench advanced the field to repository-level patches mined from GitHub pull requests, yet it evaluates a static snapshot (</w:t>
      </w:r>
      <w:r>
        <w:rPr>
          <w:i/>
        </w:rPr>
        <w:t>T</w:t>
      </w:r>
      <w:r>
        <w:t xml:space="preserve">=1): an agent cannot evolve or carry state across tasks. Moreover, 32.7% of SWE-bench Verified tasks are recoverable via </w:t>
      </w:r>
      <w:proofErr w:type="spellStart"/>
      <w:r>
        <w:t>zeroshot</w:t>
      </w:r>
      <w:proofErr w:type="spellEnd"/>
      <w:r>
        <w:t xml:space="preserve"> completion probes, confirming substantial contamination. </w:t>
      </w:r>
      <w:proofErr w:type="spellStart"/>
      <w:r>
        <w:t>EvoEval</w:t>
      </w:r>
      <w:proofErr w:type="spellEnd"/>
      <w:r>
        <w:t xml:space="preserve"> instead synthesizes all 100 repositories from scratch with 0.0% leakage and evaluates longitudinal mutation over 10–25 generations. </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 xml:space="preserve">Reflexion, Self-Refine, Voyager, and Darwinian scaffolds demonstrated that verbal reinforcement, skill libraries, and prompt rewriting improve short-horizon performance. Recent work on prompt optimization (OPRO, </w:t>
      </w:r>
      <w:proofErr w:type="spellStart"/>
      <w:r>
        <w:t>DSPy</w:t>
      </w:r>
      <w:proofErr w:type="spellEnd"/>
      <w:r>
        <w:t>) and memory systems (</w:t>
      </w:r>
      <w:proofErr w:type="spellStart"/>
      <w:r>
        <w:t>MemGPT</w:t>
      </w:r>
      <w:proofErr w:type="spellEnd"/>
      <w:r>
        <w:t xml:space="preserve">, Voyager skill graphs) provides the mutation operators </w:t>
      </w:r>
      <w:proofErr w:type="spellStart"/>
      <w:r>
        <w:t>EvoEval</w:t>
      </w:r>
      <w:proofErr w:type="spellEnd"/>
      <w:r>
        <w:t xml:space="preserve"> formalizes as E. Crucially, none of these frameworks measures the </w:t>
      </w:r>
      <w:r>
        <w:rPr>
          <w:i/>
        </w:rPr>
        <w:t xml:space="preserve">negative externalities </w:t>
      </w:r>
      <w:r>
        <w:t xml:space="preserve">of their own adaptation: no prior work quantifies how self-modification erodes safety constraints or inflates proxy metrics over generations. </w:t>
      </w:r>
      <w:proofErr w:type="spellStart"/>
      <w:r>
        <w:t>EvoEval</w:t>
      </w:r>
      <w:proofErr w:type="spellEnd"/>
      <w:r>
        <w:t xml:space="preserve"> closes this gap with a causal archetype taxonomy. </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 xml:space="preserve">Table X benchmarks external systems on the 100-task suite. A 7B open-weights model with G6 guarding (92.0%) outperforms GPT-4o ReAct (76.0%) and SWE-agent with Claude 3.5 Sonnet (84.0%) while holding gaming to 0.01 versus 0.35 and 0.22 respectively— demonstrating that architectural guardrails dominate raw parameter scale for trustworthy autonomy. </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pPr>
              <w:jc w:val="left"/>
            </w:pPr>
            <w:r>
              <w:rPr>
                <w:rFonts w:ascii="Times New Roman" w:hAnsi="Times New Roman"/>
                <w:sz w:val="17"/>
              </w:rPr>
              <w:t>EvoEval G6* (Regression-Guarded)</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97.0%</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1008"/>
            <w:tcMar>
              <w:top w:w="50" w:type="dxa"/>
              <w:bottom w:w="50" w:type="dxa"/>
              <w:left w:w="100" w:type="dxa"/>
              <w:right w:w="100" w:type="dxa"/>
            </w:tcMar>
          </w:tcPr>
          <w:p>
            <w:pPr>
              <w:jc w:val="left"/>
            </w:pPr>
            <w:r>
              <w:rPr>
                <w:rFonts w:ascii="Times New Roman" w:hAnsi="Times New Roman"/>
                <w:sz w:val="17"/>
              </w:rPr>
              <w:t>0.01</w:t>
            </w:r>
          </w:p>
        </w:tc>
        <w:tc>
          <w:tcPr>
            <w:tcW w:type="dxa" w:w="1080"/>
            <w:tcMar>
              <w:top w:w="50" w:type="dxa"/>
              <w:bottom w:w="50" w:type="dxa"/>
              <w:left w:w="100" w:type="dxa"/>
              <w:right w:w="100" w:type="dxa"/>
            </w:tcMar>
          </w:tcPr>
          <w:p>
            <w:pPr>
              <w:jc w:val="left"/>
            </w:pPr>
            <w:r>
              <w:rPr>
                <w:rFonts w:ascii="Times New Roman" w:hAnsi="Times New Roman"/>
                <w:sz w:val="17"/>
              </w:rP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