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ORIUS: A Universal Runtime Safety Layer for Physical AI under Degraded Observation</w:t>
      </w:r>
    </w:p>
    <w:p>
      <w:pPr>
        <w:pStyle w:val="Author"/>
      </w:pPr>
      <w:r>
        <w:t xml:space="preserve">Pratik Niroula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ORIUS treats degraded observation as a universal action-semantics hazard for Physical</w:t>
      </w:r>
      <w:r>
        <w:t xml:space="preserve"> </w:t>
      </w:r>
      <w:r>
        <w:t xml:space="preserve">AI: a controller may act legally on the observed state while becoming unsafe on the</w:t>
      </w:r>
      <w:r>
        <w:t xml:space="preserve"> </w:t>
      </w:r>
      <w:r>
        <w:t xml:space="preserve">true state. We present ORIUS, Observation–Reality Integrity for Universal Safety, as a</w:t>
      </w:r>
      <w:r>
        <w:t xml:space="preserve"> </w:t>
      </w:r>
      <w:r>
        <w:t xml:space="preserve">typed runtime layer that detects degraded telemetry, calibrates the</w:t>
      </w:r>
      <w:r>
        <w:t xml:space="preserve"> </w:t>
      </w:r>
      <w:r>
        <w:t xml:space="preserve">observation-consistent state set, constrains the admissible action set, repairs or</w:t>
      </w:r>
      <w:r>
        <w:t xml:space="preserve"> </w:t>
      </w:r>
      <w:r>
        <w:t xml:space="preserve">replaces unsafe candidate actions, and emits auditable certificates before actuation.</w:t>
      </w:r>
      <w:r>
        <w:t xml:space="preserve"> </w:t>
      </w:r>
      <w:r>
        <w:t xml:space="preserve">The paper is universal-first rather than battery-origin. It combines one runtime kernel,</w:t>
      </w:r>
      <w:r>
        <w:t xml:space="preserve"> </w:t>
      </w:r>
      <w:r>
        <w:t xml:space="preserve">one benchmark schema, one governance surface, one theorem bridge, and three defended</w:t>
      </w:r>
      <w:r>
        <w:t xml:space="preserve"> </w:t>
      </w:r>
      <w:r>
        <w:t xml:space="preserve">program rows spanning battery energy storage, nuPlan-bounded autonomous-vehicle replay,</w:t>
      </w:r>
      <w:r>
        <w:t xml:space="preserve"> </w:t>
      </w:r>
      <w:r>
        <w:t xml:space="preserve">and healthcare monitoring. The evidence posture is explicit: battery is the witness row,</w:t>
      </w:r>
      <w:r>
        <w:t xml:space="preserve"> </w:t>
      </w:r>
      <w:r>
        <w:t xml:space="preserve">while autonomous vehicles and healthcare monitoring are defended bounded rows. The</w:t>
      </w:r>
      <w:r>
        <w:t xml:space="preserve"> </w:t>
      </w:r>
      <w:r>
        <w:t xml:space="preserve">resulting claim is architectural universality under one runtime contract and one governed</w:t>
      </w:r>
      <w:r>
        <w:t xml:space="preserve"> </w:t>
      </w:r>
      <w:r>
        <w:t xml:space="preserve">three-domain evidence ladder, not flat empirical closure across every conceivable domain.</w:t>
      </w:r>
    </w:p>
    <w:p>
      <w:pPr>
        <w:pStyle w:val="FirstParagraph"/>
      </w:pPr>
      <w:r>
        <w:t xml:space="preserve">physical AI safety, degraded observation, runtime assurance, safety filters, conformal</w:t>
      </w:r>
      <w:r>
        <w:t xml:space="preserve"> </w:t>
      </w:r>
      <w:r>
        <w:t xml:space="preserve">prediction, cyber-physical systems, benchmark governance, certificates</w:t>
      </w:r>
    </w:p>
    <w:bookmarkStart w:id="9" w:name="sec:ieee-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Physical AI systems do not act on truth. They act on telemetry, state estimates, and</w:t>
      </w:r>
      <w:r>
        <w:t xml:space="preserve"> </w:t>
      </w:r>
      <w:r>
        <w:t xml:space="preserve">learned summaries of the world. When that observation channel degrades, the entire</w:t>
      </w:r>
      <w:r>
        <w:t xml:space="preserve"> </w:t>
      </w:r>
      <w:r>
        <w:t xml:space="preserve">software stack can remain internally coherent while the physical system becomes</w:t>
      </w:r>
      <w:r>
        <w:t xml:space="preserve"> </w:t>
      </w:r>
      <w:r>
        <w:t xml:space="preserve">externally unsafe. Batteries can violate hidden state-of-charge limits, vehicles can</w:t>
      </w:r>
      <w:r>
        <w:t xml:space="preserve"> </w:t>
      </w:r>
      <w:r>
        <w:t xml:space="preserve">accelerate on stale headway estimates, and clinical monitoring systems can suppress</w:t>
      </w:r>
      <w:r>
        <w:t xml:space="preserve"> </w:t>
      </w:r>
      <w:r>
        <w:t xml:space="preserve">necessary intervention. ORIUS is built around the claim that this failure</w:t>
      </w:r>
      <w:r>
        <w:t xml:space="preserve"> </w:t>
      </w:r>
      <w:r>
        <w:t xml:space="preserve">mode is not a battery problem, an autonomy problem, or a cyber-security problem in</w:t>
      </w:r>
      <w:r>
        <w:t xml:space="preserve"> </w:t>
      </w:r>
      <w:r>
        <w:t xml:space="preserve">isolation. It is a universal</w:t>
      </w:r>
      <w:r>
        <w:t xml:space="preserve"> </w:t>
      </w:r>
      <w:r>
        <w:rPr>
          <w:i/>
          <w:iCs/>
        </w:rPr>
        <w:t xml:space="preserve">action-semantics</w:t>
      </w:r>
      <w:r>
        <w:t xml:space="preserve"> </w:t>
      </w:r>
      <w:r>
        <w:t xml:space="preserve">problem for Physical AI.</w:t>
      </w:r>
    </w:p>
    <w:p>
      <w:pPr>
        <w:pStyle w:val="BodyText"/>
      </w:pPr>
      <w:r>
        <w:t xml:space="preserve">This draft therefore asks a narrower but more consequential question than most</w:t>
      </w:r>
      <w:r>
        <w:t xml:space="preserve"> </w:t>
      </w:r>
      <w:r>
        <w:t xml:space="preserve">controller- or model-centric safety papers: what runtime layer is needed once the</w:t>
      </w:r>
      <w:r>
        <w:t xml:space="preserve"> </w:t>
      </w:r>
      <w:r>
        <w:t xml:space="preserve">observation surface itself can no longer be trusted to carry actuation legality? The</w:t>
      </w:r>
      <w:r>
        <w:t xml:space="preserve"> </w:t>
      </w:r>
      <w:r>
        <w:t xml:space="preserve">answer proposed here is ORIUS, Observation–Reality Integrity for Universal Safety, a</w:t>
      </w:r>
      <w:r>
        <w:t xml:space="preserve"> </w:t>
      </w:r>
      <w:r>
        <w:t xml:space="preserve">typed runtime layer that detects degraded observation, calibrates uncertainty to the</w:t>
      </w:r>
      <w:r>
        <w:t xml:space="preserve"> </w:t>
      </w:r>
      <w:r>
        <w:t xml:space="preserve">reduced trust surface, constrains admissible actions, repairs or replaces unsafe</w:t>
      </w:r>
      <w:r>
        <w:t xml:space="preserve"> </w:t>
      </w:r>
      <w:r>
        <w:t xml:space="preserve">candidates, and emits an auditable certificate before release. The contribution is not</w:t>
      </w:r>
      <w:r>
        <w:t xml:space="preserve"> </w:t>
      </w:r>
      <w:r>
        <w:t xml:space="preserve">one universal policy. It is one universal safety grammar that sits between nominal</w:t>
      </w:r>
      <w:r>
        <w:t xml:space="preserve"> </w:t>
      </w:r>
      <w:r>
        <w:t xml:space="preserve">intelligence and physical actuation.</w:t>
      </w:r>
    </w:p>
    <w:p>
      <w:pPr>
        <w:pStyle w:val="BodyText"/>
      </w:pPr>
      <w:r>
        <w:t xml:space="preserve">The paper is intentionally universal-first. Battery remains the witness row with the</w:t>
      </w:r>
      <w:r>
        <w:t xml:space="preserve"> </w:t>
      </w:r>
      <w:r>
        <w:t xml:space="preserve">deepest theorem-to-code-to-artifact closure, but it is not treated as the conceptual</w:t>
      </w:r>
      <w:r>
        <w:t xml:space="preserve"> </w:t>
      </w:r>
      <w:r>
        <w:t xml:space="preserve">center of the argument. Instead, the central object is the observation–action safety</w:t>
      </w:r>
      <w:r>
        <w:t xml:space="preserve"> </w:t>
      </w:r>
      <w:r>
        <w:t xml:space="preserve">gap (OASG): the event in which an action is legal on the observed state while unsafe on</w:t>
      </w:r>
      <w:r>
        <w:t xml:space="preserve"> </w:t>
      </w:r>
      <w:r>
        <w:t xml:space="preserve">the true state. That object links conformal and distribution-free uncertainty</w:t>
      </w:r>
      <w:r>
        <w:t xml:space="preserve"> </w:t>
      </w:r>
      <w:r>
        <w:t xml:space="preserve">,</w:t>
      </w:r>
      <w:r>
        <w:t xml:space="preserve"> </w:t>
      </w:r>
      <w:r>
        <w:t xml:space="preserve">runtime assurance and supervisory control</w:t>
      </w:r>
      <w:r>
        <w:t xml:space="preserve"> </w:t>
      </w:r>
      <w:r>
        <w:t xml:space="preserve">,</w:t>
      </w:r>
      <w:r>
        <w:t xml:space="preserve"> </w:t>
      </w:r>
      <w:r>
        <w:t xml:space="preserve">safety filters and constrained control</w:t>
      </w:r>
      <w:r>
        <w:t xml:space="preserve"> </w:t>
      </w:r>
      <w:r>
        <w:t xml:space="preserve">,</w:t>
      </w:r>
      <w:r>
        <w:t xml:space="preserve"> </w:t>
      </w:r>
      <w:r>
        <w:t xml:space="preserve">and anomaly- or degradation-aware cyber-physical monitoring</w:t>
      </w:r>
      <w:r>
        <w:t xml:space="preserve"> </w:t>
      </w:r>
      <w:r>
        <w:t xml:space="preserve">.</w:t>
      </w:r>
      <w:r>
        <w:t xml:space="preserve"> </w:t>
      </w:r>
      <w:r>
        <w:t xml:space="preserve">The manuscript’s claim is that none of these families alone supplies the runtime bridge</w:t>
      </w:r>
      <w:r>
        <w:t xml:space="preserve"> </w:t>
      </w:r>
      <w:r>
        <w:t xml:space="preserve">from degraded observation to repaired actuation and certificate semantics across</w:t>
      </w:r>
      <w:r>
        <w:t xml:space="preserve"> </w:t>
      </w:r>
      <w:r>
        <w:t xml:space="preserve">multiple physical domains.</w:t>
      </w:r>
    </w:p>
    <w:p>
      <w:pPr>
        <w:pStyle w:val="BodyText"/>
      </w:pPr>
      <w:r>
        <w:t xml:space="preserve">The canonical novelty claim used across the defense package is:</w:t>
      </w:r>
    </w:p>
    <w:p>
      <w:pPr>
        <w:pStyle w:val="BlockText"/>
      </w:pPr>
      <w:r>
        <w:rPr>
          <w:i/>
          <w:iCs/>
        </w:rPr>
        <w:t xml:space="preserve">ORIUS identifies OASG as the universal degraded-observation release hazard and</w:t>
      </w:r>
      <w:r>
        <w:rPr>
          <w:i/>
          <w:iCs/>
        </w:rPr>
        <w:t xml:space="preserve"> </w:t>
      </w:r>
      <w:r>
        <w:rPr>
          <w:i/>
          <w:iCs/>
        </w:rPr>
        <w:t xml:space="preserve">contributes a reliability-aware runtime layer that converts degraded observation into</w:t>
      </w:r>
      <w:r>
        <w:rPr>
          <w:i/>
          <w:iCs/>
        </w:rPr>
        <w:t xml:space="preserve"> </w:t>
      </w:r>
      <w:r>
        <w:rPr>
          <w:i/>
          <w:iCs/>
        </w:rPr>
        <w:t xml:space="preserve">tightened admissible actions, repaired or fallback release, and auditable certification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across Battery, AV, and Healthcare.</w:t>
      </w:r>
    </w:p>
    <w:p>
      <w:pPr>
        <w:pStyle w:val="FirstParagraph"/>
      </w:pPr>
      <w:r>
        <w:t xml:space="preserve">The novelty claim is architectural and runtime-semantic: ORIUS does not claim a new</w:t>
      </w:r>
      <w:r>
        <w:t xml:space="preserve"> </w:t>
      </w:r>
      <w:r>
        <w:t xml:space="preserve">conformal method, a new robust-optimization primitive, a new universal controller, or a</w:t>
      </w:r>
      <w:r>
        <w:t xml:space="preserve"> </w:t>
      </w:r>
      <w:r>
        <w:t xml:space="preserve">new conditional-coverage theorem. The claim is that one typed runtime composition turns</w:t>
      </w:r>
      <w:r>
        <w:t xml:space="preserve"> </w:t>
      </w:r>
      <w:r>
        <w:t xml:space="preserve">degraded observation into reliability scoring, uncertainty tightening, admissible-action</w:t>
      </w:r>
      <w:r>
        <w:t xml:space="preserve"> </w:t>
      </w:r>
      <w:r>
        <w:t xml:space="preserve">restriction, repaired or fallback release, and auditable certification under a reusable</w:t>
      </w:r>
      <w:r>
        <w:t xml:space="preserve"> </w:t>
      </w:r>
      <w:r>
        <w:t xml:space="preserve">cross-domain contract.</w:t>
      </w:r>
    </w:p>
    <w:p>
      <w:pPr>
        <w:pStyle w:val="BodyText"/>
      </w:pPr>
      <w:r>
        <w:t xml:space="preserve">The technical move is therefore not conformal prediction alone, robust optimization</w:t>
      </w:r>
      <w:r>
        <w:t xml:space="preserve"> </w:t>
      </w:r>
      <w:r>
        <w:t xml:space="preserve">alone, or monitoring alone. It is a Detect–Calibrate–Constrain–Shield–Certify kernel.</w:t>
      </w:r>
      <w:r>
        <w:t xml:space="preserve"> </w:t>
      </w:r>
      <w:r>
        <w:t xml:space="preserve">Detect</w:t>
      </w:r>
      <w:r>
        <w:t xml:space="preserve"> </w:t>
      </w:r>
      <w:r>
        <w:t xml:space="preserve">degraded telemetry and estimate reliability. Calibrate the observation-consistent state</w:t>
      </w:r>
      <w:r>
        <w:t xml:space="preserve"> </w:t>
      </w:r>
      <w:r>
        <w:t xml:space="preserve">set rather than trusting nominal point estimates. Constrain the action set under that</w:t>
      </w:r>
      <w:r>
        <w:t xml:space="preserve"> </w:t>
      </w:r>
      <w:r>
        <w:t xml:space="preserve">inflated state uncertainty. Shield the plant by repairing or replacing the candidate</w:t>
      </w:r>
      <w:r>
        <w:t xml:space="preserve"> </w:t>
      </w:r>
      <w:r>
        <w:t xml:space="preserve">action. Certify the resulting release so fallback, latency, and audit continuity become</w:t>
      </w:r>
      <w:r>
        <w:t xml:space="preserve"> </w:t>
      </w:r>
      <w:r>
        <w:t xml:space="preserve">part of the scientific object rather than operational afterthoughts. ORIUS makes that</w:t>
      </w:r>
      <w:r>
        <w:t xml:space="preserve"> </w:t>
      </w:r>
      <w:r>
        <w:t xml:space="preserve">kernel concrete through one adapter contract, one benchmark schema, and one governance</w:t>
      </w:r>
      <w:r>
        <w:t xml:space="preserve"> </w:t>
      </w:r>
      <w:r>
        <w:t xml:space="preserve">surface. The adapter contract allows the defended Battery, AV, and Healthcare rows to</w:t>
      </w:r>
      <w:r>
        <w:t xml:space="preserve"> </w:t>
      </w:r>
      <w:r>
        <w:t xml:space="preserve">instantiate the same safety layer without pretending they share the same nominal</w:t>
      </w:r>
      <w:r>
        <w:t xml:space="preserve"> </w:t>
      </w:r>
      <w:r>
        <w:t xml:space="preserve">controller or safety objective.</w:t>
      </w:r>
    </w:p>
    <w:p>
      <w:pPr>
        <w:pStyle w:val="BodyText"/>
      </w:pPr>
      <w:r>
        <w:t xml:space="preserve">The evidence posture of this flagship draft is intentionally visible. ORIUS has one</w:t>
      </w:r>
      <w:r>
        <w:t xml:space="preserve"> </w:t>
      </w:r>
      <w:r>
        <w:t xml:space="preserve">witness row and two defended bounded rows. The paper therefore argues for a field-level</w:t>
      </w:r>
      <w:r>
        <w:t xml:space="preserve"> </w:t>
      </w:r>
      <w:r>
        <w:t xml:space="preserve">runtime architecture while keeping the 3-domain promotion boundary explicit in the body</w:t>
      </w:r>
      <w:r>
        <w:t xml:space="preserve"> </w:t>
      </w:r>
      <w:r>
        <w:t xml:space="preserve">text rather than hiding it in editorial support material.</w:t>
      </w:r>
    </w:p>
    <w:p>
      <w:pPr>
        <w:pStyle w:val="BodyText"/>
      </w:pPr>
      <w:r>
        <w:t xml:space="preserve">The paper makes four contributions.</w:t>
      </w:r>
    </w:p>
    <w:p>
      <w:pPr>
        <w:numPr>
          <w:ilvl w:val="0"/>
          <w:numId w:val="1001"/>
        </w:numPr>
      </w:pPr>
      <w:r>
        <w:t xml:space="preserve">It defines OASG as a universal safety object for Physical AI and frames degraded</w:t>
      </w:r>
      <w:r>
        <w:t xml:space="preserve"> </w:t>
      </w:r>
      <w:r>
        <w:t xml:space="preserve">observation as an action-semantics problem rather than only a detection or estimation</w:t>
      </w:r>
      <w:r>
        <w:t xml:space="preserve"> </w:t>
      </w:r>
      <w:r>
        <w:t xml:space="preserve">problem.</w:t>
      </w:r>
    </w:p>
    <w:p>
      <w:pPr>
        <w:numPr>
          <w:ilvl w:val="0"/>
          <w:numId w:val="1001"/>
        </w:numPr>
      </w:pPr>
      <w:r>
        <w:t xml:space="preserve">It contributes ORIUS as a typed runtime kernel that converts degraded observation</w:t>
      </w:r>
      <w:r>
        <w:t xml:space="preserve"> </w:t>
      </w:r>
      <w:r>
        <w:t xml:space="preserve">into tightened admissible actions, repaired or fallback release, and certificate-bearing</w:t>
      </w:r>
      <w:r>
        <w:t xml:space="preserve"> </w:t>
      </w:r>
      <w:r>
        <w:t xml:space="preserve">actuation rather than leaving those steps to disconnected components.</w:t>
      </w:r>
    </w:p>
    <w:p>
      <w:pPr>
        <w:numPr>
          <w:ilvl w:val="0"/>
          <w:numId w:val="1001"/>
        </w:numPr>
      </w:pPr>
      <w:r>
        <w:t xml:space="preserve">It exposes one cross-domain typed release contract for the defended 3-domain lane,</w:t>
      </w:r>
      <w:r>
        <w:t xml:space="preserve"> </w:t>
      </w:r>
      <w:r>
        <w:t xml:space="preserve">so Battery, AV, and Healthcare can instantiate the same runtime safety grammar without</w:t>
      </w:r>
      <w:r>
        <w:t xml:space="preserve"> </w:t>
      </w:r>
      <w:r>
        <w:t xml:space="preserve">pretending to share one nominal controller or one plant-local safety geometry.</w:t>
      </w:r>
    </w:p>
    <w:p>
      <w:pPr>
        <w:numPr>
          <w:ilvl w:val="0"/>
          <w:numId w:val="1001"/>
        </w:numPr>
      </w:pPr>
      <w:r>
        <w:t xml:space="preserve">It treats evidence and governance discipline as part of the scientific</w:t>
      </w:r>
      <w:r>
        <w:t xml:space="preserve"> </w:t>
      </w:r>
      <w:r>
        <w:t xml:space="preserve">contribution by making the witness-row versus bounded-row split explicit instead of</w:t>
      </w:r>
      <w:r>
        <w:t xml:space="preserve"> </w:t>
      </w:r>
      <w:r>
        <w:t xml:space="preserve">hiding claim depth behind a flat universality narrative.</w:t>
      </w:r>
    </w:p>
    <w:p>
      <w:pPr>
        <w:pStyle w:val="FirstParagraph"/>
      </w:pPr>
      <w:r>
        <w:t xml:space="preserve">The rest of the paper follows that logic. It formalizes OASG, positions ORIUS</w:t>
      </w:r>
      <w:r>
        <w:t xml:space="preserve"> </w:t>
      </w:r>
      <w:r>
        <w:t xml:space="preserve">adversarially against adjacent literatures, details the runtime kernel and the theorem</w:t>
      </w:r>
      <w:r>
        <w:t xml:space="preserve"> </w:t>
      </w:r>
      <w:r>
        <w:t xml:space="preserve">bridge, walks through the defended Battery, AV, and Healthcare instantiations under one</w:t>
      </w:r>
      <w:r>
        <w:t xml:space="preserve"> </w:t>
      </w:r>
      <w:r>
        <w:t xml:space="preserve">shared template, and closes with a synthesis that separates universality of contract</w:t>
      </w:r>
      <w:r>
        <w:t xml:space="preserve"> </w:t>
      </w:r>
      <w:r>
        <w:t xml:space="preserve">from current evidence depth.</w:t>
      </w:r>
    </w:p>
    <w:bookmarkEnd w:id="9"/>
    <w:bookmarkStart w:id="11" w:name="sec:ieee-oasg"/>
    <w:p>
      <w:pPr>
        <w:pStyle w:val="Heading1"/>
      </w:pPr>
      <w:r>
        <w:t xml:space="preserve">Problem Definition and Observation–Action Safety Gap</w:t>
      </w:r>
    </w:p>
    <w:p>
      <w:pPr>
        <w:pStyle w:val="FirstParagraph"/>
      </w:pPr>
      <w:r>
        <w:t xml:space="preserve">ORIUS starts from a narrow safety object with broad consequences. Let</w:t>
      </w:r>
      <w:r>
        <w:t xml:space="preserve"> </w:t>
      </w:r>
      <m:oMath>
        <m:sSub>
          <m:e>
            <m:r>
              <m:t>z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denote the</w:t>
      </w:r>
      <w:r>
        <w:t xml:space="preserve"> </w:t>
      </w:r>
      <w:r>
        <w:t xml:space="preserve">physically true state,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the state exposed to the nominal controller, and</w:t>
      </w:r>
      <w: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the set of admissible actions under the relevant safety envelope.</w:t>
      </w:r>
      <w:r>
        <w:t xml:space="preserve"> </w:t>
      </w:r>
      <w:r>
        <w:t xml:space="preserve">The observation–action safety gap is the event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1</m:t>
          </m:r>
          <m:r>
            <m:rPr>
              <m:sty m:val="p"/>
            </m:rPr>
            <m:t>{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A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∧</m:t>
          </m:r>
          <m:r>
            <m:t> </m:t>
          </m:r>
          <m:sSub>
            <m:e>
              <m:r>
                <m:t>a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∉</m:t>
          </m:r>
          <m:r>
            <m:rPr>
              <m:scr m:val="script"/>
              <m:sty m:val="p"/>
            </m:rPr>
            <m:t>A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means that the controller is internally consistent on the observed state while</w:t>
      </w:r>
      <w:r>
        <w:t xml:space="preserve"> </w:t>
      </w:r>
      <w:r>
        <w:t xml:space="preserve">the plant is externally unsafe on the true state. This is the failure mode that</w:t>
      </w:r>
      <w:r>
        <w:t xml:space="preserve"> </w:t>
      </w:r>
      <w:r>
        <w:t xml:space="preserve">reappears across battery dispatch, time-to-collision control, clinical intervention</w:t>
      </w:r>
      <w:r>
        <w:t xml:space="preserve"> </w:t>
      </w:r>
      <w:r>
        <w:t xml:space="preserve">logic, and future additional physical-AI domains.</w:t>
      </w:r>
    </w:p>
    <w:p>
      <w:pPr>
        <w:pStyle w:val="BodyText"/>
      </w:pPr>
      <w:r>
        <w:t xml:space="preserve">The defining difficulty is that OASG is not merely a state-estimation problem. A better</w:t>
      </w:r>
      <w:r>
        <w:t xml:space="preserve"> </w:t>
      </w:r>
      <w:r>
        <w:t xml:space="preserve">estimator helps, but the safety event is ultimately about actuation semantics. If the</w:t>
      </w:r>
      <w:r>
        <w:t xml:space="preserve"> </w:t>
      </w:r>
      <w:r>
        <w:t xml:space="preserve">runtime continues to treat the observed state as authoritative after freshness loss,</w:t>
      </w:r>
      <w:r>
        <w:t xml:space="preserve"> </w:t>
      </w:r>
      <w:r>
        <w:t xml:space="preserve">dropout, delayed updates, sensor disagreement, or reliability collapse, then even a</w:t>
      </w:r>
      <w:r>
        <w:t xml:space="preserve"> </w:t>
      </w:r>
      <w:r>
        <w:t xml:space="preserve">nominally optimal controller may produce a physically unsafe action. ORIUS therefore</w:t>
      </w:r>
      <w:r>
        <w:t xml:space="preserve"> </w:t>
      </w:r>
      <w:r>
        <w:t xml:space="preserve">places the universal object at the boundary between degraded observation and released</w:t>
      </w:r>
      <w:r>
        <w:t xml:space="preserve"> </w:t>
      </w:r>
      <w:r>
        <w:t xml:space="preserve">actuation rather than at the forecaster, planner, or dynamics model alone.</w:t>
      </w:r>
    </w:p>
    <w:p>
      <w:pPr>
        <w:pStyle w:val="BodyText"/>
      </w:pPr>
      <w:r>
        <w:t xml:space="preserve">This framing also explains why a single universal policy is not the goal. Different</w:t>
      </w:r>
      <w:r>
        <w:t xml:space="preserve"> </w:t>
      </w:r>
      <w:r>
        <w:t xml:space="preserve">domains retain different state spaces, action geometries, intervention semantics, and</w:t>
      </w:r>
      <w:r>
        <w:t xml:space="preserve"> </w:t>
      </w:r>
      <w:r>
        <w:t xml:space="preserve">fallback policies. What can be shared is the runtime grammar: observation reliability,</w:t>
      </w:r>
      <w:r>
        <w:t xml:space="preserve"> </w:t>
      </w:r>
      <w:r>
        <w:t xml:space="preserve">inflated state uncertainty, tightened admissible actions, repaired actuation, and</w:t>
      </w:r>
      <w:r>
        <w:t xml:space="preserve"> </w:t>
      </w:r>
      <w:r>
        <w:t xml:space="preserve">certificate semantics. The paper argues that this runtime grammar is the right unit of</w:t>
      </w:r>
      <w:r>
        <w:t xml:space="preserve"> </w:t>
      </w:r>
      <w:r>
        <w:t xml:space="preserve">cross-domain reuse for Physical AI safety.</w:t>
      </w:r>
    </w:p>
    <w:bookmarkStart w:id="10" w:name="tab:ieee-oasg-objects"/>
    <w:p>
      <w:pPr>
        <w:pStyle w:val="TableCaption"/>
      </w:pPr>
      <w:r>
        <w:t xml:space="preserve">Canonical OASG runtime objects used throughout the IEEE draft.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nonical OASG runtime objects used throughout the IEEE draft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 in the runtime safety layer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Observed state or belief state exposed to the nominal controller.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Physically true state whose envelope determines actual safety.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Reliability assessment derived from freshness, missingness, and consistency.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Observation-consistent uncertainty set widened when reliability drops.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Tightened admissible action set under degraded observation.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Repaired or fallback action released by the runtime.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Auditable payload recording reliability, margin, repair mode, and lifecycle state.</w:t>
            </w:r>
          </w:p>
        </w:tc>
      </w:tr>
    </w:tbl>
    <w:bookmarkEnd w:id="10"/>
    <w:p>
      <w:pPr>
        <w:pStyle w:val="BodyText"/>
      </w:pPr>
      <w:r>
        <w:t xml:space="preserve">Two practical consequences follow. First, a runtime layer must expose the quality of</w:t>
      </w:r>
      <w:r>
        <w:t xml:space="preserve"> </w:t>
      </w:r>
      <w:r>
        <w:t xml:space="preserve">the observation surface as a first-class object rather than burying it inside model</w:t>
      </w:r>
      <w:r>
        <w:t xml:space="preserve"> </w:t>
      </w:r>
      <w:r>
        <w:t xml:space="preserve">residuals. Second, a universal benchmark must score safety on the true state rather</w:t>
      </w:r>
      <w:r>
        <w:t xml:space="preserve"> </w:t>
      </w:r>
      <w:r>
        <w:t xml:space="preserve">than on nominal controller legality alone. Those consequences drive the ORIUS runtime</w:t>
      </w:r>
      <w:r>
        <w:t xml:space="preserve"> </w:t>
      </w:r>
      <w:r>
        <w:t xml:space="preserve">design, the benchmark schema, and the claim boundary used throughout the rest of the</w:t>
      </w:r>
      <w:r>
        <w:t xml:space="preserve"> </w:t>
      </w:r>
      <w:r>
        <w:t xml:space="preserve">paper.</w:t>
      </w:r>
    </w:p>
    <w:bookmarkEnd w:id="11"/>
    <w:bookmarkStart w:id="17" w:name="sec:ieee-related-work"/>
    <w:p>
      <w:pPr>
        <w:pStyle w:val="Heading1"/>
      </w:pPr>
      <w:r>
        <w:t xml:space="preserve">Related Work and Why Prior Families Are Not Enough</w:t>
      </w:r>
    </w:p>
    <w:p>
      <w:pPr>
        <w:pStyle w:val="FirstParagraph"/>
      </w:pPr>
      <w:r>
        <w:t xml:space="preserve">ORIUS does not claim that prior literatures ignored safety. The claim is more precise:</w:t>
      </w:r>
      <w:r>
        <w:t xml:space="preserve"> </w:t>
      </w:r>
      <w:r>
        <w:t xml:space="preserve">the existing families solve adjacent pieces of the problem, but none by itself closes</w:t>
      </w:r>
      <w:r>
        <w:t xml:space="preserve"> </w:t>
      </w:r>
      <w:r>
        <w:t xml:space="preserve">the runtime bridge from degraded observation to repaired actuation and auditable</w:t>
      </w:r>
      <w:r>
        <w:t xml:space="preserve"> </w:t>
      </w:r>
      <w:r>
        <w:t xml:space="preserve">release.</w:t>
      </w:r>
    </w:p>
    <w:bookmarkStart w:id="12" w:name="Xa19f5f757b3a8d77911736c80d0aa3d35595096"/>
    <w:p>
      <w:pPr>
        <w:pStyle w:val="Heading2"/>
      </w:pPr>
      <w:r>
        <w:t xml:space="preserve">Conformal and distribution-free uncertainty</w:t>
      </w:r>
    </w:p>
    <w:p>
      <w:pPr>
        <w:pStyle w:val="FirstParagraph"/>
      </w:pPr>
      <w:r>
        <w:t xml:space="preserve">Distribution-free predictive inference gives a principled way to wrap learned</w:t>
      </w:r>
      <w:r>
        <w:t xml:space="preserve"> </w:t>
      </w:r>
      <w:r>
        <w:t xml:space="preserve">predictions with finite-sample uncertainty sets</w:t>
      </w:r>
      <w:r>
        <w:t xml:space="preserve"> </w:t>
      </w:r>
      <w:r>
        <w:t xml:space="preserve">.</w:t>
      </w:r>
      <w:r>
        <w:t xml:space="preserve"> </w:t>
      </w:r>
      <w:r>
        <w:t xml:space="preserve">ORIUS inherits that finite-sample uncertainty machinery because the runtime needs a</w:t>
      </w:r>
      <w:r>
        <w:t xml:space="preserve"> </w:t>
      </w:r>
      <w:r>
        <w:t xml:space="preserve">mechanism for inflating the observation-consistent state set when trust falls. But</w:t>
      </w:r>
      <w:r>
        <w:t xml:space="preserve"> </w:t>
      </w:r>
      <w:r>
        <w:t xml:space="preserve">conformal methods alone do not decide tightened admissible actions, repaired actuation,</w:t>
      </w:r>
      <w:r>
        <w:t xml:space="preserve"> </w:t>
      </w:r>
      <w:r>
        <w:t xml:space="preserve">fallback burden, or release certificate semantics after that inflation. They are</w:t>
      </w:r>
      <w:r>
        <w:t xml:space="preserve"> </w:t>
      </w:r>
      <w:r>
        <w:t xml:space="preserve">uncertainty tools, not release-boundary runtimes.</w:t>
      </w:r>
    </w:p>
    <w:p>
      <w:pPr>
        <w:pStyle w:val="BodyText"/>
      </w:pPr>
      <w:r>
        <w:t xml:space="preserve">Recent decision-theoretic work makes this boundary sharper: prediction sets are useful</w:t>
      </w:r>
      <w:r>
        <w:t xml:space="preserve"> </w:t>
      </w:r>
      <w:r>
        <w:t xml:space="preserve">to risk-averse agents because they shape downstream actions, not because they are a</w:t>
      </w:r>
      <w:r>
        <w:t xml:space="preserve"> </w:t>
      </w:r>
      <w:r>
        <w:t xml:space="preserve">complete runtime policy by themselves. ORIUS adopts that action-facing interpretation</w:t>
      </w:r>
      <w:r>
        <w:t xml:space="preserve"> </w:t>
      </w:r>
      <w:r>
        <w:t xml:space="preserve">and then adds the missing release machinery: reliability scoring, admissible-action</w:t>
      </w:r>
      <w:r>
        <w:t xml:space="preserve"> </w:t>
      </w:r>
      <w:r>
        <w:t xml:space="preserve">tightening, repair or fallback, and certificate emission.</w:t>
      </w:r>
    </w:p>
    <w:bookmarkEnd w:id="12"/>
    <w:bookmarkStart w:id="13" w:name="X8ae656a539a48c6e55a4be7748d8df7bc415214"/>
    <w:p>
      <w:pPr>
        <w:pStyle w:val="Heading2"/>
      </w:pPr>
      <w:r>
        <w:t xml:space="preserve">Runtime monitoring, anomaly detection, and supervisory veto</w:t>
      </w:r>
    </w:p>
    <w:p>
      <w:pPr>
        <w:pStyle w:val="FirstParagraph"/>
      </w:pPr>
      <w:r>
        <w:t xml:space="preserve">Runtime monitors, anomaly detectors, and cyber-physical fault analyses provide alarms,</w:t>
      </w:r>
      <w:r>
        <w:t xml:space="preserve"> </w:t>
      </w:r>
      <w:r>
        <w:t xml:space="preserve">scores, and veto conditions when telemetry or execution behavior becomes suspicious</w:t>
      </w:r>
      <w:r>
        <w:t xml:space="preserve"> </w:t>
      </w:r>
      <w:r>
        <w:t xml:space="preserve">.</w:t>
      </w:r>
      <w:r>
        <w:t xml:space="preserve"> </w:t>
      </w:r>
      <w:r>
        <w:t xml:space="preserve">ORIUS inherits the idea that degraded observation must be recognized before execution.</w:t>
      </w:r>
      <w:r>
        <w:t xml:space="preserve"> </w:t>
      </w:r>
      <w:r>
        <w:t xml:space="preserve">It differs because alarms and vetoes alone do not compute tightened admissible actions,</w:t>
      </w:r>
      <w:r>
        <w:t xml:space="preserve"> </w:t>
      </w:r>
      <w:r>
        <w:t xml:space="preserve">repaired actuation, fallback burden, or certificate-bearing release governance.</w:t>
      </w:r>
    </w:p>
    <w:bookmarkEnd w:id="13"/>
    <w:bookmarkStart w:id="14" w:name="Xd910a7106c4d09948398041ad24f9e0a1d23c8e"/>
    <w:p>
      <w:pPr>
        <w:pStyle w:val="Heading2"/>
      </w:pPr>
      <w:r>
        <w:t xml:space="preserve">Simplex architectures and runtime assurance</w:t>
      </w:r>
    </w:p>
    <w:p>
      <w:pPr>
        <w:pStyle w:val="FirstParagraph"/>
      </w:pPr>
      <w:r>
        <w:t xml:space="preserve">Simplex architectures, supervisory switching, runtime assurance, and shields provide a</w:t>
      </w:r>
      <w:r>
        <w:t xml:space="preserve"> </w:t>
      </w:r>
      <w:r>
        <w:t xml:space="preserve">strong language for overriding a nominal controller and releasing a trusted fallback</w:t>
      </w:r>
      <w:r>
        <w:t xml:space="preserve"> </w:t>
      </w:r>
      <w:r>
        <w:t xml:space="preserve">.</w:t>
      </w:r>
      <w:r>
        <w:t xml:space="preserve"> </w:t>
      </w:r>
      <w:r>
        <w:t xml:space="preserve">ORIUS inherits the idea that the nominal controller is not the final authority. The gap</w:t>
      </w:r>
      <w:r>
        <w:t xml:space="preserve"> </w:t>
      </w:r>
      <w:r>
        <w:t xml:space="preserve">is that many simplex-style schemes start after the candidate action already exists and</w:t>
      </w:r>
      <w:r>
        <w:t xml:space="preserve"> </w:t>
      </w:r>
      <w:r>
        <w:t xml:space="preserve">assume that the observed state is coherent enough to supervise directly. ORIUS starts</w:t>
      </w:r>
      <w:r>
        <w:t xml:space="preserve"> </w:t>
      </w:r>
      <w:r>
        <w:t xml:space="preserve">one layer earlier by treating degraded observation itself as the thing that changes what</w:t>
      </w:r>
      <w:r>
        <w:t xml:space="preserve"> </w:t>
      </w:r>
      <w:r>
        <w:t xml:space="preserve">may still be released, which forces the runtime to reason jointly about reliability,</w:t>
      </w:r>
      <w:r>
        <w:t xml:space="preserve"> </w:t>
      </w:r>
      <w:r>
        <w:t xml:space="preserve">uncertainty inflation, repair geometry, fallback, and certificate semantics.</w:t>
      </w:r>
    </w:p>
    <w:bookmarkEnd w:id="14"/>
    <w:bookmarkStart w:id="15" w:name="X73bd2d776e2896cf436a60394728be638457a39"/>
    <w:p>
      <w:pPr>
        <w:pStyle w:val="Heading2"/>
      </w:pPr>
      <w:r>
        <w:t xml:space="preserve">Domain benchmarks used as evidence boundaries</w:t>
      </w:r>
    </w:p>
    <w:p>
      <w:pPr>
        <w:pStyle w:val="FirstParagraph"/>
      </w:pPr>
      <w:r>
        <w:t xml:space="preserve">The three defended rows rely on established domain evidence surfaces, but ORIUS does</w:t>
      </w:r>
      <w:r>
        <w:t xml:space="preserve"> </w:t>
      </w:r>
      <w:r>
        <w:t xml:space="preserve">not treat those sources as interchangeable. The AV row is now bounded to nuPlan replay</w:t>
      </w:r>
      <w:r>
        <w:t xml:space="preserve"> </w:t>
      </w:r>
      <w:r>
        <w:t xml:space="preserve">and planning-benchmark semantics</w:t>
      </w:r>
      <w:r>
        <w:t xml:space="preserve"> </w:t>
      </w:r>
      <w:r>
        <w:t xml:space="preserve">;</w:t>
      </w:r>
      <w:r>
        <w:t xml:space="preserve"> </w:t>
      </w:r>
      <w:r>
        <w:t xml:space="preserve">the healthcare row is bounded to retrospective MIMIC-derived monitoring evidence</w:t>
      </w:r>
      <w:r>
        <w:t xml:space="preserve"> </w:t>
      </w:r>
      <w:r>
        <w:t xml:space="preserve">. These sources</w:t>
      </w:r>
      <w:r>
        <w:t xml:space="preserve"> </w:t>
      </w:r>
      <w:r>
        <w:t xml:space="preserve">support reviewer-visible boundaries: nuPlan gives a real driving-log replay surface for</w:t>
      </w:r>
      <w:r>
        <w:t xml:space="preserve"> </w:t>
      </w:r>
      <w:r>
        <w:t xml:space="preserve">the current AV row, while MIMIC-IV and MIMIC-Sepsis frame healthcare as retrospective</w:t>
      </w:r>
      <w:r>
        <w:t xml:space="preserve"> </w:t>
      </w:r>
      <w:r>
        <w:t xml:space="preserve">monitoring research rather than live clinical deployment.</w:t>
      </w:r>
    </w:p>
    <w:bookmarkEnd w:id="15"/>
    <w:bookmarkStart w:id="16" w:name="X6f81a275532c3a366e0c1d733a7b9d933cceac8"/>
    <w:p>
      <w:pPr>
        <w:pStyle w:val="Heading2"/>
      </w:pPr>
      <w:r>
        <w:t xml:space="preserve">Safety filters, barrier methods, and robust control</w:t>
      </w:r>
    </w:p>
    <w:p>
      <w:pPr>
        <w:pStyle w:val="FirstParagraph"/>
      </w:pPr>
      <w:r>
        <w:t xml:space="preserve">Barrier functions, robust MPC, predictive safety filters, and reachable-set control</w:t>
      </w:r>
      <w:r>
        <w:t xml:space="preserve"> </w:t>
      </w:r>
      <w:r>
        <w:t xml:space="preserve">make it possible to turn uncertainty into admissible action sets</w:t>
      </w:r>
      <w:r>
        <w:t xml:space="preserve"> </w:t>
      </w:r>
      <w:r>
        <w:t xml:space="preserve">.</w:t>
      </w:r>
      <w:r>
        <w:t xml:space="preserve"> </w:t>
      </w:r>
      <w:r>
        <w:t xml:space="preserve">ORIUS inherits that safe-set geometry. What it adds is not a replacement for plant-local</w:t>
      </w:r>
      <w:r>
        <w:t xml:space="preserve"> </w:t>
      </w:r>
      <w:r>
        <w:t xml:space="preserve">control design, but a typed release-boundary layer that can host those methods under one</w:t>
      </w:r>
      <w:r>
        <w:t xml:space="preserve"> </w:t>
      </w:r>
      <w:r>
        <w:t xml:space="preserve">cross-domain contract. The key scientific move is to make the runtime objects reusable</w:t>
      </w:r>
      <w:r>
        <w:t xml:space="preserve"> </w:t>
      </w:r>
      <w:r>
        <w:t xml:space="preserve">even when the underlying safety geometry differs across domains.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 family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contributes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remains missing for OASG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Conformal / distribution-free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Reliability-aware uncertainty around learned 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specify tightened admissible actions, repaired actuation, fallback burden accounting, or certificate semantics once observation degrades.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monitoring / 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Detecting degraded telemetry or veto conditions around candidate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 at alarms or vetoes unless paired with tightened action computation, repaired release, and release governance.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Simplex / runtime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Supervisory override and safe fallback around a nominal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assumes the observed state is already coherent enough to supervise and does not define reliability-conditioned tightening or cross-domain contract reuse.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filters / robust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Plant-local mapping from uncertainty into safe action 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by itself define degraded-observation release governance, certificate lifecycle, or a reusable typed contract across domains.</w:t>
            </w:r>
          </w:p>
        </w:tc>
      </w:tr>
    </w:tbl>
    <w:p>
      <w:pPr>
        <w:pStyle w:val="BodyText"/>
      </w:pPr>
      <w:r>
        <w:t xml:space="preserve">The paper’s claim is therefore not that ORIUS supersedes these literatures. It claims</w:t>
      </w:r>
      <w:r>
        <w:t xml:space="preserve"> </w:t>
      </w:r>
      <w:r>
        <w:t xml:space="preserve">that Physical AI needs a reusable runtime layer that binds them together around a</w:t>
      </w:r>
      <w:r>
        <w:t xml:space="preserve"> </w:t>
      </w:r>
      <w:r>
        <w:t xml:space="preserve">single action-semantics problem: once degraded observation enters the loop, the system</w:t>
      </w:r>
      <w:r>
        <w:t xml:space="preserve"> </w:t>
      </w:r>
      <w:r>
        <w:t xml:space="preserve">must decide what may still be safely done, not only whether an anomaly has occurred.</w:t>
      </w:r>
    </w:p>
    <w:bookmarkEnd w:id="16"/>
    <w:bookmarkEnd w:id="17"/>
    <w:bookmarkStart w:id="23" w:name="sec:ieee-runtime"/>
    <w:p>
      <w:pPr>
        <w:pStyle w:val="Heading1"/>
      </w:pPr>
      <w:r>
        <w:t xml:space="preserve">ORIUS Runtime Architecture</w:t>
      </w:r>
    </w:p>
    <w:p>
      <w:pPr>
        <w:pStyle w:val="FirstParagraph"/>
      </w:pPr>
      <w:r>
        <w:t xml:space="preserve">ORIUS is organized as a post-nominal runtime layer. It does not replace the upstream</w:t>
      </w:r>
      <w:r>
        <w:t xml:space="preserve"> </w:t>
      </w:r>
      <w:r>
        <w:t xml:space="preserve">predictor, planner, or optimizer. It wraps them with a narrow contract that starts at</w:t>
      </w:r>
      <w:r>
        <w:t xml:space="preserve"> </w:t>
      </w:r>
      <w:r>
        <w:t xml:space="preserve">raw telemetry and ends at a certificate-gated action release. This keeps the framework</w:t>
      </w:r>
      <w:r>
        <w:t xml:space="preserve"> </w:t>
      </w:r>
      <w:r>
        <w:t xml:space="preserve">compatible with legacy controllers while moving the safety argument to the place where</w:t>
      </w:r>
      <w:r>
        <w:t xml:space="preserve"> </w:t>
      </w:r>
      <w:r>
        <w:t xml:space="preserve">degraded observation actually matters.</w:t>
      </w:r>
    </w:p>
    <w:bookmarkStart w:id="18" w:name="fig:ieee-runtime-kernel"/>
    <w:tbl>
      <w:tblPr>
        <w:tblStyle w:val="FigureTable"/>
        <w:tblW w:type="auto" w:w="0"/>
        <w:jc w:val="center"/>
        <w:tblLook w:firstRow="0" w:lastRow="0" w:firstColumn="0" w:lastColumn="0"/>
      </w:tblPr>
      <w:tblGrid/>
    </w:tbl>
    <w:p>
      <w:pPr>
        <w:pStyle w:val="ImageCaption"/>
      </w:pPr>
      <w:r>
        <w:t xml:space="preserve">The ORIUS Detect–Calibrate–Constrain–Shield–Certify kernel. The universal claim is about this runtime grammar rather than about any single nominal controller.</w:t>
      </w:r>
    </w:p>
    <w:bookmarkEnd w:id="18"/>
    <w:bookmarkStart w:id="19" w:name="detect"/>
    <w:p>
      <w:pPr>
        <w:pStyle w:val="Heading2"/>
      </w:pPr>
      <w:r>
        <w:t xml:space="preserve">Detect</w:t>
      </w:r>
    </w:p>
    <w:p>
      <w:pPr>
        <w:pStyle w:val="FirstParagraph"/>
      </w:pPr>
      <w:r>
        <w:t xml:space="preserve">The detect stage computes an explicit trust signal from freshness, missingness, timing,</w:t>
      </w:r>
      <w:r>
        <w:t xml:space="preserve"> </w:t>
      </w:r>
      <w:r>
        <w:t xml:space="preserve">cross-sensor consistency, and domain-specific degradation indicators. The result is not</w:t>
      </w:r>
      <w:r>
        <w:t xml:space="preserve"> </w:t>
      </w:r>
      <w:r>
        <w:t xml:space="preserve">only an anomaly flag. It is a reliability object that changes the semantics of the rest</w:t>
      </w:r>
      <w:r>
        <w:t xml:space="preserve"> </w:t>
      </w:r>
      <w:r>
        <w:t xml:space="preserve">of the pipeline. A configurable stale-decay rate ensures freshness drops below the</w:t>
      </w:r>
      <w:r>
        <w:t xml:space="preserve"> </w:t>
      </w:r>
      <w:r>
        <w:t xml:space="preserve">shield threshold within a bounded number of stale steps, closing Assumption A6. An</w:t>
      </w:r>
      <w:r>
        <w:t xml:space="preserve"> </w:t>
      </w:r>
      <w:r>
        <w:t xml:space="preserve">optional adversarial mode overlays a Byzantine-robust estimator that prevents a spoofed</w:t>
      </w:r>
      <w:r>
        <w:t xml:space="preserve"> </w:t>
      </w:r>
      <w:r>
        <w:t xml:space="preserve">sub-score from inflating the aggregate reliability.</w:t>
      </w:r>
    </w:p>
    <w:bookmarkEnd w:id="19"/>
    <w:bookmarkStart w:id="20" w:name="calibrate"/>
    <w:p>
      <w:pPr>
        <w:pStyle w:val="Heading2"/>
      </w:pPr>
      <w:r>
        <w:t xml:space="preserve">Calibrate</w:t>
      </w:r>
    </w:p>
    <w:p>
      <w:pPr>
        <w:pStyle w:val="FirstParagraph"/>
      </w:pPr>
      <w:r>
        <w:t xml:space="preserve">The calibrate stage inflates the observation-consistent state set. In the current ORIUS</w:t>
      </w:r>
      <w:r>
        <w:t xml:space="preserve"> </w:t>
      </w:r>
      <w:r>
        <w:t xml:space="preserve">implementation this inflation can be driven by conformal or reliability-conditioned</w:t>
      </w:r>
      <w:r>
        <w:t xml:space="preserve"> </w:t>
      </w:r>
      <w:r>
        <w:t xml:space="preserve">uncertainty, but the runtime requirement is broader: when observation quality drops, the</w:t>
      </w:r>
      <w:r>
        <w:t xml:space="preserve"> </w:t>
      </w:r>
      <w:r>
        <w:t xml:space="preserve">set of physically plausible states must not remain frozen at the nominal point estimate.</w:t>
      </w:r>
      <w:r>
        <w:t xml:space="preserve"> </w:t>
      </w:r>
      <w:r>
        <w:t xml:space="preserve">Domain-typed inflation multipliers ensure that each CPS domain’s baseline uncertainty</w:t>
      </w:r>
      <w:r>
        <w:t xml:space="preserve"> </w:t>
      </w:r>
      <w:r>
        <w:t xml:space="preserve">scale is respected, while an online SPCI-lite quantile tracker </w:t>
      </w:r>
      <w:r>
        <w:t xml:space="preserve"> </w:t>
      </w:r>
      <w:r>
        <w:t xml:space="preserve">adapts the conformal interval width to distribution shift without a full recalibration</w:t>
      </w:r>
      <w:r>
        <w:t xml:space="preserve"> </w:t>
      </w:r>
      <w:r>
        <w:t xml:space="preserve">pass.</w:t>
      </w:r>
    </w:p>
    <w:bookmarkEnd w:id="20"/>
    <w:bookmarkStart w:id="21" w:name="constrain"/>
    <w:p>
      <w:pPr>
        <w:pStyle w:val="Heading2"/>
      </w:pPr>
      <w:r>
        <w:t xml:space="preserve">Constrain</w:t>
      </w:r>
    </w:p>
    <w:p>
      <w:pPr>
        <w:pStyle w:val="FirstParagraph"/>
      </w:pPr>
      <w:r>
        <w:t xml:space="preserve">The constrain stage recomputes which actions are admissible under the widened state set.</w:t>
      </w:r>
      <w:r>
        <w:t xml:space="preserve"> </w:t>
      </w:r>
      <w:r>
        <w:t xml:space="preserve">This is the point at which ORIUS ceases to be an alarming subsystem and becomes a true</w:t>
      </w:r>
      <w:r>
        <w:t xml:space="preserve"> </w:t>
      </w:r>
      <w:r>
        <w:t xml:space="preserve">safety layer. The system must translate degraded observation into a smaller safe action</w:t>
      </w:r>
      <w:r>
        <w:t xml:space="preserve"> </w:t>
      </w:r>
      <w:r>
        <w:t xml:space="preserve">surface, not merely record that confidence has fallen.</w:t>
      </w:r>
    </w:p>
    <w:bookmarkEnd w:id="21"/>
    <w:bookmarkStart w:id="22" w:name="shield-and-certify"/>
    <w:p>
      <w:pPr>
        <w:pStyle w:val="Heading2"/>
      </w:pPr>
      <w:r>
        <w:t xml:space="preserve">Shield and Certify</w:t>
      </w:r>
    </w:p>
    <w:p>
      <w:pPr>
        <w:pStyle w:val="FirstParagraph"/>
      </w:pPr>
      <w:r>
        <w:t xml:space="preserve">The shield stage repairs the proposed action or falls back to a bounded alternative when</w:t>
      </w:r>
      <w:r>
        <w:t xml:space="preserve"> </w:t>
      </w:r>
      <w:r>
        <w:t xml:space="preserve">the tightened set becomes empty. The certify stage records why the released action was</w:t>
      </w:r>
      <w:r>
        <w:t xml:space="preserve"> </w:t>
      </w:r>
      <w:r>
        <w:t xml:space="preserve">allowed, which margins and reliability assumptions were used, and which lifecycle state</w:t>
      </w:r>
      <w:r>
        <w:t xml:space="preserve"> </w:t>
      </w:r>
      <w:r>
        <w:t xml:space="preserve">the runtime now occupies. That certificate is a scientific object in ORIUS, not a</w:t>
      </w:r>
      <w:r>
        <w:t xml:space="preserve"> </w:t>
      </w:r>
      <w:r>
        <w:t xml:space="preserve">deployment afterthought.</w:t>
      </w:r>
    </w:p>
    <w:p>
      <w:pPr>
        <w:pStyle w:val="BodyText"/>
      </w:pPr>
      <w:r>
        <w:t xml:space="preserve">The architectural value of this decomposition is that the same pipeline appears in every</w:t>
      </w:r>
      <w:r>
        <w:t xml:space="preserve"> </w:t>
      </w:r>
      <w:r>
        <w:t xml:space="preserve">domain chapter even though the state, action, and repair geometry are different. That</w:t>
      </w:r>
      <w:r>
        <w:t xml:space="preserve"> </w:t>
      </w:r>
      <w:r>
        <w:t xml:space="preserve">shared pipeline is what makes ORIUS universal in architecture before it is universal in</w:t>
      </w:r>
      <w:r>
        <w:t xml:space="preserve"> </w:t>
      </w:r>
      <w:r>
        <w:t xml:space="preserve">evidence depth.</w:t>
      </w:r>
    </w:p>
    <w:bookmarkEnd w:id="22"/>
    <w:bookmarkEnd w:id="23"/>
    <w:bookmarkStart w:id="27" w:name="sec:ieee-contracts"/>
    <w:p>
      <w:pPr>
        <w:pStyle w:val="Heading1"/>
      </w:pPr>
      <w:r>
        <w:t xml:space="preserve">Universal Contracts, Benchmark, and Governance</w:t>
      </w:r>
    </w:p>
    <w:p>
      <w:pPr>
        <w:pStyle w:val="FirstParagraph"/>
      </w:pPr>
      <w:r>
        <w:t xml:space="preserve">The universal claim only matters if the runtime interface, benchmark interface, and</w:t>
      </w:r>
      <w:r>
        <w:t xml:space="preserve"> </w:t>
      </w:r>
      <w:r>
        <w:t xml:space="preserve">governance interface remain stable across domains. ORIUS enforces that stability</w:t>
      </w:r>
      <w:r>
        <w:t xml:space="preserve"> </w:t>
      </w:r>
      <w:r>
        <w:t xml:space="preserve">through three public surfaces: a single adapter contract, a single benchmark schema,</w:t>
      </w:r>
      <w:r>
        <w:t xml:space="preserve"> </w:t>
      </w:r>
      <w:r>
        <w:t xml:space="preserve">and a single CertOS lifecycle.</w:t>
      </w:r>
    </w:p>
    <w:bookmarkStart w:id="24" w:name="adapter-contract"/>
    <w:p>
      <w:pPr>
        <w:pStyle w:val="Heading2"/>
      </w:pPr>
      <w:r>
        <w:t xml:space="preserve">Adapter contract</w:t>
      </w:r>
    </w:p>
    <w:p>
      <w:pPr>
        <w:pStyle w:val="FirstParagraph"/>
      </w:pPr>
      <w:r>
        <w:t xml:space="preserve">Every supported domain enters ORIUS through the same narrow boundary. The adapter must</w:t>
      </w:r>
      <w:r>
        <w:t xml:space="preserve"> </w:t>
      </w:r>
      <w:r>
        <w:t xml:space="preserve">parse telemetry, expose reliability-conditioned uncertainty semantics, tighten the</w:t>
      </w:r>
      <w:r>
        <w:t xml:space="preserve"> </w:t>
      </w:r>
      <w:r>
        <w:t xml:space="preserve">admissible action set, implement repair and fallback, and emit a certificate payload</w:t>
      </w:r>
      <w:r>
        <w:t xml:space="preserve"> </w:t>
      </w:r>
      <w:r>
        <w:t xml:space="preserve">compatible with the runtime ledger. This is intentionally smaller than a full controller</w:t>
      </w:r>
      <w:r>
        <w:t xml:space="preserve"> </w:t>
      </w:r>
      <w:r>
        <w:t xml:space="preserve">API. ORIUS is not trying to normalize planning logic; it is trying to normalize safety</w:t>
      </w:r>
      <w:r>
        <w:t xml:space="preserve"> </w:t>
      </w:r>
      <w:r>
        <w:t xml:space="preserve">interposition.</w:t>
      </w:r>
    </w:p>
    <w:bookmarkEnd w:id="24"/>
    <w:bookmarkStart w:id="25" w:name="universal-benchmark-surface"/>
    <w:p>
      <w:pPr>
        <w:pStyle w:val="Heading2"/>
      </w:pPr>
      <w:r>
        <w:t xml:space="preserve">Universal benchmark surface</w:t>
      </w:r>
    </w:p>
    <w:p>
      <w:pPr>
        <w:pStyle w:val="FirstParagraph"/>
      </w:pPr>
      <w:r>
        <w:t xml:space="preserve">The benchmark contract scores safety on the true state and keeps the runtime outputs</w:t>
      </w:r>
      <w:r>
        <w:t xml:space="preserve"> </w:t>
      </w:r>
      <w:r>
        <w:t xml:space="preserve">comparable across domains. The canonical step-level fields are</w:t>
      </w:r>
      <w:r>
        <w:t xml:space="preserve"> </w:t>
      </w:r>
      <w:r>
        <w:rPr>
          <w:rStyle w:val="VerbatimChar"/>
        </w:rPr>
        <w:t xml:space="preserve">true_constraint_violated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observed_constraint_satisfied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true_margin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observed_margin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intervened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fallback_used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certificate_valid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latency_us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domain_metrics</w:t>
      </w:r>
      <w:r>
        <w:t xml:space="preserve">. This schema prevents a domain from claiming safety on an</w:t>
      </w:r>
      <w:r>
        <w:t xml:space="preserve"> </w:t>
      </w:r>
      <w:r>
        <w:t xml:space="preserve">incompatible metric surface.</w:t>
      </w:r>
    </w:p>
    <w:bookmarkEnd w:id="25"/>
    <w:bookmarkStart w:id="26" w:name="certos-governance-surface"/>
    <w:p>
      <w:pPr>
        <w:pStyle w:val="Heading2"/>
      </w:pPr>
      <w:r>
        <w:t xml:space="preserve">CertOS governance surface</w:t>
      </w:r>
    </w:p>
    <w:p>
      <w:pPr>
        <w:pStyle w:val="FirstParagraph"/>
      </w:pPr>
      <w:r>
        <w:t xml:space="preserve">CertOS makes fallback, certificate validity, lifecycle transitions, and audit continuity</w:t>
      </w:r>
      <w:r>
        <w:t xml:space="preserve"> </w:t>
      </w:r>
      <w:r>
        <w:t xml:space="preserve">part of the runtime semantics. A domain may choose different repair maps or fallback</w:t>
      </w:r>
      <w:r>
        <w:t xml:space="preserve"> </w:t>
      </w:r>
      <w:r>
        <w:t xml:space="preserve">modes, but it does not get to opt out of certificate integrity, audit logging, or</w:t>
      </w:r>
      <w:r>
        <w:t xml:space="preserve"> </w:t>
      </w:r>
      <w:r>
        <w:t xml:space="preserve">release-state discipline. This is why ORIUS reads as a systems paper as well as a</w:t>
      </w:r>
      <w:r>
        <w:t xml:space="preserve"> </w:t>
      </w:r>
      <w:r>
        <w:t xml:space="preserve">safety paper.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Canonical objects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 in the universal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 ingest, reliability semantics, uncertainty set, safe action set, repair, fallback, certificate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Isolates domain-specific safety geometry while keeping the ORIUS kernel itself domain-neutral.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True-state violation, observed-state satisfaction, margins, intervention, fallback, certificate validity, latency, domain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Forces all rows to score safety on the true state rather than on controller legality alone.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CertOS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state, certificate integrity, fallback semantics, audit continuity, release discipline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runtime safety from collapsing into an undocumented filter or ad hoc emergency stop.</w:t>
            </w:r>
          </w:p>
        </w:tc>
      </w:tr>
    </w:tbl>
    <w:p>
      <w:pPr>
        <w:pStyle w:val="BodyText"/>
      </w:pPr>
      <w:r>
        <w:t xml:space="preserve">These interfaces also explain the paper’s claim boundary. ORIUS can be universal in</w:t>
      </w:r>
      <w:r>
        <w:t xml:space="preserve"> </w:t>
      </w:r>
      <w:r>
        <w:t xml:space="preserve">contract even when domains remain unequal in proof depth or data maturity. The parity</w:t>
      </w:r>
      <w:r>
        <w:t xml:space="preserve"> </w:t>
      </w:r>
      <w:r>
        <w:t xml:space="preserve">gate is therefore not a contradiction of the architecture; it is the mechanism that</w:t>
      </w:r>
      <w:r>
        <w:t xml:space="preserve"> </w:t>
      </w:r>
      <w:r>
        <w:t xml:space="preserve">stops architectural reuse from being misread as empirical symmetry.</w:t>
      </w:r>
    </w:p>
    <w:bookmarkEnd w:id="26"/>
    <w:bookmarkEnd w:id="27"/>
    <w:bookmarkStart w:id="29" w:name="sec:ieee-theory"/>
    <w:p>
      <w:pPr>
        <w:pStyle w:val="Heading1"/>
      </w:pPr>
      <w:r>
        <w:t xml:space="preserve">Theory Bridge and Claim Discipline</w:t>
      </w:r>
    </w:p>
    <w:p>
      <w:pPr>
        <w:pStyle w:val="FirstParagraph"/>
      </w:pPr>
      <w:r>
        <w:t xml:space="preserve">The theorem surface of ORIUS is intentionally narrower than the rhetoric of a fully</w:t>
      </w:r>
      <w:r>
        <w:t xml:space="preserve"> </w:t>
      </w:r>
      <w:r>
        <w:t xml:space="preserve">closed universal program. The paper uses theory to justify the shape of the runtime</w:t>
      </w:r>
      <w:r>
        <w:t xml:space="preserve"> </w:t>
      </w:r>
      <w:r>
        <w:t xml:space="preserve">layer, not to imply that every domain has already inherited equal proof depth.</w:t>
      </w:r>
    </w:p>
    <w:p>
      <w:pPr>
        <w:pStyle w:val="BodyText"/>
      </w:pPr>
      <w:r>
        <w:t xml:space="preserve">The bridge has three parts. First, if admissibility depends on the true state and the</w:t>
      </w:r>
      <w:r>
        <w:t xml:space="preserve"> </w:t>
      </w:r>
      <w:r>
        <w:t xml:space="preserve">observation channel can deviate materially from that state, then OASG is a genuine</w:t>
      </w:r>
      <w:r>
        <w:t xml:space="preserve"> </w:t>
      </w:r>
      <w:r>
        <w:t xml:space="preserve">safety event rather than a notation trick. Second, if lower reliability produces a</w:t>
      </w:r>
      <w:r>
        <w:t xml:space="preserve"> </w:t>
      </w:r>
      <w:r>
        <w:t xml:space="preserve">monotone inflation of the observation-consistent state set, then the admissible action</w:t>
      </w:r>
      <w:r>
        <w:t xml:space="preserve"> </w:t>
      </w:r>
      <w:r>
        <w:t xml:space="preserve">set must become smaller or remain unchanged. Third, if the runtime only releases actions</w:t>
      </w:r>
      <w:r>
        <w:t xml:space="preserve"> </w:t>
      </w:r>
      <w:r>
        <w:t xml:space="preserve">from that tightened set, or falls back when no such action exists, then the remaining</w:t>
      </w:r>
      <w:r>
        <w:t xml:space="preserve"> </w:t>
      </w:r>
      <w:r>
        <w:t xml:space="preserve">true-state violation risk is governed by the soundness of the uncertainty set and the</w:t>
      </w:r>
      <w:r>
        <w:t xml:space="preserve"> </w:t>
      </w:r>
      <w:r>
        <w:t xml:space="preserve">repair map rather than by the optimism of the nominal controller.</w:t>
      </w:r>
    </w:p>
    <w:p>
      <w:pPr>
        <w:pStyle w:val="BodyText"/>
      </w:pPr>
      <w:r>
        <w:t xml:space="preserve">Temporal certificates and fallback add a fourth layer: Theorem T5 (certificate</w:t>
      </w:r>
      <w:r>
        <w:t xml:space="preserve"> </w:t>
      </w:r>
      <w:r>
        <w:t xml:space="preserve">validity horizon), Theorem T6 (certificate expiration bound), and Theorem T7</w:t>
      </w:r>
      <w:r>
        <w:t xml:space="preserve"> </w:t>
      </w:r>
      <w:r>
        <w:t xml:space="preserve">(feasible fallback existence) guarantee that certificates are time-bounded safety</w:t>
      </w:r>
      <w:r>
        <w:t xml:space="preserve"> </w:t>
      </w:r>
      <w:r>
        <w:t xml:space="preserve">objects and that the battery runtime either holds safely, recovers by boundary-aware</w:t>
      </w:r>
      <w:r>
        <w:t xml:space="preserve"> </w:t>
      </w:r>
      <w:r>
        <w:t xml:space="preserve">safe landing, or fails closed. The promoted T6 surface is confidence-aware and</w:t>
      </w:r>
      <w:r>
        <w:t xml:space="preserve"> </w:t>
      </w:r>
      <w:r>
        <w:t xml:space="preserve">tracks a closed-form first-passage lower bound on the remaining certificate life;</w:t>
      </w:r>
      <w:r>
        <w:t xml:space="preserve"> </w:t>
      </w:r>
      <w:r>
        <w:t xml:space="preserve">the runtime enforces the resulting</w:t>
      </w:r>
      <w: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check at each step.</w:t>
      </w:r>
    </w:p>
    <w:bookmarkStart w:id="28" w:name="tab:ieee-theory-bridge"/>
    <w:p>
      <w:pPr>
        <w:pStyle w:val="TableCaption"/>
      </w:pPr>
      <w:r>
        <w:t xml:space="preserve">Theory-to-evidence bridge used in the IEEE draft.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ory-to-evidence bridge used in the IEEE draft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the paper is willing to 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Degraded observation can create action-semantic failure even when the nominal policy is internally coherent.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typed runtime layer can convert reliability loss into tightened admissible action sets, repair, fallback, and certificate semantics.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Empirical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is the witness row; AV and healthcare are defended bounded rows in the active submission lane.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paper does not claim equal theorem depth, equal deployment readiness, or flat closure beyond the defended three-domain lane.</w:t>
            </w:r>
          </w:p>
        </w:tc>
      </w:tr>
    </w:tbl>
    <w:bookmarkEnd w:id="28"/>
    <w:p>
      <w:pPr>
        <w:pStyle w:val="BodyText"/>
      </w:pPr>
      <w:r>
        <w:t xml:space="preserve">This distinction is important because ORIUS aims to be scientifically ambitious without</w:t>
      </w:r>
      <w:r>
        <w:t xml:space="preserve"> </w:t>
      </w:r>
      <w:r>
        <w:t xml:space="preserve">being careless. The architecture is intentionally written as a universal safety layer</w:t>
      </w:r>
      <w:r>
        <w:t xml:space="preserve"> </w:t>
      </w:r>
      <w:r>
        <w:t xml:space="preserve">for Physical AI. The evidence, however, is tiered. That tiering is not a weakness in</w:t>
      </w:r>
      <w:r>
        <w:t xml:space="preserve"> </w:t>
      </w:r>
      <w:r>
        <w:t xml:space="preserve">the argument; it is the mechanism that keeps theorem language, benchmark language, and</w:t>
      </w:r>
      <w:r>
        <w:t xml:space="preserve"> </w:t>
      </w:r>
      <w:r>
        <w:t xml:space="preserve">runtime language aligned with tracked artifacts.</w:t>
      </w:r>
    </w:p>
    <w:p>
      <w:pPr>
        <w:pStyle w:val="BodyText"/>
      </w:pPr>
      <w:r>
        <w:t xml:space="preserve">The practical consequence is straightforward. A domain does not become a defended row</w:t>
      </w:r>
      <w:r>
        <w:t xml:space="preserve"> </w:t>
      </w:r>
      <w:r>
        <w:t xml:space="preserve">because it looks structurally compatible with the adapter contract. It becomes defended</w:t>
      </w:r>
      <w:r>
        <w:t xml:space="preserve"> </w:t>
      </w:r>
      <w:r>
        <w:t xml:space="preserve">only after the data surface, replay surface, repair semantics, fallback semantics,</w:t>
      </w:r>
      <w:r>
        <w:t xml:space="preserve"> </w:t>
      </w:r>
      <w:r>
        <w:t xml:space="preserve">certificate traces, and benchmark outputs all clear the governed promotion gate. That is</w:t>
      </w:r>
      <w:r>
        <w:t xml:space="preserve"> </w:t>
      </w:r>
      <w:r>
        <w:t xml:space="preserve">why the universal claim in this paper is architectural and bounded rather than flatly</w:t>
      </w:r>
      <w:r>
        <w:t xml:space="preserve"> </w:t>
      </w:r>
      <w:r>
        <w:t xml:space="preserve">equalized across domains already.</w:t>
      </w:r>
    </w:p>
    <w:bookmarkEnd w:id="29"/>
    <w:bookmarkStart w:id="34" w:name="sec:ieee-battery"/>
    <w:p>
      <w:pPr>
        <w:pStyle w:val="Heading1"/>
      </w:pPr>
      <w:r>
        <w:t xml:space="preserve">Battery as the Witness Domain</w:t>
      </w:r>
    </w:p>
    <w:p>
      <w:pPr>
        <w:pStyle w:val="FirstParagraph"/>
      </w:pPr>
      <w:r>
        <w:t xml:space="preserve">Battery remains the witness domain because it carries the deepest theorem-to-code-to-</w:t>
      </w:r>
      <w:r>
        <w:t xml:space="preserve"> </w:t>
      </w:r>
      <w:r>
        <w:t xml:space="preserve">artifact closure in the present ORIUS stack. That status is methodological, not</w:t>
      </w:r>
      <w:r>
        <w:t xml:space="preserve"> </w:t>
      </w:r>
      <w:r>
        <w:t xml:space="preserve">conceptual. The paper is not arguing that batteries are the center of Physical AI. It</w:t>
      </w:r>
      <w:r>
        <w:t xml:space="preserve"> </w:t>
      </w:r>
      <w:r>
        <w:t xml:space="preserve">is using the battery row to show what a fully specified ORIUS instantiation looks like</w:t>
      </w:r>
      <w:r>
        <w:t xml:space="preserve"> </w:t>
      </w:r>
      <w:r>
        <w:t xml:space="preserve">when the theorem chain, benchmark chain, fallback chain, and certificate chain are all</w:t>
      </w:r>
      <w:r>
        <w:t xml:space="preserve"> </w:t>
      </w:r>
      <w:r>
        <w:t xml:space="preserve">present in one place.</w:t>
      </w:r>
    </w:p>
    <w:bookmarkStart w:id="30" w:name="hazard-and-safety-object"/>
    <w:p>
      <w:pPr>
        <w:pStyle w:val="Heading2"/>
      </w:pPr>
      <w:r>
        <w:t xml:space="preserve">Hazard and safety object</w:t>
      </w:r>
    </w:p>
    <w:p>
      <w:pPr>
        <w:pStyle w:val="FirstParagraph"/>
      </w:pPr>
      <w:r>
        <w:t xml:space="preserve">The battery hazard is simple to state and representative of the larger ORIUS problem.</w:t>
      </w:r>
      <w:r>
        <w:t xml:space="preserve"> </w:t>
      </w:r>
      <w:r>
        <w:t xml:space="preserve">Dispatch can appear legal on the observed state of charge, reserve, or availability</w:t>
      </w:r>
      <w:r>
        <w:t xml:space="preserve"> </w:t>
      </w:r>
      <w:r>
        <w:t xml:space="preserve">surface while already violating the true physical envelope. The safety object is</w:t>
      </w:r>
      <w:r>
        <w:t xml:space="preserve"> </w:t>
      </w:r>
      <w:r>
        <w:t xml:space="preserve">therefore zero true-state violation of the dispatch and state-of-charge envelope under</w:t>
      </w:r>
      <w:r>
        <w:t xml:space="preserve"> </w:t>
      </w:r>
      <w:r>
        <w:t xml:space="preserve">degraded observation.</w:t>
      </w:r>
    </w:p>
    <w:bookmarkEnd w:id="30"/>
    <w:bookmarkStart w:id="31" w:name="runtime-instantiation"/>
    <w:p>
      <w:pPr>
        <w:pStyle w:val="Heading2"/>
      </w:pPr>
      <w:r>
        <w:t xml:space="preserve">Runtime instantiation</w:t>
      </w:r>
    </w:p>
    <w:p>
      <w:pPr>
        <w:pStyle w:val="FirstParagraph"/>
      </w:pPr>
      <w:r>
        <w:t xml:space="preserve">The battery adapter uses reliability scoring, uncertainty inflation over feasible state</w:t>
      </w:r>
      <w:r>
        <w:t xml:space="preserve"> </w:t>
      </w:r>
      <w:r>
        <w:t xml:space="preserve">of charge, action clipping or safe-hold when the admissible power interval collapses,</w:t>
      </w:r>
      <w:r>
        <w:t xml:space="preserve"> </w:t>
      </w:r>
      <w:r>
        <w:t xml:space="preserve">and certificate-gated dispatch release. This makes the witness row useful for more than</w:t>
      </w:r>
      <w:r>
        <w:t xml:space="preserve"> </w:t>
      </w:r>
      <w:r>
        <w:t xml:space="preserve">numerical performance. It shows the full semantics of repair, fallback, certificate</w:t>
      </w:r>
      <w:r>
        <w:t xml:space="preserve"> </w:t>
      </w:r>
      <w:r>
        <w:t xml:space="preserve">expiry, and audit continuity under a domain where the runtime surface is already mature.</w:t>
      </w:r>
    </w:p>
    <w:bookmarkEnd w:id="31"/>
    <w:bookmarkStart w:id="33" w:name="why-the-battery-row-matters"/>
    <w:p>
      <w:pPr>
        <w:pStyle w:val="Heading2"/>
      </w:pPr>
      <w:r>
        <w:t xml:space="preserve">Why the battery row matters</w:t>
      </w:r>
    </w:p>
    <w:p>
      <w:pPr>
        <w:pStyle w:val="FirstParagraph"/>
      </w:pPr>
      <w:r>
        <w:t xml:space="preserve">The witness row earns its role because it exposes all three layers of the ORIUS claim:</w:t>
      </w:r>
      <w:r>
        <w:t xml:space="preserve"> </w:t>
      </w:r>
      <w:r>
        <w:t xml:space="preserve">theoretical motivation, benchmarked repair, and governed runtime release. That closure</w:t>
      </w:r>
      <w:r>
        <w:t xml:space="preserve"> </w:t>
      </w:r>
      <w:r>
        <w:t xml:space="preserve">depth is what the weaker rows are measured against.</w:t>
      </w:r>
    </w:p>
    <w:bookmarkStart w:id="32" w:name="tab:ieee-battery-witness"/>
    <w:p>
      <w:pPr>
        <w:pStyle w:val="TableCaption"/>
      </w:pPr>
      <w:r>
        <w:t xml:space="preserve">Why battery remains the witness row in the IEEE draft.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hy battery remains the witness row in the IEEE draft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Witness-row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Deepest theorem-to-artifact chain in the current ORIUS stack.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complete degraded-observation replay, stress, and runtime traces.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Mature safe-hold and bounded repair behavior with certificate traces.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Strongest CertOS lifecycle and audit continuity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in this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Anchors the strongest empirical row without allowing the manuscript to become battery-centric.</w:t>
            </w:r>
          </w:p>
        </w:tc>
      </w:tr>
    </w:tbl>
    <w:bookmarkEnd w:id="32"/>
    <w:p>
      <w:pPr>
        <w:pStyle w:val="BodyText"/>
      </w:pPr>
      <w:r>
        <w:t xml:space="preserve">This is the right role for battery in a universal-first paper. It anchors the strongest</w:t>
      </w:r>
      <w:r>
        <w:t xml:space="preserve"> </w:t>
      </w:r>
      <w:r>
        <w:t xml:space="preserve">evidence surface while leaving the conceptual center of the manuscript with the runtime</w:t>
      </w:r>
      <w:r>
        <w:t xml:space="preserve"> </w:t>
      </w:r>
      <w:r>
        <w:t xml:space="preserve">layer itself.</w:t>
      </w:r>
    </w:p>
    <w:bookmarkEnd w:id="33"/>
    <w:bookmarkEnd w:id="34"/>
    <w:bookmarkStart w:id="38" w:name="sec:ieee-domains"/>
    <w:p>
      <w:pPr>
        <w:pStyle w:val="Heading1"/>
      </w:pPr>
      <w:r>
        <w:t xml:space="preserve">Domain Instantiations under One Runtime Contract</w:t>
      </w:r>
    </w:p>
    <w:p>
      <w:pPr>
        <w:pStyle w:val="FirstParagraph"/>
      </w:pPr>
      <w:r>
        <w:t xml:space="preserve">The key test of a universal safety layer is not whether every domain shares the same</w:t>
      </w:r>
      <w:r>
        <w:t xml:space="preserve"> </w:t>
      </w:r>
      <w:r>
        <w:t xml:space="preserve">dynamics or controller. It is whether the same runtime contract survives domain change</w:t>
      </w:r>
      <w:r>
        <w:t xml:space="preserve"> </w:t>
      </w:r>
      <w:r>
        <w:t xml:space="preserve">without losing semantic meaning. ORIUS evaluates that question across the defended</w:t>
      </w:r>
      <w:r>
        <w:t xml:space="preserve"> </w:t>
      </w:r>
      <w:r>
        <w:t xml:space="preserve">Battery, AV, and Healthcare rows.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Degraded-observation hazard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Safety 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Current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Exact closure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energy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 legal on observed state but unsafe on true state of charge or reserve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State-of-charge and dispatch envelope 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Deepest closure surface in the current stack.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Autonomous 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proposed on stale or optimistic headway / collision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TTC and entry-barrier preservation under 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Defended all-zip grouped nuPlan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to completed all-zip grouped nuPlan replay artifacts under the current TTC plus predictive-entry-barrier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Healthcare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alerting or intervention released on degraded vital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Vital-alert envelope and bounded intervention discipline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Defended bounded MIMIC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to retrospective monitoring and alert-release semantics; no live clinical deployment claim.</w:t>
            </w:r>
          </w:p>
        </w:tc>
      </w:tr>
    </w:tbl>
    <w:bookmarkStart w:id="35" w:name="autonomous-vehicles"/>
    <w:p>
      <w:pPr>
        <w:pStyle w:val="Heading2"/>
      </w:pPr>
      <w:r>
        <w:t xml:space="preserve">Autonomous vehicles</w:t>
      </w:r>
    </w:p>
    <w:p>
      <w:pPr>
        <w:pStyle w:val="FirstParagraph"/>
      </w:pPr>
      <w:r>
        <w:t xml:space="preserve">The AV row is defended under a bounded safety object: time-to-collision and predictive</w:t>
      </w:r>
      <w:r>
        <w:t xml:space="preserve"> </w:t>
      </w:r>
      <w:r>
        <w:t xml:space="preserve">entry-barrier preservation when the perception or state-estimation surface degrades. The</w:t>
      </w:r>
      <w:r>
        <w:t xml:space="preserve"> </w:t>
      </w:r>
      <w:r>
        <w:t xml:space="preserve">current evidence lane uses completed all-zip grouped nuPlan replay artifacts, not a full road-deployment</w:t>
      </w:r>
      <w:r>
        <w:t xml:space="preserve"> </w:t>
      </w:r>
      <w:r>
        <w:t xml:space="preserve">claim. The value of the row is that ORIUS is not merely filtering a scalar dispatch</w:t>
      </w:r>
      <w:r>
        <w:t xml:space="preserve"> </w:t>
      </w:r>
      <w:r>
        <w:t xml:space="preserve">command. It repairs an action inside a tightly constrained interaction envelope while</w:t>
      </w:r>
      <w:r>
        <w:t xml:space="preserve"> </w:t>
      </w:r>
      <w:r>
        <w:t xml:space="preserve">preserving bounded fallback semantics. The row is defended, but only for the current</w:t>
      </w:r>
      <w:r>
        <w:t xml:space="preserve"> </w:t>
      </w:r>
      <w:r>
        <w:t xml:space="preserve">TTC plus predictive-entry-barrier contract rather than advertised as full</w:t>
      </w:r>
      <w:r>
        <w:t xml:space="preserve"> </w:t>
      </w:r>
      <w:r>
        <w:t xml:space="preserve">autonomous-driving field closure.</w:t>
      </w:r>
    </w:p>
    <w:bookmarkEnd w:id="35"/>
    <w:bookmarkStart w:id="36" w:name="healthcare-monitoring"/>
    <w:p>
      <w:pPr>
        <w:pStyle w:val="Heading2"/>
      </w:pPr>
      <w:r>
        <w:t xml:space="preserve">Healthcare monitoring</w:t>
      </w:r>
    </w:p>
    <w:p>
      <w:pPr>
        <w:pStyle w:val="FirstParagraph"/>
      </w:pPr>
      <w:r>
        <w:t xml:space="preserve">Healthcare matters because degraded observation can suppress intervention rather than</w:t>
      </w:r>
      <w:r>
        <w:t xml:space="preserve"> </w:t>
      </w:r>
      <w:r>
        <w:t xml:space="preserve">only create excessive actuation. ORIUS still fits that setting because the runtime layer</w:t>
      </w:r>
      <w:r>
        <w:t xml:space="preserve"> </w:t>
      </w:r>
      <w:r>
        <w:t xml:space="preserve">is defined over admissible decisions, fallback policies, and certificate semantics, not</w:t>
      </w:r>
      <w:r>
        <w:t xml:space="preserve"> </w:t>
      </w:r>
      <w:r>
        <w:t xml:space="preserve">only over physical force commands. The defended healthcare row is bounded to</w:t>
      </w:r>
      <w:r>
        <w:t xml:space="preserve"> </w:t>
      </w:r>
      <w:r>
        <w:t xml:space="preserve">retrospective MIMIC-backed monitoring and alerting contracts. It does not claim</w:t>
      </w:r>
      <w:r>
        <w:t xml:space="preserve"> </w:t>
      </w:r>
      <w:r>
        <w:t xml:space="preserve">prospective clinical deployment or clinical decision-support approval, but it shows</w:t>
      </w:r>
      <w:r>
        <w:t xml:space="preserve"> </w:t>
      </w:r>
      <w:r>
        <w:t xml:space="preserve">that the runtime grammar is not limited to mechanical control loops.</w:t>
      </w:r>
    </w:p>
    <w:bookmarkEnd w:id="36"/>
    <w:bookmarkStart w:id="37" w:name="future-additional-domains"/>
    <w:p>
      <w:pPr>
        <w:pStyle w:val="Heading2"/>
      </w:pPr>
      <w:r>
        <w:t xml:space="preserve">Future additional domains</w:t>
      </w:r>
    </w:p>
    <w:p>
      <w:pPr>
        <w:pStyle w:val="FirstParagraph"/>
      </w:pPr>
      <w:r>
        <w:t xml:space="preserve">The active branch does not defend named additional domains beyond Battery, AV, and</w:t>
      </w:r>
      <w:r>
        <w:t xml:space="preserve"> </w:t>
      </w:r>
      <w:r>
        <w:t xml:space="preserve">Healthcare. Future extensions remain part of the architectural argument, but they are</w:t>
      </w:r>
      <w:r>
        <w:t xml:space="preserve"> </w:t>
      </w:r>
      <w:r>
        <w:t xml:space="preserve">not part of the current empirical claim surface until they clear the same replay,</w:t>
      </w:r>
      <w:r>
        <w:t xml:space="preserve"> </w:t>
      </w:r>
      <w:r>
        <w:t xml:space="preserve">runtime, governance, and bounded-prose obligations as the active three-domain lane.</w:t>
      </w:r>
    </w:p>
    <w:bookmarkEnd w:id="37"/>
    <w:bookmarkEnd w:id="38"/>
    <w:bookmarkStart w:id="40" w:name="sec:ieee-synthesis"/>
    <w:p>
      <w:pPr>
        <w:pStyle w:val="Heading1"/>
      </w:pPr>
      <w:r>
        <w:t xml:space="preserve">Cross-Domain Synthesis</w:t>
      </w:r>
    </w:p>
    <w:p>
      <w:pPr>
        <w:pStyle w:val="FirstParagraph"/>
      </w:pPr>
      <w:r>
        <w:t xml:space="preserve">The scientific value of ORIUS is not that every row already looks equally complete. It</w:t>
      </w:r>
      <w:r>
        <w:t xml:space="preserve"> </w:t>
      </w:r>
      <w:r>
        <w:t xml:space="preserve">is that one runtime grammar survives across very different physical systems while the</w:t>
      </w:r>
      <w:r>
        <w:t xml:space="preserve"> </w:t>
      </w:r>
      <w:r>
        <w:t xml:space="preserve">paper remains honest about which rows are defended and which are gated. That distinction</w:t>
      </w:r>
      <w:r>
        <w:t xml:space="preserve"> </w:t>
      </w:r>
      <w:r>
        <w:t xml:space="preserve">is what turns ORIUS from a portability story into a candidate field-level safety layer.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Shared across all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Domain-specific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 semantics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 assessment, degraded-observation detection, uncertainty widening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 modalities, freshness signals, and consistency features.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Tightened admissible action set, repair-or-fallback release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constraints, action constraints, safety-object geometry.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True-state violation, intervention, fallback, certificate validity, latency, domain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Domain-specific margin definitions and auxiliary metrics.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CertOS lifecycle, certificate integrity, audit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Policy-specific fallback payloads and application-specific certificate fields.</w:t>
            </w:r>
          </w:p>
        </w:tc>
      </w:tr>
    </w:tbl>
    <w:p>
      <w:pPr>
        <w:pStyle w:val="BodyText"/>
      </w:pPr>
      <w:r>
        <w:t xml:space="preserve">This synthesis yields a sharper universality statement than a transfer-learning claim.</w:t>
      </w:r>
      <w:r>
        <w:t xml:space="preserve"> </w:t>
      </w:r>
      <w:r>
        <w:t xml:space="preserve">ORIUS is not saying that one policy transfers across every domain. It is saying that</w:t>
      </w:r>
      <w:r>
        <w:t xml:space="preserve"> </w:t>
      </w:r>
      <w:r>
        <w:t xml:space="preserve">Physical AI systems share a runtime failure mode once observation degrades, and that the</w:t>
      </w:r>
      <w:r>
        <w:t xml:space="preserve"> </w:t>
      </w:r>
      <w:r>
        <w:t xml:space="preserve">same kernel can mediate that failure mode while respecting domain-specific safety</w:t>
      </w:r>
      <w:r>
        <w:t xml:space="preserve"> </w:t>
      </w:r>
      <w:r>
        <w:t xml:space="preserve">geometry. That is why the architecture can be universal even when the evidence remains</w:t>
      </w:r>
      <w:r>
        <w:t xml:space="preserve"> </w:t>
      </w:r>
      <w:r>
        <w:t xml:space="preserve">tiered.</w:t>
      </w:r>
    </w:p>
    <w:p>
      <w:pPr>
        <w:pStyle w:val="BodyText"/>
      </w:pPr>
      <w:r>
        <w:t xml:space="preserve">The paper therefore keeps the promotion boundary visible. Battery is the witness row.</w:t>
      </w:r>
      <w:r>
        <w:t xml:space="preserve"> </w:t>
      </w:r>
      <w:r>
        <w:t xml:space="preserve">AV is defended as an all-zip grouped nuPlan replay row. Healthcare is defended as a bounded</w:t>
      </w:r>
      <w:r>
        <w:t xml:space="preserve"> </w:t>
      </w:r>
      <w:r>
        <w:t xml:space="preserve">retrospective monitoring row. Future additional domains are not</w:t>
      </w:r>
      <w:r>
        <w:t xml:space="preserve"> </w:t>
      </w:r>
      <w:r>
        <w:t xml:space="preserve">smuggled into the public claim surface as quiet unverified rows. This is not defensive</w:t>
      </w:r>
      <w:r>
        <w:t xml:space="preserve"> </w:t>
      </w:r>
      <w:r>
        <w:t xml:space="preserve">writing. It is the mechanism that lets the paper make a large architectural claim</w:t>
      </w:r>
      <w:r>
        <w:t xml:space="preserve"> </w:t>
      </w:r>
      <w:r>
        <w:t xml:space="preserve">without pretending that universality of contract automatically implies equal evidence</w:t>
      </w:r>
      <w:r>
        <w:t xml:space="preserve"> </w:t>
      </w:r>
      <w:r>
        <w:t xml:space="preserve">depth.</w:t>
      </w:r>
    </w:p>
    <w:bookmarkStart w:id="39" w:name="three-domain-evidence-boundary"/>
    <w:p>
      <w:pPr>
        <w:pStyle w:val="Heading2"/>
      </w:pPr>
      <w:r>
        <w:t xml:space="preserve">Three-domain evidence boundary</w:t>
      </w:r>
    </w:p>
    <w:p>
      <w:pPr>
        <w:pStyle w:val="FirstParagraph"/>
      </w:pPr>
      <w:r>
        <w:t xml:space="preserve">The public claim surface is deliberately three-row. Battery establishes the witness</w:t>
      </w:r>
      <w:r>
        <w:t xml:space="preserve"> </w:t>
      </w:r>
      <w:r>
        <w:t xml:space="preserve">standard: theorem-facing assumptions, runtime traces, fallback semantics, and CertOS</w:t>
      </w:r>
      <w:r>
        <w:t xml:space="preserve"> </w:t>
      </w:r>
      <w:r>
        <w:t xml:space="preserve">evidence are all present in the same row. The AV row tests whether the same release</w:t>
      </w:r>
      <w:r>
        <w:t xml:space="preserve"> </w:t>
      </w:r>
      <w:r>
        <w:t xml:space="preserve">grammar survives a faster mobility setting, but its current denominator is bounded to</w:t>
      </w:r>
      <w:r>
        <w:t xml:space="preserve"> </w:t>
      </w:r>
      <w:r>
        <w:t xml:space="preserve">completed nuPlan replay artifacts and the TTC/predictive-entry-barrier contract. The</w:t>
      </w:r>
      <w:r>
        <w:t xml:space="preserve"> </w:t>
      </w:r>
      <w:r>
        <w:t xml:space="preserve">Healthcare row tests the same grammar in retrospective monitoring, but it remains a</w:t>
      </w:r>
      <w:r>
        <w:t xml:space="preserve"> </w:t>
      </w:r>
      <w:r>
        <w:t xml:space="preserve">MIMIC-backed alert-release row and not a clinical deployment result. This boundary is</w:t>
      </w:r>
      <w:r>
        <w:t xml:space="preserve"> </w:t>
      </w:r>
      <w:r>
        <w:t xml:space="preserve">part of the contribution because it prevents architectural universality from being</w:t>
      </w:r>
      <w:r>
        <w:t xml:space="preserve"> </w:t>
      </w:r>
      <w:r>
        <w:t xml:space="preserve">misread as equal empirical maturity.</w:t>
      </w:r>
    </w:p>
    <w:bookmarkEnd w:id="39"/>
    <w:bookmarkEnd w:id="40"/>
    <w:bookmarkStart w:id="41" w:name="sec:ieee-limitations"/>
    <w:p>
      <w:pPr>
        <w:pStyle w:val="Heading1"/>
      </w:pPr>
      <w:r>
        <w:t xml:space="preserve">Limitations and Claim Boundary</w:t>
      </w:r>
    </w:p>
    <w:p>
      <w:pPr>
        <w:pStyle w:val="FirstParagraph"/>
      </w:pPr>
      <w:r>
        <w:t xml:space="preserve">The ORIUS argument is strongest when the claim boundary remains explicit. This draft</w:t>
      </w:r>
      <w:r>
        <w:t xml:space="preserve"> </w:t>
      </w:r>
      <w:r>
        <w:t xml:space="preserve">does not claim universal optimality, equal-theorem-depth parity, universal hardware</w:t>
      </w:r>
      <w:r>
        <w:t xml:space="preserve"> </w:t>
      </w:r>
      <w:r>
        <w:t xml:space="preserve">closure, or flat deployment readiness across all supported domains. It claims one</w:t>
      </w:r>
      <w:r>
        <w:t xml:space="preserve"> </w:t>
      </w:r>
      <w:r>
        <w:t xml:space="preserve">universal runtime safety layer, one reusable action-semantics grammar for degraded</w:t>
      </w:r>
      <w:r>
        <w:t xml:space="preserve"> </w:t>
      </w:r>
      <w:r>
        <w:t xml:space="preserve">observation, and one governed evidence ladder that determines how much rhetoric each</w:t>
      </w:r>
      <w:r>
        <w:t xml:space="preserve"> </w:t>
      </w:r>
      <w:r>
        <w:t xml:space="preserve">domain row may currently carry.</w:t>
      </w:r>
    </w:p>
    <w:p>
      <w:pPr>
        <w:pStyle w:val="BodyText"/>
      </w:pPr>
      <w:r>
        <w:t xml:space="preserve">That distinction matters because the architecture already travels farther than the</w:t>
      </w:r>
      <w:r>
        <w:t xml:space="preserve"> </w:t>
      </w:r>
      <w:r>
        <w:t xml:space="preserve">tracked evidence. Battery is the witness row. Autonomous vehicles and healthcare</w:t>
      </w:r>
      <w:r>
        <w:t xml:space="preserve"> </w:t>
      </w:r>
      <w:r>
        <w:t xml:space="preserve">monitoring are defended bounded rows under explicit contracts. Future additional</w:t>
      </w:r>
      <w:r>
        <w:t xml:space="preserve"> </w:t>
      </w:r>
      <w:r>
        <w:t xml:space="preserve">domains remain outside the current defended lane. The flagship manuscript therefore</w:t>
      </w:r>
      <w:r>
        <w:t xml:space="preserve"> </w:t>
      </w:r>
      <w:r>
        <w:t xml:space="preserve">uses the active three-domain program to show the reach of the runtime contract while</w:t>
      </w:r>
      <w:r>
        <w:t xml:space="preserve"> </w:t>
      </w:r>
      <w:r>
        <w:t xml:space="preserve">the claim-delta ledger preserves the boundary between current repo truth and broader</w:t>
      </w:r>
      <w:r>
        <w:t xml:space="preserve"> </w:t>
      </w:r>
      <w:r>
        <w:t xml:space="preserve">architectural framing.</w:t>
      </w:r>
    </w:p>
    <w:p>
      <w:pPr>
        <w:pStyle w:val="BodyText"/>
      </w:pPr>
      <w:r>
        <w:t xml:space="preserve">The bounded-universal position is still scientifically valuable. It makes ORIUS a real</w:t>
      </w:r>
      <w:r>
        <w:t xml:space="preserve"> </w:t>
      </w:r>
      <w:r>
        <w:t xml:space="preserve">cross-domain safety layer today, while giving future closure work a precise target:</w:t>
      </w:r>
      <w:r>
        <w:t xml:space="preserve"> </w:t>
      </w:r>
      <w:r>
        <w:t xml:space="preserve">new domains must supply defended replay, runtime, governance, and post-repair</w:t>
      </w:r>
      <w:r>
        <w:t xml:space="preserve"> </w:t>
      </w:r>
      <w:r>
        <w:t xml:space="preserve">improvement surfaces on the governing safety object. Those are evidence obligations,</w:t>
      </w:r>
      <w:r>
        <w:t xml:space="preserve"> </w:t>
      </w:r>
      <w:r>
        <w:t xml:space="preserve">not conceptual holes in the runtime grammar itself. The adversarial OQE mode</w:t>
      </w:r>
      <w:r>
        <w:t xml:space="preserve"> </w:t>
      </w:r>
      <w:r>
        <w:t xml:space="preserve">partially addresses the reliability-spoofing limitation, but full game-theoretic</w:t>
      </w:r>
      <w:r>
        <w:t xml:space="preserve"> </w:t>
      </w:r>
      <w:r>
        <w:t xml:space="preserve">completeness across all attack strategies remains an open evidence obligation.</w:t>
      </w:r>
    </w:p>
    <w:bookmarkEnd w:id="41"/>
    <w:bookmarkStart w:id="42" w:name="sec:ieee-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ORIUS argues that the right universal object for Physical AI safety is not a single</w:t>
      </w:r>
      <w:r>
        <w:t xml:space="preserve"> </w:t>
      </w:r>
      <w:r>
        <w:t xml:space="preserve">planner, plant, or benchmark. It is a runtime safety layer that mediates the gap</w:t>
      </w:r>
      <w:r>
        <w:t xml:space="preserve"> </w:t>
      </w:r>
      <w:r>
        <w:t xml:space="preserve">between degraded observation and physical actuation. Once observation quality becomes a</w:t>
      </w:r>
      <w:r>
        <w:t xml:space="preserve"> </w:t>
      </w:r>
      <w:r>
        <w:t xml:space="preserve">source of safety failure, the system must expose reliability, uncertainty inflation,</w:t>
      </w:r>
      <w:r>
        <w:t xml:space="preserve"> </w:t>
      </w:r>
      <w:r>
        <w:t xml:space="preserve">action repair, fallback, and certificate semantics as first-class runtime objects.</w:t>
      </w:r>
    </w:p>
    <w:p>
      <w:pPr>
        <w:pStyle w:val="BodyText"/>
      </w:pPr>
      <w:r>
        <w:t xml:space="preserve">That is the role of the Detect–Calibrate–Constrain–Shield–Certify kernel. It turns</w:t>
      </w:r>
      <w:r>
        <w:t xml:space="preserve"> </w:t>
      </w:r>
      <w:r>
        <w:t xml:space="preserve">OASG from an intuitive failure mode into a measurable and governable runtime event, and</w:t>
      </w:r>
      <w:r>
        <w:t xml:space="preserve"> </w:t>
      </w:r>
      <w:r>
        <w:t xml:space="preserve">it does so under one contract that can be instantiated across batteries, autonomous</w:t>
      </w:r>
      <w:r>
        <w:t xml:space="preserve"> </w:t>
      </w:r>
      <w:r>
        <w:t xml:space="preserve">vehicles, and healthcare monitoring without pretending those settings share the same</w:t>
      </w:r>
      <w:r>
        <w:t xml:space="preserve"> </w:t>
      </w:r>
      <w:r>
        <w:t xml:space="preserve">nominal controller or safety geometry.</w:t>
      </w:r>
    </w:p>
    <w:p>
      <w:pPr>
        <w:pStyle w:val="BodyText"/>
      </w:pPr>
      <w:r>
        <w:t xml:space="preserve">The evidence claim is intentionally disciplined. Battery is the witness row. AV is an</w:t>
      </w:r>
      <w:r>
        <w:t xml:space="preserve"> </w:t>
      </w:r>
      <w:r>
        <w:t xml:space="preserve">all-zip grouped nuPlan replay row. Healthcare is a bounded retrospective monitoring row. Future</w:t>
      </w:r>
      <w:r>
        <w:t xml:space="preserve"> </w:t>
      </w:r>
      <w:r>
        <w:t xml:space="preserve">additional domains remain outside the current defended lane. That asymmetry does not</w:t>
      </w:r>
      <w:r>
        <w:t xml:space="preserve"> </w:t>
      </w:r>
      <w:r>
        <w:t xml:space="preserve">weaken the architectural claim. It is what makes the paper scientifically credible:</w:t>
      </w:r>
      <w:r>
        <w:t xml:space="preserve"> </w:t>
      </w:r>
      <w:r>
        <w:t xml:space="preserve">ORIUS can be universal in runtime contract while still governed by a public promotion</w:t>
      </w:r>
      <w:r>
        <w:t xml:space="preserve"> </w:t>
      </w:r>
      <w:r>
        <w:t xml:space="preserve">discipline.</w:t>
      </w:r>
    </w:p>
    <w:p>
      <w:pPr>
        <w:pStyle w:val="BodyText"/>
      </w:pPr>
      <w:r>
        <w:t xml:space="preserve">The field-level implication is larger than any single benchmark number. ORIUS proposes</w:t>
      </w:r>
      <w:r>
        <w:t xml:space="preserve"> </w:t>
      </w:r>
      <w:r>
        <w:t xml:space="preserve">that Physical AI should be organized around a reusable runtime safety layer that sits</w:t>
      </w:r>
      <w:r>
        <w:t xml:space="preserve"> </w:t>
      </w:r>
      <w:r>
        <w:t xml:space="preserve">between nominal intelligence and actuation, and that this layer should be audited</w:t>
      </w:r>
      <w:r>
        <w:t xml:space="preserve"> </w:t>
      </w:r>
      <w:r>
        <w:t xml:space="preserve">through one benchmark schema and one governance surface. If additional domains later</w:t>
      </w:r>
      <w:r>
        <w:t xml:space="preserve"> </w:t>
      </w:r>
      <w:r>
        <w:t xml:space="preserve">clear the same closure obligations, the architecture can support a broader empirical</w:t>
      </w:r>
      <w:r>
        <w:t xml:space="preserve"> </w:t>
      </w:r>
      <w:r>
        <w:t xml:space="preserve">claim. Even before that point, ORIUS establishes a reusable safety-layer grammar for</w:t>
      </w:r>
      <w:r>
        <w:t xml:space="preserve"> </w:t>
      </w:r>
      <w:r>
        <w:t xml:space="preserve">Physical AI under degraded observation.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ORIUS: A Universal Runtime Safety Layer for Physical AI under Degraded Observation</dc:title>
  <dc:creator>Pratik Niroula</dc:creator>
  <cp:keywords/>
  <dcterms:created xsi:type="dcterms:W3CDTF">2026-04-26T00:52:52Z</dcterms:created>
  <dcterms:modified xsi:type="dcterms:W3CDTF">2026-04-26T00:52:52Z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ORIUS treats degraded observation as a universal action-semantics hazard for Physical AI: a controller may act legally on the observed state while becoming unsafe on the true state. We present ORIUS, Observation–Reality Integrity for Universal Safety, as a typed runtime layer that detects degraded telemetry, calibrates the observation-consistent state set, constrains the admissible action set, repairs or replaces unsafe candidate actions, and emits auditable certificates before actuation. The paper is universal-first rather than battery-origin. It combines one runtime kernel, one benchmark schema, one governance surface, one theorem bridge, and three defended program rows spanning battery energy storage, nuPlan-bounded autonomous-vehicle replay, and healthcare monitoring. The evidence posture is explicit: battery is the witness row, while autonomous vehicles and healthcare monitoring are defended bounded rows. The resulting claim is architectural universality under one runtime contract and one governed three-domain evidence ladder, not flat empirical closure across every conceivable domain.</vt:lpwstr>
  </property>
  <property fmtid="{D5CDD505-2E9C-101B-9397-08002B2CF9AE}" pid="3" name="bibliography">
    <vt:lpwstr/>
  </property>
  <property fmtid="{D5CDD505-2E9C-101B-9397-08002B2CF9AE}" pid="4" name="date">
    <vt:lpwstr/>
  </property>
</Properties>
</file>