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5.png" ContentType="image/png"/>
  <Override PartName="/word/media/rId210.png" ContentType="image/png"/>
  <Override PartName="/word/media/rId11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ORIUS: Observation–Reality Integrity for Universal Safety: A Certificate-Aware Runtime Safety Layer for Physical AI under Degraded Observation</w:t>
      </w:r>
    </w:p>
    <w:p>
      <w:pPr>
        <w:pStyle w:val="Author"/>
      </w:pPr>
      <w:r>
        <w:t xml:space="preserve">Pratik Niroula</w:t>
      </w:r>
    </w:p>
    <w:p>
      <w:pPr>
        <w:pStyle w:val="Date"/>
      </w:pPr>
      <w:r>
        <w:t xml:space="preserve">April 2026</w:t>
      </w:r>
    </w:p>
    <w:p>
      <w:pPr>
        <w:pStyle w:val="FirstParagraph"/>
      </w:pPr>
      <w:r>
        <w:rPr>
          <w:b/>
          <w:bCs/>
        </w:rPr>
        <w:t xml:space="preserve">ORIUS</w:t>
      </w:r>
      <w:r>
        <w:br/>
      </w:r>
      <w:r>
        <w:t xml:space="preserve"> </w:t>
      </w:r>
      <w:r>
        <w:t xml:space="preserve">Observation–Reality Integrity for Universal Safety</w:t>
      </w:r>
      <w:r>
        <w:br/>
      </w:r>
      <w:r>
        <w:t xml:space="preserve"> </w:t>
      </w:r>
      <w:r>
        <w:t xml:space="preserve">Runtime Safety Under Degraded Observation</w:t>
      </w:r>
      <w:r>
        <w:br/>
      </w:r>
      <w:r>
        <w:t xml:space="preserve"> </w:t>
      </w:r>
      <w:r>
        <w:t xml:space="preserve">Dissertation-Style Research Manuscript</w:t>
      </w:r>
      <w:r>
        <w:br/>
      </w:r>
    </w:p>
    <w:p>
      <w:pPr>
        <w:pStyle w:val="BodyText"/>
      </w:pPr>
      <w:r>
        <w:t xml:space="preserve">Pratik Niroula</w:t>
      </w:r>
      <w:r>
        <w:br/>
      </w:r>
      <w:r>
        <w:t xml:space="preserve"> </w:t>
      </w:r>
      <w:r>
        <w:t xml:space="preserve">Minnesota State University, Mankato</w:t>
      </w:r>
      <w:r>
        <w:br/>
      </w:r>
      <w:r>
        <w:t xml:space="preserve"> </w:t>
      </w:r>
      <w:r>
        <w:t xml:space="preserve">CIT Major, Mathematics Minor</w:t>
      </w:r>
      <w:r>
        <w:br/>
      </w:r>
    </w:p>
    <w:p>
      <w:pPr>
        <w:pStyle w:val="BodyText"/>
      </w:pPr>
      <w:r>
        <w:t xml:space="preserve"> </w:t>
      </w:r>
      <w:r>
        <w:rPr>
          <w:i/>
          <w:iCs/>
        </w:rPr>
        <w:t xml:space="preserve">Canonical ORIUS manuscript built from one active thesis surface with tiered</w:t>
      </w:r>
      <w:r>
        <w:rPr>
          <w:i/>
          <w:iCs/>
        </w:rPr>
        <w:t xml:space="preserve"> </w:t>
      </w:r>
      <w:r>
        <w:rPr>
          <w:i/>
          <w:iCs/>
        </w:rPr>
        <w:t xml:space="preserve">cross-domain evidence and manifest-backed claim discipline.</w:t>
      </w:r>
      <w:r>
        <w:br/>
      </w:r>
    </w:p>
    <w:p>
      <w:pPr>
        <w:pStyle w:val="BodyText"/>
      </w:pPr>
      <w:r>
        <w:rPr>
          <w:b/>
          <w:bCs/>
        </w:rPr>
        <w:t xml:space="preserve">ORIUS Safety Principle</w:t>
      </w:r>
      <w:r>
        <w:br/>
      </w:r>
      <w:r>
        <w:rPr>
          <w:i/>
          <w:iCs/>
        </w:rPr>
        <w:t xml:space="preserve">“Physical AI safety is bounded by observation reliability.”</w:t>
      </w:r>
    </w:p>
    <w:p>
      <w:pPr>
        <w:pStyle w:val="BodyText"/>
      </w:pPr>
      <w:r>
        <w:t xml:space="preserve">April 2026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Physical AI systems do not act on reality directly. They act on measurements, filtered</w:t>
      </w:r>
      <w:r>
        <w:t xml:space="preserve"> </w:t>
      </w:r>
      <w:r>
        <w:t xml:space="preserve">state estimates, delayed telemetry, and learned summaries of the world. When that</w:t>
      </w:r>
      <w:r>
        <w:t xml:space="preserve"> </w:t>
      </w:r>
      <w:r>
        <w:t xml:space="preserve">observation surface degrades, an action can remain admissible on the observed state while</w:t>
      </w:r>
      <w:r>
        <w:t xml:space="preserve"> </w:t>
      </w:r>
      <w:r>
        <w:t xml:space="preserve">already being unsafe on the true state. This dissertation treats that discrepancy as an</w:t>
      </w:r>
      <w:r>
        <w:t xml:space="preserve"> </w:t>
      </w:r>
      <w:r>
        <w:t xml:space="preserve">action-semantics safety problem rather than as a prediction problem alone, and names it the</w:t>
      </w:r>
      <w:r>
        <w:t xml:space="preserve"> </w:t>
      </w:r>
      <w:r>
        <w:t xml:space="preserve">observation–action safety gap (OASG).</w:t>
      </w:r>
    </w:p>
    <w:p>
      <w:pPr>
        <w:pStyle w:val="BodyText"/>
      </w:pPr>
      <w:r>
        <w:t xml:space="preserve">Existing lines of work address important parts of this failure mode: conformal uncertainty</w:t>
      </w:r>
      <w:r>
        <w:t xml:space="preserve"> </w:t>
      </w:r>
      <w:r>
        <w:t xml:space="preserve">quantifies predictive spread, safe control constrains actions, runtime assurance supervises</w:t>
      </w:r>
      <w:r>
        <w:t xml:space="preserve"> </w:t>
      </w:r>
      <w:r>
        <w:t xml:space="preserve">release, and fault monitoring detects degraded telemetry. What is still missing is the</w:t>
      </w:r>
      <w:r>
        <w:t xml:space="preserve"> </w:t>
      </w:r>
      <w:r>
        <w:t xml:space="preserve">integrated runtime object that connects those pieces at the moment of physical release.</w:t>
      </w:r>
      <w:r>
        <w:t xml:space="preserve"> </w:t>
      </w:r>
      <w:r>
        <w:t xml:space="preserve">ORIUS, Observation–Reality Integrity for Universal Safety, is proposed as that missing</w:t>
      </w:r>
      <w:r>
        <w:t xml:space="preserve"> </w:t>
      </w:r>
      <w:r>
        <w:t xml:space="preserve">object: a certificate-aware runtime safety layer for physical AI under degraded</w:t>
      </w:r>
      <w:r>
        <w:t xml:space="preserve"> </w:t>
      </w:r>
      <w:r>
        <w:t xml:space="preserve">observation.</w:t>
      </w:r>
    </w:p>
    <w:p>
      <w:pPr>
        <w:pStyle w:val="BodyText"/>
      </w:pPr>
      <w:r>
        <w:t xml:space="preserve">The dissertation develops ORIUS through three implementation-grounded surfaces. First,</w:t>
      </w:r>
      <w:r>
        <w:t xml:space="preserve"> </w:t>
      </w:r>
      <w:r>
        <w:rPr>
          <w:rStyle w:val="VerbatimChar"/>
        </w:rPr>
        <w:t xml:space="preserve">DomainAdapter</w:t>
      </w:r>
      <w:r>
        <w:t xml:space="preserve"> </w:t>
      </w:r>
      <w:r>
        <w:t xml:space="preserve">makes the domain safety predicate, fallback semantics, and repair</w:t>
      </w:r>
      <w:r>
        <w:t xml:space="preserve"> </w:t>
      </w:r>
      <w:r>
        <w:t xml:space="preserve">geometry explicit. Second, a universal benchmark schema turns degraded-observation replay</w:t>
      </w:r>
      <w:r>
        <w:t xml:space="preserve"> </w:t>
      </w:r>
      <w:r>
        <w:t xml:space="preserve">into a common evaluation contract across domains. Third, CertOS provides certificate</w:t>
      </w:r>
      <w:r>
        <w:t xml:space="preserve"> </w:t>
      </w:r>
      <w:r>
        <w:t xml:space="preserve">lifecycle, audit continuity, and release semantics so that repaired action can be governed</w:t>
      </w:r>
      <w:r>
        <w:t xml:space="preserve"> </w:t>
      </w:r>
      <w:r>
        <w:t xml:space="preserve">as a runtime object rather than reported only as controller-side logic. The formal</w:t>
      </w:r>
      <w:r>
        <w:t xml:space="preserve"> </w:t>
      </w:r>
      <w:r>
        <w:t xml:space="preserve">contribution is a domain-agnostic theorem ladder connecting degraded observation,</w:t>
      </w:r>
      <w:r>
        <w:t xml:space="preserve"> </w:t>
      </w:r>
      <w:r>
        <w:t xml:space="preserve">reliability-conditioned uncertainty, repaired action, fallback, and certificate semantics</w:t>
      </w:r>
      <w:r>
        <w:t xml:space="preserve"> </w:t>
      </w:r>
      <w:r>
        <w:t xml:space="preserve">under explicit assumptions. The quantitative safety guarantees are stated as</w:t>
      </w:r>
      <w:r>
        <w:t xml:space="preserve"> </w:t>
      </w:r>
      <w:r>
        <w:t xml:space="preserve">finite-sample</w:t>
      </w:r>
      <w:r>
        <w:t xml:space="preserve"> </w:t>
      </w:r>
      <w:r>
        <w:rPr>
          <w:i/>
          <w:iCs/>
        </w:rPr>
        <w:t xml:space="preserve">marginal</w:t>
      </w:r>
      <w:r>
        <w:t xml:space="preserve"> </w:t>
      </w:r>
      <w:r>
        <w:t xml:space="preserve">coverage bounds rather than as per-observation</w:t>
      </w:r>
      <w:r>
        <w:t xml:space="preserve"> </w:t>
      </w:r>
      <w:r>
        <w:t xml:space="preserve">conditional guarantees: they control aggregate true-state risk over the joint</w:t>
      </w:r>
      <w:r>
        <w:t xml:space="preserve"> </w:t>
      </w:r>
      <w:r>
        <w:t xml:space="preserve">distribution of observations, faults, and calibration residuals.</w:t>
      </w:r>
    </w:p>
    <w:p>
      <w:pPr>
        <w:pStyle w:val="BodyText"/>
      </w:pPr>
      <w:r>
        <w:t xml:space="preserve">Empirically, the dissertation establishes one deep witness row and two bounded promoted</w:t>
      </w:r>
      <w:r>
        <w:t xml:space="preserve"> </w:t>
      </w:r>
      <w:r>
        <w:t xml:space="preserve">rows without changing what ORIUS means at the release boundary. Battery provides the</w:t>
      </w:r>
      <w:r>
        <w:t xml:space="preserve"> </w:t>
      </w:r>
      <w:r>
        <w:t xml:space="preserve">strongest theorem-to-runtime closure. The autonomous-vehicle row is bounded to completed</w:t>
      </w:r>
      <w:r>
        <w:t xml:space="preserve"> </w:t>
      </w:r>
      <w:r>
        <w:t xml:space="preserve">nuPlan replay artifacts under the TTC plus predictive-entry-barrier contract. Healthcare</w:t>
      </w:r>
      <w:r>
        <w:t xml:space="preserve"> </w:t>
      </w:r>
      <w:r>
        <w:t xml:space="preserve">is bounded to retrospective MIMIC-backed monitoring and alert-release semantics. The</w:t>
      </w:r>
      <w:r>
        <w:t xml:space="preserve"> </w:t>
      </w:r>
      <w:r>
        <w:t xml:space="preserve">result is a thesis that is universal in architecture and tiered in evidence. The manuscript</w:t>
      </w:r>
      <w:r>
        <w:t xml:space="preserve"> </w:t>
      </w:r>
      <w:r>
        <w:t xml:space="preserve">therefore separates what is proved, what is validated, and what remains outside the current</w:t>
      </w:r>
      <w:r>
        <w:t xml:space="preserve"> </w:t>
      </w:r>
      <w:r>
        <w:t xml:space="preserve">public claim surface. That separation is enforced not only by prose but by a claim-locked</w:t>
      </w:r>
      <w:r>
        <w:t xml:space="preserve"> </w:t>
      </w:r>
      <w:r>
        <w:t xml:space="preserve">publication surface in which runtime and governance tables, theorem audits, and</w:t>
      </w:r>
      <w:r>
        <w:t xml:space="preserve"> </w:t>
      </w:r>
      <w:r>
        <w:t xml:space="preserve">manifest-backed figures govern what the dissertation is allowed to say.</w:t>
      </w:r>
    </w:p>
    <w:bookmarkEnd w:id="9"/>
    <w:bookmarkStart w:id="10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This thesis was assembled as a solo research project around one question: how should a</w:t>
      </w:r>
      <w:r>
        <w:t xml:space="preserve"> </w:t>
      </w:r>
      <w:r>
        <w:t xml:space="preserve">physical-AI system behave when the observation channel is no longer trustworthy, but the</w:t>
      </w:r>
      <w:r>
        <w:t xml:space="preserve"> </w:t>
      </w:r>
      <w:r>
        <w:t xml:space="preserve">consequences of action remain physical and irreversible? ORIUS was built to answer that</w:t>
      </w:r>
      <w:r>
        <w:t xml:space="preserve"> </w:t>
      </w:r>
      <w:r>
        <w:t xml:space="preserve">question with a runtime contract rather than a domain-specific controller.</w:t>
      </w:r>
    </w:p>
    <w:p>
      <w:pPr>
        <w:pStyle w:val="BodyText"/>
      </w:pPr>
      <w:r>
        <w:t xml:space="preserve">The deepest current evidence still comes from the battery witness row because it offers the</w:t>
      </w:r>
      <w:r>
        <w:t xml:space="preserve"> </w:t>
      </w:r>
      <w:r>
        <w:t xml:space="preserve">cleanest theorem-to-code-to-artifact surface in the repository. The broader contribution of</w:t>
      </w:r>
      <w:r>
        <w:t xml:space="preserve"> </w:t>
      </w:r>
      <w:r>
        <w:t xml:space="preserve">the book, however, depends on carrying that safety grammar across bounded nuPlan AV replay</w:t>
      </w:r>
      <w:r>
        <w:t xml:space="preserve"> </w:t>
      </w:r>
      <w:r>
        <w:t xml:space="preserve">and retrospective healthcare monitoring without letting the prose outrun the evidence.</w:t>
      </w:r>
    </w:p>
    <w:p>
      <w:pPr>
        <w:pStyle w:val="BodyText"/>
      </w:pPr>
      <w:r>
        <w:t xml:space="preserve">The open-source systems, datasets, and research communities behind the methods cited in this</w:t>
      </w:r>
      <w:r>
        <w:t xml:space="preserve"> </w:t>
      </w:r>
      <w:r>
        <w:t xml:space="preserve">book made that synthesis possible. Their work is visible throughout the bibliography, the</w:t>
      </w:r>
      <w:r>
        <w:t xml:space="preserve"> </w:t>
      </w:r>
      <w:r>
        <w:t xml:space="preserve">artifact index, and the reviewer-facing appendices that helped harden the final manuscript.</w:t>
      </w:r>
    </w:p>
    <w:bookmarkEnd w:id="10"/>
    <w:bookmarkStart w:id="48" w:name="problem-principle-and-gap"/>
    <w:p>
      <w:pPr>
        <w:pStyle w:val="Heading1"/>
      </w:pPr>
      <w:r>
        <w:t xml:space="preserve">Problem, Principle, and Gap</w:t>
      </w:r>
    </w:p>
    <w:bookmarkStart w:id="24" w:name="ch:introduction-thesis-claims"/>
    <w:p>
      <w:pPr>
        <w:pStyle w:val="Heading2"/>
      </w:pPr>
      <w:r>
        <w:t xml:space="preserve">Introduction and Thesis Claims</w:t>
      </w:r>
    </w:p>
    <w:p>
      <w:pPr>
        <w:pStyle w:val="FirstParagraph"/>
      </w:pPr>
      <w:r>
        <w:t xml:space="preserve">A battery dispatch stack can continue releasing power while feeder telemetry has already gone</w:t>
      </w:r>
      <w:r>
        <w:t xml:space="preserve"> </w:t>
      </w:r>
      <w:r>
        <w:t xml:space="preserve">stale enough to hide a true state-of-charge or network violation. A vehicle controller can</w:t>
      </w:r>
      <w:r>
        <w:t xml:space="preserve"> </w:t>
      </w:r>
      <w:r>
        <w:t xml:space="preserve">preserve lane-centering behavior even after the scene estimate has fallen behind the physical</w:t>
      </w:r>
      <w:r>
        <w:t xml:space="preserve"> </w:t>
      </w:r>
      <w:r>
        <w:t xml:space="preserve">traffic geometry. A bedside monitoring policy can remain internally consistent while its input</w:t>
      </w:r>
      <w:r>
        <w:t xml:space="preserve"> </w:t>
      </w:r>
      <w:r>
        <w:t xml:space="preserve">stream smooths away the very transition that should have triggered intervention. These systems</w:t>
      </w:r>
      <w:r>
        <w:t xml:space="preserve"> </w:t>
      </w:r>
      <w:r>
        <w:t xml:space="preserve">look different at the level of plant dynamics and domain semantics, but they share one hidden</w:t>
      </w:r>
      <w:r>
        <w:t xml:space="preserve"> </w:t>
      </w:r>
      <w:r>
        <w:t xml:space="preserve">law:</w:t>
      </w:r>
      <w:r>
        <w:t xml:space="preserve"> </w:t>
      </w:r>
      <w:r>
        <w:rPr>
          <w:i/>
          <w:iCs/>
        </w:rPr>
        <w:t xml:space="preserve">physical AI acts on observations, not on reality</w:t>
      </w:r>
      <w:r>
        <w:t xml:space="preserve">. Once the observation surface</w:t>
      </w:r>
      <w:r>
        <w:t xml:space="preserve"> </w:t>
      </w:r>
      <w:r>
        <w:t xml:space="preserve">degrades, a system can continue to compute coherent actions while the physical basis for those</w:t>
      </w:r>
      <w:r>
        <w:t xml:space="preserve"> </w:t>
      </w:r>
      <w:r>
        <w:t xml:space="preserve">actions has already failed.</w:t>
      </w:r>
    </w:p>
    <w:p>
      <w:pPr>
        <w:pStyle w:val="BodyText"/>
      </w:pPr>
      <w:r>
        <w:t xml:space="preserve">This dissertation is organized around that release-boundary hazard. Its central claim is that</w:t>
      </w:r>
      <w:r>
        <w:t xml:space="preserve"> </w:t>
      </w:r>
      <w:r>
        <w:t xml:space="preserve">physical-AI safety under degraded observation requires a dedicated runtime layer between nominal</w:t>
      </w:r>
      <w:r>
        <w:t xml:space="preserve"> </w:t>
      </w:r>
      <w:r>
        <w:t xml:space="preserve">intelligence and actuation, and that this layer can be expressed through one reusable grammar:</w:t>
      </w:r>
      <w:r>
        <w:t xml:space="preserve"> </w:t>
      </w:r>
      <w:r>
        <w:rPr>
          <w:i/>
          <w:iCs/>
        </w:rPr>
        <w:t xml:space="preserve">Detect</w:t>
      </w:r>
      <w:r>
        <w:t xml:space="preserve">,</w:t>
      </w:r>
      <w:r>
        <w:t xml:space="preserve"> </w:t>
      </w:r>
      <w:r>
        <w:rPr>
          <w:i/>
          <w:iCs/>
        </w:rPr>
        <w:t xml:space="preserve">Calibrate</w:t>
      </w:r>
      <w:r>
        <w:t xml:space="preserve">,</w:t>
      </w:r>
      <w:r>
        <w:t xml:space="preserve"> </w:t>
      </w:r>
      <w:r>
        <w:rPr>
          <w:i/>
          <w:iCs/>
        </w:rPr>
        <w:t xml:space="preserve">Constrain</w:t>
      </w:r>
      <w:r>
        <w:t xml:space="preserve">,</w:t>
      </w:r>
      <w:r>
        <w:t xml:space="preserve"> </w:t>
      </w:r>
      <w:r>
        <w:rPr>
          <w:i/>
          <w:iCs/>
        </w:rPr>
        <w:t xml:space="preserve">Shield</w:t>
      </w:r>
      <w:r>
        <w:t xml:space="preserve">, and</w:t>
      </w:r>
      <w:r>
        <w:t xml:space="preserve"> </w:t>
      </w:r>
      <w:r>
        <w:rPr>
          <w:i/>
          <w:iCs/>
        </w:rPr>
        <w:t xml:space="preserve">Certify</w:t>
      </w:r>
      <w:r>
        <w:t xml:space="preserve">. ORIUS is</w:t>
      </w:r>
      <w:r>
        <w:t xml:space="preserve"> </w:t>
      </w:r>
      <w:r>
        <w:t xml:space="preserve">the implemented form of that grammar. It is not proposed as a universal controller, not as a</w:t>
      </w:r>
      <w:r>
        <w:t xml:space="preserve"> </w:t>
      </w:r>
      <w:r>
        <w:t xml:space="preserve">replacement for domain-specific estimation or control, and not as a blanket claim that every</w:t>
      </w:r>
      <w:r>
        <w:t xml:space="preserve"> </w:t>
      </w:r>
      <w:r>
        <w:t xml:space="preserve">supported domain has already reached equal empirical maturity. It is proposed as the right</w:t>
      </w:r>
      <w:r>
        <w:t xml:space="preserve"> </w:t>
      </w:r>
      <w:r>
        <w:t xml:space="preserve">runtime object for deciding what action remains admissible once observation trust degrades.</w:t>
      </w:r>
    </w:p>
    <w:bookmarkStart w:id="11" w:name="the-hidden-law-of-physical-ai"/>
    <w:p>
      <w:pPr>
        <w:pStyle w:val="Heading3"/>
      </w:pPr>
      <w:r>
        <w:t xml:space="preserve">The hidden law of physical AI</w:t>
      </w:r>
    </w:p>
    <w:p>
      <w:pPr>
        <w:pStyle w:val="FirstParagraph"/>
      </w:pPr>
      <w:r>
        <w:t xml:space="preserve">Physical AI systems never act on truth directly. They act on packets, sensor fusion products,</w:t>
      </w:r>
      <w:r>
        <w:t xml:space="preserve"> </w:t>
      </w:r>
      <w:r>
        <w:t xml:space="preserve">state estimators, learned summaries, and communication layers that compress the world into a</w:t>
      </w:r>
      <w:r>
        <w:t xml:space="preserve"> </w:t>
      </w:r>
      <w:r>
        <w:t xml:space="preserve">runtime observation object. That compression is unavoidable. It is what allows downstream</w:t>
      </w:r>
      <w:r>
        <w:t xml:space="preserve"> </w:t>
      </w:r>
      <w:r>
        <w:t xml:space="preserve">forecasting, planning, optimization, and control to happen at all. But it also creates a</w:t>
      </w:r>
      <w:r>
        <w:t xml:space="preserve"> </w:t>
      </w:r>
      <w:r>
        <w:t xml:space="preserve">standing safety debt: the legality of an action is usually evaluated on the observed state even</w:t>
      </w:r>
      <w:r>
        <w:t xml:space="preserve"> </w:t>
      </w:r>
      <w:r>
        <w:t xml:space="preserve">though the true physical state may already have diverged.</w:t>
      </w:r>
    </w:p>
    <w:p>
      <w:pPr>
        <w:pStyle w:val="BodyText"/>
      </w:pPr>
      <w:r>
        <w:t xml:space="preserve">The dissertation therefore takes a position that differs from the standard performance-first</w:t>
      </w:r>
      <w:r>
        <w:t xml:space="preserve"> </w:t>
      </w:r>
      <w:r>
        <w:t xml:space="preserve">framing. The deepest safety problem is not only forecast error, perception error, or nominal</w:t>
      </w:r>
      <w:r>
        <w:t xml:space="preserve"> </w:t>
      </w:r>
      <w:r>
        <w:t xml:space="preserve">control error. It is the possibility that a system remains computationally coherent while its</w:t>
      </w:r>
      <w:r>
        <w:t xml:space="preserve"> </w:t>
      </w:r>
      <w:r>
        <w:t xml:space="preserve">observation surface is no longer trustworthy enough to justify physical release. In ORIUS, that</w:t>
      </w:r>
      <w:r>
        <w:t xml:space="preserve"> </w:t>
      </w:r>
      <w:r>
        <w:t xml:space="preserve">discrepancy is named the</w:t>
      </w:r>
      <w:r>
        <w:t xml:space="preserve"> </w:t>
      </w:r>
      <w:r>
        <w:rPr>
          <w:i/>
          <w:iCs/>
        </w:rPr>
        <w:t xml:space="preserve">observation–action safety gap</w:t>
      </w:r>
      <w:r>
        <w:t xml:space="preserve"> </w:t>
      </w:r>
      <w:r>
        <w:t xml:space="preserve">(OASG). The OASG is the primary</w:t>
      </w:r>
      <w:r>
        <w:t xml:space="preserve"> </w:t>
      </w:r>
      <w:r>
        <w:t xml:space="preserve">scientific object because it marks the exact point at which internally legal behavior can become</w:t>
      </w:r>
      <w:r>
        <w:t xml:space="preserve"> </w:t>
      </w:r>
      <w:r>
        <w:t xml:space="preserve">physically unsafe without obvious software failure.</w:t>
      </w:r>
    </w:p>
    <w:p>
      <w:pPr>
        <w:pStyle w:val="BodyText"/>
      </w:pPr>
      <w:r>
        <w:t xml:space="preserve">The flagship novelty sentence used throughout the defense package is:</w:t>
      </w:r>
    </w:p>
    <w:p>
      <w:pPr>
        <w:pStyle w:val="BlockText"/>
      </w:pPr>
      <w:r>
        <w:rPr>
          <w:i/>
          <w:iCs/>
        </w:rPr>
        <w:t xml:space="preserve">ORIUS identifies OASG as the degraded-observation release hazard and provides a reliability-aware runtime safety layer across Battery, AV, and Healthcare.</w:t>
      </w:r>
    </w:p>
    <w:p>
      <w:pPr>
        <w:pStyle w:val="FirstParagraph"/>
      </w:pPr>
      <w:r>
        <w:t xml:space="preserve">The novelty claim is architectural and runtime-semantic: ORIUS does not claim a new</w:t>
      </w:r>
      <w:r>
        <w:t xml:space="preserve"> </w:t>
      </w:r>
      <w:r>
        <w:t xml:space="preserve">conformal method, a new robust-optimization primitive, a new universal controller, or a</w:t>
      </w:r>
      <w:r>
        <w:t xml:space="preserve"> </w:t>
      </w:r>
      <w:r>
        <w:t xml:space="preserve">new conditional-coverage theorem.</w:t>
      </w:r>
    </w:p>
    <w:bookmarkEnd w:id="11"/>
    <w:bookmarkStart w:id="12" w:name="X3154af866b02cca92fa600d950bfef49de88b29"/>
    <w:p>
      <w:pPr>
        <w:pStyle w:val="Heading3"/>
      </w:pPr>
      <w:r>
        <w:t xml:space="preserve">Why degraded observation is a release-boundary problem</w:t>
      </w:r>
    </w:p>
    <w:p>
      <w:pPr>
        <w:pStyle w:val="FirstParagraph"/>
      </w:pPr>
      <w:r>
        <w:t xml:space="preserve">Most deployed stacks already include pieces of the response: anomaly scores, confidence</w:t>
      </w:r>
      <w:r>
        <w:t xml:space="preserve"> </w:t>
      </w:r>
      <w:r>
        <w:t xml:space="preserve">thresholds, conservative margins, or fallback modes. What they often lack is a single runtime</w:t>
      </w:r>
      <w:r>
        <w:t xml:space="preserve"> </w:t>
      </w:r>
      <w:r>
        <w:t xml:space="preserve">discipline that ties those pieces together. Detection alone is not enough, because a system that</w:t>
      </w:r>
      <w:r>
        <w:t xml:space="preserve"> </w:t>
      </w:r>
      <w:r>
        <w:t xml:space="preserve">detects degraded telemetry must still decide how uncertainty changes. Wider uncertainty is not</w:t>
      </w:r>
      <w:r>
        <w:t xml:space="preserve"> </w:t>
      </w:r>
      <w:r>
        <w:t xml:space="preserve">enough, because the admissible action set must be recomputed under that widened state set.</w:t>
      </w:r>
      <w:r>
        <w:t xml:space="preserve"> </w:t>
      </w:r>
      <w:r>
        <w:t xml:space="preserve">Recomputed admissibility is not enough, because unsafe candidate actions must be repaired or</w:t>
      </w:r>
      <w:r>
        <w:t xml:space="preserve"> </w:t>
      </w:r>
      <w:r>
        <w:t xml:space="preserve">replaced before release. And none of that is enough if the runtime cannot later explain why an</w:t>
      </w:r>
      <w:r>
        <w:t xml:space="preserve"> </w:t>
      </w:r>
      <w:r>
        <w:t xml:space="preserve">action was allowed, for how long, and under which fallback or certificate state.</w:t>
      </w:r>
    </w:p>
    <w:p>
      <w:pPr>
        <w:pStyle w:val="BodyText"/>
      </w:pPr>
      <w:r>
        <w:t xml:space="preserve">ORIUS is organized around that full loop. The contribution of the dissertation is therefore not</w:t>
      </w:r>
      <w:r>
        <w:t xml:space="preserve"> </w:t>
      </w:r>
      <w:r>
        <w:t xml:space="preserve">“better forecasting”</w:t>
      </w:r>
      <w:r>
        <w:t xml:space="preserve"> </w:t>
      </w:r>
      <w:r>
        <w:t xml:space="preserve">and not</w:t>
      </w:r>
      <w:r>
        <w:t xml:space="preserve"> </w:t>
      </w:r>
      <w:r>
        <w:t xml:space="preserve">“better control”</w:t>
      </w:r>
      <w:r>
        <w:t xml:space="preserve"> </w:t>
      </w:r>
      <w:r>
        <w:t xml:space="preserve">in isolation. It is a runtime safety layer that</w:t>
      </w:r>
      <w:r>
        <w:t xml:space="preserve"> </w:t>
      </w:r>
      <w:r>
        <w:t xml:space="preserve">accepts the reality of degraded observation and then turns that reality into governed release</w:t>
      </w:r>
      <w:r>
        <w:t xml:space="preserve"> </w:t>
      </w:r>
      <w:r>
        <w:t xml:space="preserve">semantics. This is why the central ORIUS question is not</w:t>
      </w:r>
      <w:r>
        <w:t xml:space="preserve"> </w:t>
      </w:r>
      <w:r>
        <w:t xml:space="preserve">“what prediction model is best?”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action remains safe to release, with what uncertainty, with what repair, and under</w:t>
      </w:r>
      <w:r>
        <w:t xml:space="preserve"> </w:t>
      </w:r>
      <w:r>
        <w:t xml:space="preserve">what certificate, once observation quality degrades?”</w:t>
      </w:r>
    </w:p>
    <w:bookmarkEnd w:id="12"/>
    <w:bookmarkStart w:id="17" w:name="thesis-claim"/>
    <w:p>
      <w:pPr>
        <w:pStyle w:val="Heading3"/>
      </w:pPr>
      <w:r>
        <w:t xml:space="preserve">Thesis claim</w:t>
      </w:r>
    </w:p>
    <w:p>
      <w:pPr>
        <w:pStyle w:val="FirstParagraph"/>
      </w:pPr>
      <w:r>
        <w:t xml:space="preserve">The thesis claim can be stated compactly:</w:t>
      </w:r>
    </w:p>
    <w:p>
      <w:pPr>
        <w:pStyle w:val="BlockText"/>
      </w:pPr>
      <w:r>
        <w:rPr>
          <w:i/>
          <w:iCs/>
        </w:rPr>
        <w:t xml:space="preserve">Physical AI under degraded observation requires a certificate-aware runtime safety layer</w:t>
      </w:r>
      <w:r>
        <w:rPr>
          <w:i/>
          <w:iCs/>
        </w:rPr>
        <w:t xml:space="preserve"> </w:t>
      </w:r>
      <w:r>
        <w:rPr>
          <w:i/>
          <w:iCs/>
        </w:rPr>
        <w:t xml:space="preserve">that mediates between nominal intelligence and physical release; that layer can be expressed</w:t>
      </w:r>
      <w:r>
        <w:rPr>
          <w:i/>
          <w:iCs/>
        </w:rPr>
        <w:t xml:space="preserve"> </w:t>
      </w:r>
      <w:r>
        <w:rPr>
          <w:i/>
          <w:iCs/>
        </w:rPr>
        <w:t xml:space="preserve">through one reusable contract of reliability assessment, uncertainty inflation, admissible-set</w:t>
      </w:r>
      <w:r>
        <w:rPr>
          <w:i/>
          <w:iCs/>
        </w:rPr>
        <w:t xml:space="preserve"> </w:t>
      </w:r>
      <w:r>
        <w:rPr>
          <w:i/>
          <w:iCs/>
        </w:rPr>
        <w:t xml:space="preserve">tightening, repaired or fallback action, and governed certificate emission.</w:t>
      </w:r>
    </w:p>
    <w:p>
      <w:pPr>
        <w:pStyle w:val="FirstParagraph"/>
      </w:pPr>
      <w:r>
        <w:t xml:space="preserve">ORIUS operationalizes that claim through a typed</w:t>
      </w:r>
      <w:r>
        <w:t xml:space="preserve"> </w:t>
      </w:r>
      <w:r>
        <w:t xml:space="preserve">Detect–Calibrate–Constrain–Shield–Certify kernel.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Detect</w:t>
      </w:r>
      <w:r>
        <w:t xml:space="preserve"> </w:t>
      </w:r>
      <w:r>
        <w:t xml:space="preserve">scores the reliability of the observation channel.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Calibrate</w:t>
      </w:r>
      <w:r>
        <w:t xml:space="preserve"> </w:t>
      </w:r>
      <w:r>
        <w:t xml:space="preserve">widens the observation-consistent state set as reliability falls.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Constrain</w:t>
      </w:r>
      <w:r>
        <w:t xml:space="preserve"> </w:t>
      </w:r>
      <w:r>
        <w:t xml:space="preserve">recomputes admissible action under that widened uncertainty surface.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Shield</w:t>
      </w:r>
      <w:r>
        <w:t xml:space="preserve"> </w:t>
      </w:r>
      <w:r>
        <w:t xml:space="preserve">repairs unsafe candidate action or escalates to a fallback policy.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Certify</w:t>
      </w:r>
      <w:r>
        <w:t xml:space="preserve"> </w:t>
      </w:r>
      <w:r>
        <w:t xml:space="preserve">records why release remains admissible, for how long, and under what</w:t>
      </w:r>
      <w:r>
        <w:t xml:space="preserve"> </w:t>
      </w:r>
      <w:r>
        <w:t xml:space="preserve">governance state.</w:t>
      </w:r>
    </w:p>
    <w:p>
      <w:pPr>
        <w:pStyle w:val="FirstParagraph"/>
      </w:pPr>
      <w:r>
        <w:t xml:space="preserve">The key point is architectural. ORIUS is written as a post-nominal layer. It wraps inherited</w:t>
      </w:r>
      <w:r>
        <w:t xml:space="preserve"> </w:t>
      </w:r>
      <w:r>
        <w:t xml:space="preserve">domain controllers rather than assuming they can all be redesigned from first principles. That</w:t>
      </w:r>
      <w:r>
        <w:t xml:space="preserve"> </w:t>
      </w:r>
      <w:r>
        <w:t xml:space="preserve">choice is what makes the framework portable across the active Battery, AV, and Healthcare lane</w:t>
      </w:r>
      <w:r>
        <w:t xml:space="preserve"> </w:t>
      </w:r>
      <w:r>
        <w:t xml:space="preserve">without pretending that those domains share one plant model or one optimal nominal controller.</w:t>
      </w:r>
    </w:p>
    <w:bookmarkStart w:id="16" w:name="fig:intro-universal-framework"/>
    <w:p>
      <w:pPr>
        <w:pStyle w:val="CaptionedFigure"/>
      </w:pPr>
      <w:r>
        <w:drawing>
          <wp:inline>
            <wp:extent cx="4800600" cy="302997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_universal_framework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2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ORIUS as a universal runtime safety layer between nominal intelligence and physical</w:t>
      </w:r>
      <w:r>
        <w:t xml:space="preserve"> </w:t>
      </w:r>
      <w:r>
        <w:t xml:space="preserve">release. The five-stage kernel recurs across domains even though the domains do not share a</w:t>
      </w:r>
      <w:r>
        <w:t xml:space="preserve"> </w:t>
      </w:r>
      <w:r>
        <w:t xml:space="preserve">plant model, nominal controller family, or optimization objective.</w:t>
      </w:r>
    </w:p>
    <w:bookmarkEnd w:id="16"/>
    <w:bookmarkEnd w:id="17"/>
    <w:bookmarkStart w:id="18" w:name="Xf3b3c4e4a48b0569b2c6b4c6b62e54f1ad65247"/>
    <w:p>
      <w:pPr>
        <w:pStyle w:val="Heading3"/>
      </w:pPr>
      <w:r>
        <w:t xml:space="preserve">Why this dissertation is a monograph, not a stitched paper bundle</w:t>
      </w:r>
    </w:p>
    <w:p>
      <w:pPr>
        <w:pStyle w:val="FirstParagraph"/>
      </w:pPr>
      <w:r>
        <w:t xml:space="preserve">The argument of the dissertation is structurally single-threaded. It begins with one hidden</w:t>
      </w:r>
      <w:r>
        <w:t xml:space="preserve"> </w:t>
      </w:r>
      <w:r>
        <w:t xml:space="preserve">hazard, develops one runtime object, formalizes one theorem ladder, measures one benchmark</w:t>
      </w:r>
      <w:r>
        <w:t xml:space="preserve"> </w:t>
      </w:r>
      <w:r>
        <w:t xml:space="preserve">contract, and then asks how far that same safety grammar travels across multiple domains.</w:t>
      </w:r>
      <w:r>
        <w:t xml:space="preserve"> </w:t>
      </w:r>
      <w:r>
        <w:t xml:space="preserve">Because the argument is unified, the correct dissertation form is a doctrine-driven monograph</w:t>
      </w:r>
      <w:r>
        <w:t xml:space="preserve"> </w:t>
      </w:r>
      <w:r>
        <w:t xml:space="preserve">rather than a stitched collection of papers. Battery remains the deepest witness row, but it is</w:t>
      </w:r>
      <w:r>
        <w:t xml:space="preserve"> </w:t>
      </w:r>
      <w:r>
        <w:t xml:space="preserve">not the identity of the thesis. Its role is to provide the deepest theorem-to-code-to-artifact</w:t>
      </w:r>
      <w:r>
        <w:t xml:space="preserve"> </w:t>
      </w:r>
      <w:r>
        <w:t xml:space="preserve">surface against which the broader universal claim can be calibrated.</w:t>
      </w:r>
    </w:p>
    <w:p>
      <w:pPr>
        <w:pStyle w:val="BodyText"/>
      </w:pPr>
      <w:r>
        <w:t xml:space="preserve">Three implementation-grounded objects make that monograph possible. First, the</w:t>
      </w:r>
      <w:r>
        <w:t xml:space="preserve"> </w:t>
      </w:r>
      <w:r>
        <w:rPr>
          <w:rStyle w:val="VerbatimChar"/>
        </w:rPr>
        <w:t xml:space="preserve">DomainAdapter</w:t>
      </w:r>
      <w:r>
        <w:t xml:space="preserve"> </w:t>
      </w:r>
      <w:r>
        <w:t xml:space="preserve">contract fixes what every domain must expose: telemetry semantics,</w:t>
      </w:r>
      <w:r>
        <w:t xml:space="preserve"> </w:t>
      </w:r>
      <w:r>
        <w:t xml:space="preserve">constraint predicates, repair hooks, and certificate payloads. Second, ORIUS-Bench fixes the</w:t>
      </w:r>
      <w:r>
        <w:t xml:space="preserve"> </w:t>
      </w:r>
      <w:r>
        <w:t xml:space="preserve">dual-trajectory replay contract through which observed safety and true-state safety can be</w:t>
      </w:r>
      <w:r>
        <w:t xml:space="preserve"> </w:t>
      </w:r>
      <w:r>
        <w:t xml:space="preserve">compared. Third, CertOS turns repaired action into a governed release object through lifecycle</w:t>
      </w:r>
      <w:r>
        <w:t xml:space="preserve"> </w:t>
      </w:r>
      <w:r>
        <w:t xml:space="preserve">transitions, certificate horizons, and audit records. Taken together, those objects let the</w:t>
      </w:r>
      <w:r>
        <w:t xml:space="preserve"> </w:t>
      </w:r>
      <w:r>
        <w:t xml:space="preserve">dissertation defend a reusable runtime layer rather than a loose set of case studies.</w:t>
      </w:r>
    </w:p>
    <w:bookmarkEnd w:id="18"/>
    <w:bookmarkStart w:id="19" w:name="main-contributions"/>
    <w:p>
      <w:pPr>
        <w:pStyle w:val="Heading3"/>
      </w:pPr>
      <w:r>
        <w:t xml:space="preserve">Main contributions</w:t>
      </w:r>
    </w:p>
    <w:p>
      <w:pPr>
        <w:pStyle w:val="FirstParagraph"/>
      </w:pPr>
      <w:r>
        <w:t xml:space="preserve">The dissertation makes four contributions.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problem contribution.</w:t>
      </w:r>
      <w:r>
        <w:t xml:space="preserve"> </w:t>
      </w:r>
      <w:r>
        <w:t xml:space="preserve">It defines degraded observation as a universal</w:t>
      </w:r>
      <w:r>
        <w:t xml:space="preserve"> </w:t>
      </w:r>
      <w:r>
        <w:t xml:space="preserve">release-boundary hazard for physical AI through the observation–action safety gap.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systems contribution.</w:t>
      </w:r>
      <w:r>
        <w:t xml:space="preserve"> </w:t>
      </w:r>
      <w:r>
        <w:t xml:space="preserve">It presents ORIUS as a typed runtime layer that</w:t>
      </w:r>
      <w:r>
        <w:t xml:space="preserve"> </w:t>
      </w:r>
      <w:r>
        <w:t xml:space="preserve">connects reliability assessment, uncertainty inflation, safe-set tightening, repair or</w:t>
      </w:r>
      <w:r>
        <w:t xml:space="preserve"> </w:t>
      </w:r>
      <w:r>
        <w:t xml:space="preserve">fallback, and governed certificate emission.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formal contribution.</w:t>
      </w:r>
      <w:r>
        <w:t xml:space="preserve"> </w:t>
      </w:r>
      <w:r>
        <w:t xml:space="preserve">It develops a theorem bridge from reliability-aware</w:t>
      </w:r>
      <w:r>
        <w:t xml:space="preserve"> </w:t>
      </w:r>
      <w:r>
        <w:t xml:space="preserve">uncertainty and repaired action to bounded reduction in true-state safety violation under</w:t>
      </w:r>
      <w:r>
        <w:t xml:space="preserve"> </w:t>
      </w:r>
      <w:r>
        <w:t xml:space="preserve">explicit assumptions.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An empirical contribution.</w:t>
      </w:r>
      <w:r>
        <w:t xml:space="preserve"> </w:t>
      </w:r>
      <w:r>
        <w:t xml:space="preserve">It assembles a claim-locked benchmark and</w:t>
      </w:r>
      <w:r>
        <w:t xml:space="preserve"> </w:t>
      </w:r>
      <w:r>
        <w:t xml:space="preserve">multi-domain evidence program that distinguishes a deepest witness row from defended bounded</w:t>
      </w:r>
      <w:r>
        <w:t xml:space="preserve"> </w:t>
      </w:r>
      <w:r>
        <w:t xml:space="preserve">peers, portability rows, and explicitly gated rows rather than flattening them into a false</w:t>
      </w:r>
      <w:r>
        <w:t xml:space="preserve"> </w:t>
      </w:r>
      <w:r>
        <w:t xml:space="preserve">equal-maturity claim.</w:t>
      </w:r>
    </w:p>
    <w:bookmarkEnd w:id="19"/>
    <w:bookmarkStart w:id="20" w:name="claim-discipline"/>
    <w:p>
      <w:pPr>
        <w:pStyle w:val="Heading3"/>
      </w:pPr>
      <w:r>
        <w:t xml:space="preserve">Claim discipline</w:t>
      </w:r>
    </w:p>
    <w:p>
      <w:pPr>
        <w:pStyle w:val="FirstParagraph"/>
      </w:pPr>
      <w:r>
        <w:t xml:space="preserve">The dissertation uses three claim classes and keeps them visibly separate from the first chapter</w:t>
      </w:r>
      <w:r>
        <w:t xml:space="preserve"> </w:t>
      </w:r>
      <w:r>
        <w:t xml:space="preserve">forward.</w:t>
      </w:r>
    </w:p>
    <w:p>
      <w:pPr>
        <w:pStyle w:val="DefinitionTerm"/>
      </w:pPr>
      <w:r>
        <w:t xml:space="preserve">Proved claims</w:t>
      </w:r>
    </w:p>
    <w:p>
      <w:pPr>
        <w:pStyle w:val="Definition"/>
      </w:pPr>
      <w:r>
        <w:t xml:space="preserve">are theorem-grade statements under explicit assumptions about degraded</w:t>
      </w:r>
      <w:r>
        <w:t xml:space="preserve"> </w:t>
      </w:r>
      <w:r>
        <w:t xml:space="preserve">observation, uncertainty inflation, repair, and bounded violation reduction.</w:t>
      </w:r>
    </w:p>
    <w:p>
      <w:pPr>
        <w:pStyle w:val="DefinitionTerm"/>
      </w:pPr>
      <w:r>
        <w:t xml:space="preserve">Validated claims</w:t>
      </w:r>
    </w:p>
    <w:p>
      <w:pPr>
        <w:pStyle w:val="Definition"/>
      </w:pPr>
      <w:r>
        <w:t xml:space="preserve">are empirical statements tied to replayable artifacts, runtime traces,</w:t>
      </w:r>
      <w:r>
        <w:t xml:space="preserve"> </w:t>
      </w:r>
      <w:r>
        <w:t xml:space="preserve">and governed benchmark outputs.</w:t>
      </w:r>
    </w:p>
    <w:p>
      <w:pPr>
        <w:pStyle w:val="DefinitionTerm"/>
      </w:pPr>
      <w:r>
        <w:t xml:space="preserve">Roadmap claims</w:t>
      </w:r>
    </w:p>
    <w:p>
      <w:pPr>
        <w:pStyle w:val="Definition"/>
      </w:pPr>
      <w:r>
        <w:t xml:space="preserve">are structurally motivated extensions that are intentionally not promoted</w:t>
      </w:r>
      <w:r>
        <w:t xml:space="preserve"> </w:t>
      </w:r>
      <w:r>
        <w:t xml:space="preserve">as defended evidence.</w:t>
      </w:r>
    </w:p>
    <w:p>
      <w:pPr>
        <w:pStyle w:val="FirstParagraph"/>
      </w:pPr>
      <w:r>
        <w:t xml:space="preserve">This distinction is not only stylistic caution. It prevents a universal architectural argument</w:t>
      </w:r>
      <w:r>
        <w:t xml:space="preserve"> </w:t>
      </w:r>
      <w:r>
        <w:t xml:space="preserve">from being mistaken for equal empirical parity, and it keeps the manuscript aligned with the</w:t>
      </w:r>
      <w:r>
        <w:t xml:space="preserve"> </w:t>
      </w:r>
      <w:r>
        <w:t xml:space="preserve">repository’s claim-lock discipline. Reviewers should be able to tell, at any point in the book,</w:t>
      </w:r>
      <w:r>
        <w:t xml:space="preserve"> </w:t>
      </w:r>
      <w:r>
        <w:t xml:space="preserve">whether a statement is theorem-backed, artifact-backed, or explicitly left as future work.</w:t>
      </w:r>
    </w:p>
    <w:bookmarkEnd w:id="20"/>
    <w:bookmarkStart w:id="21" w:name="Xc1ceef65687244333c58cd091e0d2df3231ade4"/>
    <w:p>
      <w:pPr>
        <w:pStyle w:val="Heading3"/>
      </w:pPr>
      <w:r>
        <w:t xml:space="preserve">Why ORIUS matters beyond one witness domain</w:t>
      </w:r>
    </w:p>
    <w:p>
      <w:pPr>
        <w:pStyle w:val="FirstParagraph"/>
      </w:pPr>
      <w:r>
        <w:t xml:space="preserve">The importance of ORIUS is not that batteries, vehicles, and healthcare monitoring systems</w:t>
      </w:r>
      <w:r>
        <w:t xml:space="preserve"> </w:t>
      </w:r>
      <w:r>
        <w:t xml:space="preserve">secretly reduce to one plant. The importance is</w:t>
      </w:r>
      <w:r>
        <w:t xml:space="preserve"> </w:t>
      </w:r>
      <w:r>
        <w:t xml:space="preserve">that they all face the same release-boundary question once observation trust degrades: what</w:t>
      </w:r>
      <w:r>
        <w:t xml:space="preserve"> </w:t>
      </w:r>
      <w:r>
        <w:t xml:space="preserve">action can still be justified, with what uncertainty, with what fallback, and under what</w:t>
      </w:r>
      <w:r>
        <w:t xml:space="preserve"> </w:t>
      </w:r>
      <w:r>
        <w:t xml:space="preserve">certificate? ORIUS freezes the semantics of that question so that cross-domain comparison</w:t>
      </w:r>
      <w:r>
        <w:t xml:space="preserve"> </w:t>
      </w:r>
      <w:r>
        <w:t xml:space="preserve">happens at the level of runtime safety rather than only at the level of application area.</w:t>
      </w:r>
    </w:p>
    <w:p>
      <w:pPr>
        <w:pStyle w:val="BodyText"/>
      </w:pPr>
      <w:r>
        <w:t xml:space="preserve">That framing also changes how the thesis relates to adjacent literature. Conformal prediction and</w:t>
      </w:r>
      <w:r>
        <w:t xml:space="preserve"> </w:t>
      </w:r>
      <w:r>
        <w:t xml:space="preserve">adaptive calibration provide disciplined uncertainty surfaces</w:t>
      </w:r>
      <w:r>
        <w:t xml:space="preserve"> </w:t>
      </w:r>
      <w:r>
        <w:t xml:space="preserve">.</w:t>
      </w:r>
      <w:r>
        <w:t xml:space="preserve"> </w:t>
      </w:r>
      <w:r>
        <w:t xml:space="preserve">Runtime assurance contributes supervisory release logic</w:t>
      </w:r>
      <w:r>
        <w:t xml:space="preserve"> </w:t>
      </w:r>
      <w:r>
        <w:t xml:space="preserve">.</w:t>
      </w:r>
      <w:r>
        <w:t xml:space="preserve"> </w:t>
      </w:r>
      <w:r>
        <w:t xml:space="preserve">Safety filters and barrier methods provide computable constraint-preserving action geometry</w:t>
      </w:r>
      <w:r>
        <w:t xml:space="preserve"> </w:t>
      </w:r>
      <w:r>
        <w:t xml:space="preserve">. Safety-case governance and risk</w:t>
      </w:r>
      <w:r>
        <w:t xml:space="preserve"> </w:t>
      </w:r>
      <w:r>
        <w:t xml:space="preserve">management standards clarify why claims, lifecycle discipline, and auditable evidence matter even</w:t>
      </w:r>
      <w:r>
        <w:t xml:space="preserve"> </w:t>
      </w:r>
      <w:r>
        <w:t xml:space="preserve">when formal compliance is not being claimed</w:t>
      </w:r>
      <w:r>
        <w:t xml:space="preserve"> </w:t>
      </w:r>
      <w:r>
        <w:t xml:space="preserve">.</w:t>
      </w:r>
      <w:r>
        <w:t xml:space="preserve"> </w:t>
      </w:r>
      <w:r>
        <w:t xml:space="preserve">ORIUS brings those strands together by centering the missing object they all touch but do not</w:t>
      </w:r>
      <w:r>
        <w:t xml:space="preserve"> </w:t>
      </w:r>
      <w:r>
        <w:t xml:space="preserve">fully stabilize: the runtime safety layer for degraded observation.</w:t>
      </w:r>
    </w:p>
    <w:bookmarkEnd w:id="21"/>
    <w:bookmarkStart w:id="23" w:name="dissertation-organization"/>
    <w:p>
      <w:pPr>
        <w:pStyle w:val="Heading3"/>
      </w:pPr>
      <w:r>
        <w:t xml:space="preserve">Dissertation organization</w:t>
      </w:r>
    </w:p>
    <w:p>
      <w:pPr>
        <w:pStyle w:val="FirstParagraph"/>
      </w:pPr>
      <w:r>
        <w:t xml:space="preserve">The rest of the dissertation follows the doctrine directly. Chapters </w:t>
      </w:r>
      <w:hyperlink w:anchor="ch:related-work-novelty-ga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 </w:t>
      </w:r>
      <w:hyperlink w:anchor="ch:formal-problem-formula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define the novelty gap and the formal OASG object.</w:t>
      </w:r>
      <w:r>
        <w:t xml:space="preserve"> </w:t>
      </w:r>
      <w:r>
        <w:t xml:space="preserve">Chapters </w:t>
      </w:r>
      <w:hyperlink w:anchor="ch:orius-architecture-dc3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through </w:t>
      </w:r>
      <w:hyperlink w:anchor="ch:benchmark-reproducibility-protocol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present the ORIUS architecture, theorem ladder, and benchmark contract. Chapters </w:t>
      </w:r>
      <w:hyperlink w:anchor="ch:witness-domain-implementation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 </w:t>
      </w:r>
      <w:hyperlink w:anchor="ch:witness-results-failure-analysi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defend the battery witness row. Chapters </w:t>
      </w:r>
      <w:hyperlink w:anchor="ch:universal-orius-across-domain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through </w:t>
      </w:r>
      <w:hyperlink w:anchor="ch:certos-runtime-assuranc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ask how far the same runtime grammar carries across</w:t>
      </w:r>
      <w:r>
        <w:t xml:space="preserve"> </w:t>
      </w:r>
      <w:r>
        <w:t xml:space="preserve">domains, temporal certificate semantics, composition, and governance. Chapter </w:t>
      </w:r>
      <w:hyperlink w:anchor="Xb94fc205779c4d19b361a4a8dbfcdf168f2b0c8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then states the precise submission boundary, reproducibility discipline, and final thesis claim.</w:t>
      </w:r>
    </w:p>
    <w:bookmarkStart w:id="22" w:name="boundary-of-this-chapter."/>
    <w:p>
      <w:pPr>
        <w:pStyle w:val="Heading6"/>
      </w:pPr>
      <w:r>
        <w:t xml:space="preserve">Boundary of this chapter.</w:t>
      </w:r>
    </w:p>
    <w:p>
      <w:pPr>
        <w:pStyle w:val="FirstParagraph"/>
      </w:pPr>
      <w:r>
        <w:t xml:space="preserve">This chapter claims only the dissertation’s governing doctrine and contribution structure. It</w:t>
      </w:r>
      <w:r>
        <w:t xml:space="preserve"> </w:t>
      </w:r>
      <w:r>
        <w:t xml:space="preserve">does not yet prove the theorem ladder or validate broader future-domain closure; those later claims remain</w:t>
      </w:r>
      <w:r>
        <w:t xml:space="preserve"> </w:t>
      </w:r>
      <w:r>
        <w:t xml:space="preserve">tied to the benchmark, artifact, and governance surfaces that follow.</w:t>
      </w:r>
    </w:p>
    <w:bookmarkEnd w:id="22"/>
    <w:bookmarkEnd w:id="23"/>
    <w:bookmarkEnd w:id="24"/>
    <w:bookmarkStart w:id="36" w:name="ch:related-work-novelty-gap"/>
    <w:p>
      <w:pPr>
        <w:pStyle w:val="Heading2"/>
      </w:pPr>
      <w:r>
        <w:t xml:space="preserve">Related Work and the Novelty Gap</w:t>
      </w:r>
    </w:p>
    <w:p>
      <w:pPr>
        <w:pStyle w:val="FirstParagraph"/>
      </w:pPr>
      <w:r>
        <w:t xml:space="preserve">ORIUS enters a crowded intellectual landscape, but the relevant literatures are crowded in a</w:t>
      </w:r>
      <w:r>
        <w:t xml:space="preserve"> </w:t>
      </w:r>
      <w:r>
        <w:t xml:space="preserve">revealing way. Each contributes a necessary piece of the final argument: uncertainty</w:t>
      </w:r>
      <w:r>
        <w:t xml:space="preserve"> </w:t>
      </w:r>
      <w:r>
        <w:t xml:space="preserve">quantification explains what can be said about predictive trust, runtime assurance explains</w:t>
      </w:r>
      <w:r>
        <w:t xml:space="preserve"> </w:t>
      </w:r>
      <w:r>
        <w:t xml:space="preserve">why intervention must remain separate from nominal control, safe-control methods explain how</w:t>
      </w:r>
      <w:r>
        <w:t xml:space="preserve"> </w:t>
      </w:r>
      <w:r>
        <w:t xml:space="preserve">constraints can reshape action, fault-detection work explains how degradation is recognized,</w:t>
      </w:r>
      <w:r>
        <w:t xml:space="preserve"> </w:t>
      </w:r>
      <w:r>
        <w:t xml:space="preserve">and governance frameworks explain how claims and evidence must be bounded. The novelty gap</w:t>
      </w:r>
      <w:r>
        <w:t xml:space="preserve"> </w:t>
      </w:r>
      <w:r>
        <w:t xml:space="preserve">appears only when those families are read together. They are rich in local technique yet</w:t>
      </w:r>
      <w:r>
        <w:t xml:space="preserve"> </w:t>
      </w:r>
      <w:r>
        <w:t xml:space="preserve">still leave the release-boundary object of degraded observation split across separate</w:t>
      </w:r>
      <w:r>
        <w:t xml:space="preserve"> </w:t>
      </w:r>
      <w:r>
        <w:t xml:space="preserve">traditions.</w:t>
      </w:r>
    </w:p>
    <w:bookmarkStart w:id="25" w:name="Xa230a12ba2bbfba1b42f8a88e779caa3c97ed38"/>
    <w:p>
      <w:pPr>
        <w:pStyle w:val="Heading3"/>
      </w:pPr>
      <w:r>
        <w:t xml:space="preserve">Conformal prediction and adaptive calibration</w:t>
      </w:r>
    </w:p>
    <w:p>
      <w:pPr>
        <w:pStyle w:val="FirstParagraph"/>
      </w:pPr>
      <w:r>
        <w:t xml:space="preserve">Conformal prediction and related distribution-free uncertainty methods provide one of the</w:t>
      </w:r>
      <w:r>
        <w:t xml:space="preserve"> </w:t>
      </w:r>
      <w:r>
        <w:t xml:space="preserve">few disciplined ways to wrap learned models with coverage-aware uncertainty without</w:t>
      </w:r>
      <w:r>
        <w:t xml:space="preserve"> </w:t>
      </w:r>
      <w:r>
        <w:t xml:space="preserve">assuming a perfectly specified error law</w:t>
      </w:r>
      <w:r>
        <w:t xml:space="preserve"> </w:t>
      </w:r>
      <w:r>
        <w:t xml:space="preserve">.</w:t>
      </w:r>
      <w:r>
        <w:t xml:space="preserve"> </w:t>
      </w:r>
      <w:r>
        <w:t xml:space="preserve">Conformalized quantile regression and adaptive conformal variants extend that logic to</w:t>
      </w:r>
      <w:r>
        <w:t xml:space="preserve"> </w:t>
      </w:r>
      <w:r>
        <w:t xml:space="preserve">heteroskedastic and nonstationary settings, which makes them especially relevant once a</w:t>
      </w:r>
      <w:r>
        <w:t xml:space="preserve"> </w:t>
      </w:r>
      <w:r>
        <w:t xml:space="preserve">physical system moves through regime changes or degraded telemetry states</w:t>
      </w:r>
      <w:r>
        <w:t xml:space="preserve"> </w:t>
      </w:r>
      <w:r>
        <w:t xml:space="preserve">.</w:t>
      </w:r>
    </w:p>
    <w:p>
      <w:pPr>
        <w:pStyle w:val="BodyText"/>
      </w:pPr>
      <w:r>
        <w:t xml:space="preserve">What remains missing is the release-boundary question that follows from calibrated</w:t>
      </w:r>
      <w:r>
        <w:t xml:space="preserve"> </w:t>
      </w:r>
      <w:r>
        <w:t xml:space="preserve">uncertainty. Coverage guarantees do not by themselves decide how the admissible action set</w:t>
      </w:r>
      <w:r>
        <w:t xml:space="preserve"> </w:t>
      </w:r>
      <w:r>
        <w:t xml:space="preserve">should change, which fallback is legitimate, or what evidence must accompany release once</w:t>
      </w:r>
      <w:r>
        <w:t xml:space="preserve"> </w:t>
      </w:r>
      <w:r>
        <w:t xml:space="preserve">the observation surface becomes unreliable. ORIUS therefore treats calibration as an input</w:t>
      </w:r>
      <w:r>
        <w:t xml:space="preserve"> </w:t>
      </w:r>
      <w:r>
        <w:t xml:space="preserve">to runtime safety rather than as the full safety object.</w:t>
      </w:r>
    </w:p>
    <w:bookmarkEnd w:id="25"/>
    <w:bookmarkStart w:id="26" w:name="X8a9ac0886c397aa52e5340a3c01f002ab36b6d4"/>
    <w:p>
      <w:pPr>
        <w:pStyle w:val="Heading3"/>
      </w:pPr>
      <w:r>
        <w:t xml:space="preserve">Runtime assurance and Simplex-style supervision</w:t>
      </w:r>
    </w:p>
    <w:p>
      <w:pPr>
        <w:pStyle w:val="FirstParagraph"/>
      </w:pPr>
      <w:r>
        <w:t xml:space="preserve">Runtime assurance architectures, supervisory controllers, shielding, and runtime</w:t>
      </w:r>
      <w:r>
        <w:t xml:space="preserve"> </w:t>
      </w:r>
      <w:r>
        <w:t xml:space="preserve">verification supply the language of intervention, veto, fallback, and monitored execution</w:t>
      </w:r>
      <w:r>
        <w:t xml:space="preserve"> </w:t>
      </w:r>
      <w:r>
        <w:t xml:space="preserve">.</w:t>
      </w:r>
      <w:r>
        <w:t xml:space="preserve"> </w:t>
      </w:r>
      <w:r>
        <w:t xml:space="preserve">That line of work is indispensable because it treats safe release as a separate problem from</w:t>
      </w:r>
      <w:r>
        <w:t xml:space="preserve"> </w:t>
      </w:r>
      <w:r>
        <w:t xml:space="preserve">nominal policy design.</w:t>
      </w:r>
    </w:p>
    <w:p>
      <w:pPr>
        <w:pStyle w:val="BodyText"/>
      </w:pPr>
      <w:r>
        <w:t xml:space="preserve">Yet most supervisory schemes enter after the nominal controller has already proposed an</w:t>
      </w:r>
      <w:r>
        <w:t xml:space="preserve"> </w:t>
      </w:r>
      <w:r>
        <w:t xml:space="preserve">action under a state estimate that is treated as sufficiently meaningful. Crucially,</w:t>
      </w:r>
      <w:r>
        <w:t xml:space="preserve"> </w:t>
      </w:r>
      <w:r>
        <w:t xml:space="preserve">classic Simplex architectures hard-code the boundary between unverified and verified</w:t>
      </w:r>
      <w:r>
        <w:t xml:space="preserve"> </w:t>
      </w:r>
      <w:r>
        <w:t xml:space="preserve">controllers based on static state-space triggers, implicitly assuming the physical state</w:t>
      </w:r>
      <w:r>
        <w:t xml:space="preserve"> </w:t>
      </w:r>
      <w:r>
        <w:t xml:space="preserve">observation itself remains perfectly reliable. ORIUS addresses an earlier, more insidious</w:t>
      </w:r>
      <w:r>
        <w:t xml:space="preserve"> </w:t>
      </w:r>
      <w:r>
        <w:t xml:space="preserve">fault line: once observation quality degrades invisibly (the OASG), state-triggered</w:t>
      </w:r>
      <w:r>
        <w:t xml:space="preserve"> </w:t>
      </w:r>
      <w:r>
        <w:t xml:space="preserve">Simplex fails because it trusts a corrupted monitor. The DC³S assurance</w:t>
      </w:r>
      <w:r>
        <w:t xml:space="preserve"> </w:t>
      </w:r>
      <w:r>
        <w:t xml:space="preserve">layer must reason jointly about epistemic reliability, dynamically widened state</w:t>
      </w:r>
      <w:r>
        <w:t xml:space="preserve"> </w:t>
      </w:r>
      <w:r>
        <w:t xml:space="preserve">uncertainty, repaired action, fallback, and certificate semantics. A supervisor without</w:t>
      </w:r>
      <w:r>
        <w:t xml:space="preserve"> </w:t>
      </w:r>
      <w:r>
        <w:t xml:space="preserve">that observation-side, dynamically calibrated logic is still missing the central OASG</w:t>
      </w:r>
      <w:r>
        <w:t xml:space="preserve"> </w:t>
      </w:r>
      <w:r>
        <w:t xml:space="preserve">object.</w:t>
      </w:r>
    </w:p>
    <w:bookmarkEnd w:id="26"/>
    <w:bookmarkStart w:id="27" w:name="X95124169a3e594a1f3f7e9b5ffe5ea1d6ce407d"/>
    <w:p>
      <w:pPr>
        <w:pStyle w:val="Heading3"/>
      </w:pPr>
      <w:r>
        <w:t xml:space="preserve">Safety filters, shields, and robust safe control</w:t>
      </w:r>
    </w:p>
    <w:p>
      <w:pPr>
        <w:pStyle w:val="FirstParagraph"/>
      </w:pPr>
      <w:r>
        <w:t xml:space="preserve">Control barrier functions, predictive safety filters, robust MPC, and tube-based control</w:t>
      </w:r>
      <w:r>
        <w:t xml:space="preserve"> </w:t>
      </w:r>
      <w:r>
        <w:t xml:space="preserve">translate model uncertainty into admissible control sets and corrective intervention rules</w:t>
      </w:r>
      <w:r>
        <w:t xml:space="preserve"> </w:t>
      </w:r>
      <w:r>
        <w:t xml:space="preserve">.</w:t>
      </w:r>
      <w:r>
        <w:t xml:space="preserve"> </w:t>
      </w:r>
      <w:r>
        <w:t xml:space="preserve">These methods are the closest classical relatives of ORIUS because they formalize the</w:t>
      </w:r>
      <w:r>
        <w:t xml:space="preserve"> </w:t>
      </w:r>
      <w:r>
        <w:t xml:space="preserve">difference between nominal control intent and safe control execution.</w:t>
      </w:r>
    </w:p>
    <w:p>
      <w:pPr>
        <w:pStyle w:val="BodyText"/>
      </w:pPr>
      <w:r>
        <w:t xml:space="preserve">The remaining gap is that this family usually assumes the uncertainty set and safety object</w:t>
      </w:r>
      <w:r>
        <w:t xml:space="preserve"> </w:t>
      </w:r>
      <w:r>
        <w:t xml:space="preserve">have already been defined in a domain-specific, often static or highly conservative way</w:t>
      </w:r>
      <w:r>
        <w:t xml:space="preserve"> </w:t>
      </w:r>
      <w:r>
        <w:t xml:space="preserve">(e.g., assuming a fixed worst-case bounded disturbance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t>W</m:t>
        </m:r>
      </m:oMath>
      <w:r>
        <w:t xml:space="preserve">). ORIUS does not replace</w:t>
      </w:r>
      <w:r>
        <w:t xml:space="preserve"> </w:t>
      </w:r>
      <w:r>
        <w:t xml:space="preserve">that work with a universal controller. Instead, by architecturally composing Conformal</w:t>
      </w:r>
      <w:r>
        <w:t xml:space="preserve"> </w:t>
      </w:r>
      <w:r>
        <w:t xml:space="preserve">Quantile Regression (CQR) directly with Robust Optimization at runtime, DC³S dynamically</w:t>
      </w:r>
      <w:r>
        <w:t xml:space="preserve"> </w:t>
      </w:r>
      <w:r>
        <w:t xml:space="preserve">inflates and deflates the robust feasible set based on active telemetry drift. It</w:t>
      </w:r>
      <w:r>
        <w:t xml:space="preserve"> </w:t>
      </w:r>
      <w:r>
        <w:t xml:space="preserve">eliminates the crippling conservativeness of standalone robust control while providing</w:t>
      </w:r>
      <w:r>
        <w:t xml:space="preserve"> </w:t>
      </w:r>
      <w:r>
        <w:t xml:space="preserve">coverage-backed safety guarantees that adapt as sensors fail. The novelty is not the</w:t>
      </w:r>
      <w:r>
        <w:t xml:space="preserve"> </w:t>
      </w:r>
      <w:r>
        <w:t xml:space="preserve">existence of safe control or CQR alone; it is the runtime composition that dynamically</w:t>
      </w:r>
      <w:r>
        <w:t xml:space="preserve"> </w:t>
      </w:r>
      <w:r>
        <w:t xml:space="preserve">bridges data-driven epistemic uncertainty directly into physical constraint-tightening,</w:t>
      </w:r>
      <w:r>
        <w:t xml:space="preserve"> </w:t>
      </w:r>
      <w:r>
        <w:t xml:space="preserve">making safe control portable across domains.</w:t>
      </w:r>
    </w:p>
    <w:bookmarkEnd w:id="27"/>
    <w:bookmarkStart w:id="28" w:name="Xf6aeb92fd707881b07395e1c4f4420e5881ab0f"/>
    <w:p>
      <w:pPr>
        <w:pStyle w:val="Heading3"/>
      </w:pPr>
      <w:r>
        <w:t xml:space="preserve">Anomaly, drift, and degraded-observation detection</w:t>
      </w:r>
    </w:p>
    <w:p>
      <w:pPr>
        <w:pStyle w:val="FirstParagraph"/>
      </w:pPr>
      <w:r>
        <w:t xml:space="preserve">Fault diagnosis, change detection, cyber-physical security, and anomaly monitoring provide</w:t>
      </w:r>
      <w:r>
        <w:t xml:space="preserve"> </w:t>
      </w:r>
      <w:r>
        <w:t xml:space="preserve">the vocabulary for stale, delayed, reordered, dropped, or corrupted observations</w:t>
      </w:r>
      <w:r>
        <w:t xml:space="preserve"> </w:t>
      </w:r>
      <w:r>
        <w:t xml:space="preserve">.</w:t>
      </w:r>
      <w:r>
        <w:t xml:space="preserve"> </w:t>
      </w:r>
      <w:r>
        <w:t xml:space="preserve">This literature is essential because degraded observation must first be recognized before it</w:t>
      </w:r>
      <w:r>
        <w:t xml:space="preserve"> </w:t>
      </w:r>
      <w:r>
        <w:t xml:space="preserve">can influence action release.</w:t>
      </w:r>
    </w:p>
    <w:p>
      <w:pPr>
        <w:pStyle w:val="BodyText"/>
      </w:pPr>
      <w:r>
        <w:t xml:space="preserve">Detection alone does not specify how action semantics should change after trust degrades. A</w:t>
      </w:r>
      <w:r>
        <w:t xml:space="preserve"> </w:t>
      </w:r>
      <w:r>
        <w:t xml:space="preserve">drift alarm can say that something is wrong without saying how uncertainty inflates, how the</w:t>
      </w:r>
      <w:r>
        <w:t xml:space="preserve"> </w:t>
      </w:r>
      <w:r>
        <w:t xml:space="preserve">safe set tightens, what repair is permitted, or what certificate makes the next step</w:t>
      </w:r>
      <w:r>
        <w:t xml:space="preserve"> </w:t>
      </w:r>
      <w:r>
        <w:t xml:space="preserve">auditable. ORIUS uses detection as the opening move in a runtime safety sequence, not as</w:t>
      </w:r>
      <w:r>
        <w:t xml:space="preserve"> </w:t>
      </w:r>
      <w:r>
        <w:t xml:space="preserve">the full response.</w:t>
      </w:r>
    </w:p>
    <w:bookmarkEnd w:id="28"/>
    <w:bookmarkStart w:id="29" w:name="X1f5e6ef36f2285f483a8922a25d39c8f2674e3c"/>
    <w:p>
      <w:pPr>
        <w:pStyle w:val="Heading3"/>
      </w:pPr>
      <w:r>
        <w:t xml:space="preserve">Domain-specific cyber-physical safety systems</w:t>
      </w:r>
    </w:p>
    <w:p>
      <w:pPr>
        <w:pStyle w:val="FirstParagraph"/>
      </w:pPr>
      <w:r>
        <w:t xml:space="preserve">Energy systems, autonomous mobility stacks, healthcare monitoring, and other</w:t>
      </w:r>
      <w:r>
        <w:t xml:space="preserve"> </w:t>
      </w:r>
      <w:r>
        <w:t xml:space="preserve">cyber-physical systems already contain rich safety practice in their own local forms</w:t>
      </w:r>
      <w:r>
        <w:t xml:space="preserve"> </w:t>
      </w:r>
      <w:r>
        <w:t xml:space="preserve">.</w:t>
      </w:r>
      <w:r>
        <w:t xml:space="preserve"> </w:t>
      </w:r>
      <w:r>
        <w:t xml:space="preserve">This practice matters because any claim of universality that ignores domain structure is</w:t>
      </w:r>
      <w:r>
        <w:t xml:space="preserve"> </w:t>
      </w:r>
      <w:r>
        <w:t xml:space="preserve">empty from the start.</w:t>
      </w:r>
    </w:p>
    <w:p>
      <w:pPr>
        <w:pStyle w:val="BodyText"/>
      </w:pPr>
      <w:r>
        <w:t xml:space="preserve">What they usually do not expose is a common contract through which degraded-observation</w:t>
      </w:r>
      <w:r>
        <w:t xml:space="preserve"> </w:t>
      </w:r>
      <w:r>
        <w:t xml:space="preserve">replay, repaired action, fallback semantics, certificate validity, and latency can be</w:t>
      </w:r>
      <w:r>
        <w:t xml:space="preserve"> </w:t>
      </w:r>
      <w:r>
        <w:t xml:space="preserve">compared across domains. ORIUS addresses that missing cross-domain runtime object rather</w:t>
      </w:r>
      <w:r>
        <w:t xml:space="preserve"> </w:t>
      </w:r>
      <w:r>
        <w:t xml:space="preserve">than trying to erase domain structure.</w:t>
      </w:r>
    </w:p>
    <w:bookmarkEnd w:id="29"/>
    <w:bookmarkStart w:id="30" w:name="X43b393d5ef1d1ddd3f910f4129e3df97ce0bb7f"/>
    <w:p>
      <w:pPr>
        <w:pStyle w:val="Heading3"/>
      </w:pPr>
      <w:r>
        <w:t xml:space="preserve">Safety-case governance and lifecycle discipline</w:t>
      </w:r>
    </w:p>
    <w:p>
      <w:pPr>
        <w:pStyle w:val="FirstParagraph"/>
      </w:pPr>
      <w:r>
        <w:t xml:space="preserve">The dissertation also inherits an important lesson from safety-case and lifecycle practice:</w:t>
      </w:r>
      <w:r>
        <w:t xml:space="preserve"> </w:t>
      </w:r>
      <w:r>
        <w:t xml:space="preserve">strong safety claims require structured argument, explicit assumptions, traceable evidence,</w:t>
      </w:r>
      <w:r>
        <w:t xml:space="preserve"> </w:t>
      </w:r>
      <w:r>
        <w:t xml:space="preserve">and disciplined lifecycle boundaries. ORIUS does not claim compliance with sector-specific</w:t>
      </w:r>
      <w:r>
        <w:t xml:space="preserve"> </w:t>
      </w:r>
      <w:r>
        <w:t xml:space="preserve">standards, but its claim-lock pipeline, artifact provenance, and certificate-governance</w:t>
      </w:r>
      <w:r>
        <w:t xml:space="preserve"> </w:t>
      </w:r>
      <w:r>
        <w:t xml:space="preserve">surfaces are best understood in conversation with claim-based safety arguments and</w:t>
      </w:r>
      <w:r>
        <w:t xml:space="preserve"> </w:t>
      </w:r>
      <w:r>
        <w:t xml:space="preserve">lifecycle-oriented risk management</w:t>
      </w:r>
      <w:r>
        <w:t xml:space="preserve"> </w:t>
      </w:r>
      <w:r>
        <w:t xml:space="preserve">.</w:t>
      </w:r>
    </w:p>
    <w:p>
      <w:pPr>
        <w:pStyle w:val="BodyText"/>
      </w:pPr>
      <w:r>
        <w:t xml:space="preserve">Governance frameworks say how evidence should be organized and how claims should be bounded;</w:t>
      </w:r>
      <w:r>
        <w:t xml:space="preserve"> </w:t>
      </w:r>
      <w:r>
        <w:t xml:space="preserve">they do not themselves provide the runtime object that converts degraded observation into</w:t>
      </w:r>
      <w:r>
        <w:t xml:space="preserve"> </w:t>
      </w:r>
      <w:r>
        <w:t xml:space="preserve">repaired or denied release. ORIUS borrows the discipline of explicit evidence structure and</w:t>
      </w:r>
      <w:r>
        <w:t xml:space="preserve"> </w:t>
      </w:r>
      <w:r>
        <w:t xml:space="preserve">lifecycle boundaries, but its technical novelty remains the runtime layer that sits between</w:t>
      </w:r>
      <w:r>
        <w:t xml:space="preserve"> </w:t>
      </w:r>
      <w:r>
        <w:t xml:space="preserve">observation degradation and actuation.</w:t>
      </w:r>
    </w:p>
    <w:bookmarkEnd w:id="30"/>
    <w:bookmarkStart w:id="31" w:name="X33b6e76654248cb2e947604e8b81bf0a2f8b385"/>
    <w:p>
      <w:pPr>
        <w:pStyle w:val="Heading3"/>
      </w:pPr>
      <w:r>
        <w:t xml:space="preserve">Benchmark, replay, and reproducibility gaps</w:t>
      </w:r>
    </w:p>
    <w:p>
      <w:pPr>
        <w:pStyle w:val="FirstParagraph"/>
      </w:pPr>
      <w:r>
        <w:t xml:space="preserve">There is also a measurement gap that cuts across the technical literatures above. Many papers</w:t>
      </w:r>
      <w:r>
        <w:t xml:space="preserve"> </w:t>
      </w:r>
      <w:r>
        <w:t xml:space="preserve">report prediction error, control regret, collision rate, or intervention count, but do not</w:t>
      </w:r>
      <w:r>
        <w:t xml:space="preserve"> </w:t>
      </w:r>
      <w:r>
        <w:t xml:space="preserve">record the dual-trajectory evidence needed to tell whether an action was only observed-safe or</w:t>
      </w:r>
      <w:r>
        <w:t xml:space="preserve"> </w:t>
      </w:r>
      <w:r>
        <w:t xml:space="preserve">was truly safe on the latent physical state. That omission matters because the OASG is</w:t>
      </w:r>
      <w:r>
        <w:t xml:space="preserve"> </w:t>
      </w:r>
      <w:r>
        <w:t xml:space="preserve">invisible unless the benchmark keeps both trajectories in view at once.</w:t>
      </w:r>
    </w:p>
    <w:p>
      <w:pPr>
        <w:pStyle w:val="BodyText"/>
      </w:pPr>
      <w:r>
        <w:t xml:space="preserve">Without replayable fault schedules, governed intervention traces, and a locked mapping from</w:t>
      </w:r>
      <w:r>
        <w:t xml:space="preserve"> </w:t>
      </w:r>
      <w:r>
        <w:t xml:space="preserve">headline claims to artifacts, a physical-AI safety result is difficult to audit and easy to</w:t>
      </w:r>
      <w:r>
        <w:t xml:space="preserve"> </w:t>
      </w:r>
      <w:r>
        <w:t xml:space="preserve">overstate. ORIUS therefore treats measurement discipline as part of the contribution rather</w:t>
      </w:r>
      <w:r>
        <w:t xml:space="preserve"> </w:t>
      </w:r>
      <w:r>
        <w:t xml:space="preserve">than as packaging around the contribution. The benchmark contract, claim matrix, and manifest</w:t>
      </w:r>
      <w:r>
        <w:t xml:space="preserve"> </w:t>
      </w:r>
      <w:r>
        <w:t xml:space="preserve">surfaces are necessary because they keep the monograph grounded in true-state safety rather</w:t>
      </w:r>
      <w:r>
        <w:t xml:space="preserve"> </w:t>
      </w:r>
      <w:r>
        <w:t xml:space="preserve">than nominal software coherence.</w:t>
      </w:r>
    </w:p>
    <w:bookmarkEnd w:id="31"/>
    <w:bookmarkStart w:id="33" w:name="X29dcc3b578844f146f13f3e5e500957d7a5aa46"/>
    <w:p>
      <w:pPr>
        <w:pStyle w:val="Heading3"/>
      </w:pPr>
      <w:r>
        <w:t xml:space="preserve">Why ORIUS is not another forecasting or perception paper</w:t>
      </w:r>
    </w:p>
    <w:p>
      <w:pPr>
        <w:pStyle w:val="FirstParagraph"/>
      </w:pPr>
      <w:r>
        <w:t xml:space="preserve">The literature also invites a narrower but common misunderstanding: that ORIUS should be read as</w:t>
      </w:r>
      <w:r>
        <w:t xml:space="preserve"> </w:t>
      </w:r>
      <w:r>
        <w:t xml:space="preserve">one more attempt to beat a baseline predictor, one more perception stack, or one more</w:t>
      </w:r>
      <w:r>
        <w:t xml:space="preserve"> </w:t>
      </w:r>
      <w:r>
        <w:t xml:space="preserve">domain-specific robust controller. The dissertation rejects that framing directly. In the</w:t>
      </w:r>
      <w:r>
        <w:t xml:space="preserve"> </w:t>
      </w:r>
      <w:r>
        <w:t xml:space="preserve">strongest witness row, forecasting quality matters because it affects calibrated uncertainty and</w:t>
      </w:r>
      <w:r>
        <w:t xml:space="preserve"> </w:t>
      </w:r>
      <w:r>
        <w:t xml:space="preserve">therefore the release boundary, but the main scientific object is still the runtime layer that</w:t>
      </w:r>
      <w:r>
        <w:t xml:space="preserve"> </w:t>
      </w:r>
      <w:r>
        <w:t xml:space="preserve">decides what action remains admissible once the observation surface becomes unreliable.</w:t>
      </w:r>
    </w:p>
    <w:bookmarkStart w:id="32" w:name="why-this-matters-for-the-novelty-claim."/>
    <w:p>
      <w:pPr>
        <w:pStyle w:val="Heading6"/>
      </w:pPr>
      <w:r>
        <w:t xml:space="preserve">Why this matters for the novelty claim.</w:t>
      </w:r>
    </w:p>
    <w:p>
      <w:pPr>
        <w:pStyle w:val="FirstParagraph"/>
      </w:pPr>
      <w:r>
        <w:t xml:space="preserve">This distinction prevents ORIUS from collapsing into a model-comparison paper. A new forecaster</w:t>
      </w:r>
      <w:r>
        <w:t xml:space="preserve"> </w:t>
      </w:r>
      <w:r>
        <w:t xml:space="preserve">or perception backbone may improve nominal error while leaving the release-boundary question</w:t>
      </w:r>
      <w:r>
        <w:t xml:space="preserve"> </w:t>
      </w:r>
      <w:r>
        <w:t xml:space="preserve">unchanged. ORIUS is novel only if it remains centered on degraded observation, admissible</w:t>
      </w:r>
      <w:r>
        <w:t xml:space="preserve"> </w:t>
      </w:r>
      <w:r>
        <w:t xml:space="preserve">repair, governed fallback, and certificate semantics. That is why the related-work chapter is</w:t>
      </w:r>
      <w:r>
        <w:t xml:space="preserve"> </w:t>
      </w:r>
      <w:r>
        <w:t xml:space="preserve">organized by missing runtime objects rather than by model families alone.</w:t>
      </w:r>
    </w:p>
    <w:bookmarkEnd w:id="32"/>
    <w:bookmarkEnd w:id="33"/>
    <w:bookmarkStart w:id="35" w:name="the-novelty-gap-orius-addresses"/>
    <w:p>
      <w:pPr>
        <w:pStyle w:val="Heading3"/>
      </w:pPr>
      <w:r>
        <w:t xml:space="preserve">The novelty gap ORIUS addresses</w:t>
      </w:r>
    </w:p>
    <w:p>
      <w:pPr>
        <w:pStyle w:val="FirstParagraph"/>
      </w:pPr>
      <w:r>
        <w:t xml:space="preserve">The literature becomes most powerful when these families are read together, but it also</w:t>
      </w:r>
      <w:r>
        <w:t xml:space="preserve"> </w:t>
      </w:r>
      <w:r>
        <w:t xml:space="preserve">reveals a persistent separation of levels. Uncertainty methods stop at calibrated sets.</w:t>
      </w:r>
      <w:r>
        <w:t xml:space="preserve"> </w:t>
      </w:r>
      <w:r>
        <w:t xml:space="preserve">Assurance methods stop at supervisory intervention. Safe-control methods stop at</w:t>
      </w:r>
      <w:r>
        <w:t xml:space="preserve"> </w:t>
      </w:r>
      <w:r>
        <w:t xml:space="preserve">plant-specific repair geometry. Detection methods stop at identifying degraded telemetry.</w:t>
      </w:r>
      <w:r>
        <w:t xml:space="preserve"> </w:t>
      </w:r>
      <w:r>
        <w:t xml:space="preserve">Domain systems stop at application-local safety practice. What is missing between them is a</w:t>
      </w:r>
      <w:r>
        <w:t xml:space="preserve"> </w:t>
      </w:r>
      <w:r>
        <w:t xml:space="preserve">single typed runtime composition that starts with observation reliability and ends with</w:t>
      </w:r>
      <w:r>
        <w:t xml:space="preserve"> </w:t>
      </w:r>
      <w:r>
        <w:t xml:space="preserve">repaired action, fallback, certificate semantics, and cross-domain replay under one common</w:t>
      </w:r>
      <w:r>
        <w:t xml:space="preserve"> </w:t>
      </w:r>
      <w:r>
        <w:t xml:space="preserve">contract.</w:t>
      </w:r>
    </w:p>
    <w:p>
      <w:pPr>
        <w:pStyle w:val="BodyText"/>
      </w:pPr>
      <w:r>
        <w:t xml:space="preserve">The exact flagship novelty sentence defended by the dissertation is:</w:t>
      </w:r>
    </w:p>
    <w:p>
      <w:pPr>
        <w:pStyle w:val="BlockText"/>
      </w:pPr>
      <w:r>
        <w:rPr>
          <w:i/>
          <w:iCs/>
        </w:rPr>
        <w:t xml:space="preserve">ORIUS identifies OASG as the degraded-observation release hazard and provides a reliability-aware runtime safety layer across Battery, AV, and Healthcare.</w:t>
      </w:r>
    </w:p>
    <w:p>
      <w:pPr>
        <w:pStyle w:val="FirstParagraph"/>
      </w:pPr>
      <w:r>
        <w:t xml:space="preserve">That sentence is intentionally narrower than a claim of a new conformal method, a new</w:t>
      </w:r>
      <w:r>
        <w:t xml:space="preserve"> </w:t>
      </w:r>
      <w:r>
        <w:t xml:space="preserve">robust-optimization primitive, a new universal controller, or a new</w:t>
      </w:r>
      <w:r>
        <w:t xml:space="preserve"> </w:t>
      </w:r>
      <w:r>
        <w:t xml:space="preserve">conditional-coverage theorem. The promoted ML surface is grouped calibration by</w:t>
      </w:r>
      <w:r>
        <w:t xml:space="preserve"> </w:t>
      </w:r>
      <w:r>
        <w:t xml:space="preserve">reliability bucket plus bounded runtime-safety deltas on the active three-domain lane.</w:t>
      </w:r>
    </w:p>
    <w:p>
      <w:pPr>
        <w:pStyle w:val="BodyText"/>
      </w:pPr>
      <w:r>
        <w:t xml:space="preserve">That missing composition is ORIUS’s novelty claim. The dissertation does not argue that any</w:t>
      </w:r>
      <w:r>
        <w:t xml:space="preserve"> </w:t>
      </w:r>
      <w:r>
        <w:t xml:space="preserve">one ORIUS component is unprecedented in isolation. It argues that the combination of</w:t>
      </w:r>
      <w:r>
        <w:t xml:space="preserve"> </w:t>
      </w:r>
      <w:r>
        <w:t xml:space="preserve">observation reliability, action repair, certificate semantics, and universal replay has not</w:t>
      </w:r>
      <w:r>
        <w:t xml:space="preserve"> </w:t>
      </w:r>
      <w:r>
        <w:t xml:space="preserve">previously been stabilized as one reusable runtime safety layer for physical AI. ORIUS is</w:t>
      </w:r>
      <w:r>
        <w:t xml:space="preserve"> </w:t>
      </w:r>
      <w:r>
        <w:t xml:space="preserve">therefore not</w:t>
      </w:r>
      <w:r>
        <w:t xml:space="preserve"> </w:t>
      </w:r>
      <w:r>
        <w:t xml:space="preserve">“better forecasting,”</w:t>
      </w:r>
      <w:r>
        <w:t xml:space="preserve"> </w:t>
      </w:r>
      <w:r>
        <w:t xml:space="preserve">“better perception,”</w:t>
      </w:r>
      <w:r>
        <w:t xml:space="preserve"> </w:t>
      </w:r>
      <w:r>
        <w:t xml:space="preserve">or</w:t>
      </w:r>
      <w:r>
        <w:t xml:space="preserve"> </w:t>
      </w:r>
      <w:r>
        <w:t xml:space="preserve">“one more controller.”</w:t>
      </w:r>
      <w:r>
        <w:t xml:space="preserve"> </w:t>
      </w:r>
      <w:r>
        <w:t xml:space="preserve">It</w:t>
      </w:r>
      <w:r>
        <w:t xml:space="preserve"> </w:t>
      </w:r>
      <w:r>
        <w:t xml:space="preserve">is a release-boundary discipline for degraded-observation safety.</w:t>
      </w:r>
    </w:p>
    <w:p>
      <w:pPr>
        <w:pStyle w:val="BodyText"/>
      </w:pPr>
      <w:r>
        <w:t xml:space="preserve">The closest plausible rival to ORIUS is not any single paper in these families. It is an</w:t>
      </w:r>
      <w:r>
        <w:t xml:space="preserve"> </w:t>
      </w:r>
      <w:r>
        <w:t xml:space="preserve">imagined composition of them: adaptive conformal intervals for uncertainty, a safety filter</w:t>
      </w:r>
      <w:r>
        <w:t xml:space="preserve"> </w:t>
      </w:r>
      <w:r>
        <w:t xml:space="preserve">or Simplex supervisor for intervention, anomaly detection for degraded telemetry, and</w:t>
      </w:r>
      <w:r>
        <w:t xml:space="preserve"> </w:t>
      </w:r>
      <w:r>
        <w:t xml:space="preserve">runtime verification for logging and policy enforcement. Even that composite stack still</w:t>
      </w:r>
      <w:r>
        <w:t xml:space="preserve"> </w:t>
      </w:r>
      <w:r>
        <w:t xml:space="preserve">stops short of ORIUS’s central object. It lacks a typed release contract that binds</w:t>
      </w:r>
      <w:r>
        <w:t xml:space="preserve"> </w:t>
      </w:r>
      <w:r>
        <w:t xml:space="preserve">observed-state and true-state semantics, repaired action, fallback, certificate lifecycle,</w:t>
      </w:r>
      <w:r>
        <w:t xml:space="preserve"> </w:t>
      </w:r>
      <w:r>
        <w:t xml:space="preserve">and cross-domain replay under one explicit interface. That final integration step is the</w:t>
      </w:r>
      <w:r>
        <w:t xml:space="preserve"> </w:t>
      </w:r>
      <w:r>
        <w:t xml:space="preserve">novelty claim the dissertation defends.</w:t>
      </w:r>
    </w:p>
    <w:bookmarkStart w:id="34" w:name="boundary-of-this-chapter.-1"/>
    <w:p>
      <w:pPr>
        <w:pStyle w:val="Heading6"/>
      </w:pPr>
      <w:r>
        <w:t xml:space="preserve">Boundary of this chapter.</w:t>
      </w:r>
    </w:p>
    <w:p>
      <w:pPr>
        <w:pStyle w:val="FirstParagraph"/>
      </w:pPr>
      <w:r>
        <w:t xml:space="preserve">This chapter establishes a literature gap, not a theorem or a parity result. Its role is to</w:t>
      </w:r>
      <w:r>
        <w:t xml:space="preserve"> </w:t>
      </w:r>
      <w:r>
        <w:t xml:space="preserve">show why uncertainty, supervision, safe control, detection, and governance still leave the</w:t>
      </w:r>
      <w:r>
        <w:t xml:space="preserve"> </w:t>
      </w:r>
      <w:r>
        <w:t xml:space="preserve">release-boundary object fragmented. The next chapters must still prove and validate that</w:t>
      </w:r>
      <w:r>
        <w:t xml:space="preserve"> </w:t>
      </w:r>
      <w:r>
        <w:t xml:space="preserve">ORIUS closes enough of that fragmentation to justify a universal runtime safety-layer claim</w:t>
      </w:r>
      <w:r>
        <w:t xml:space="preserve"> </w:t>
      </w:r>
      <w:r>
        <w:t xml:space="preserve">under bounded evidence.</w:t>
      </w:r>
    </w:p>
    <w:bookmarkEnd w:id="34"/>
    <w:bookmarkEnd w:id="35"/>
    <w:bookmarkEnd w:id="36"/>
    <w:bookmarkStart w:id="47" w:name="ch:formal-problem-formulation"/>
    <w:p>
      <w:pPr>
        <w:pStyle w:val="Heading2"/>
      </w:pPr>
      <w:r>
        <w:t xml:space="preserve">Formal Problem Formulation: OASG under Degraded Observation</w:t>
      </w:r>
    </w:p>
    <w:bookmarkStart w:id="37" w:name="state-observation-action-and-constraints"/>
    <w:p>
      <w:pPr>
        <w:pStyle w:val="Heading3"/>
      </w:pPr>
      <w:r>
        <w:t xml:space="preserve">State, observation, action, and constraints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x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⋆</m:t>
            </m:r>
          </m:sup>
        </m:sSubSup>
      </m:oMath>
      <w:r>
        <w:t xml:space="preserve"> </w:t>
      </w:r>
      <w:r>
        <w:t xml:space="preserve">denote the true physical state of the plant at time</w:t>
      </w:r>
      <w:r>
        <w:t xml:space="preserve"> </w:t>
      </w:r>
      <m:oMath>
        <m:r>
          <m:t>t</m:t>
        </m:r>
      </m:oMath>
      <w:r>
        <w:t xml:space="preserve">,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denote</w:t>
      </w:r>
      <w:r>
        <w:t xml:space="preserve"> </w:t>
      </w:r>
      <w:r>
        <w:t xml:space="preserve">the observation available to the nominal policy, and let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candidate action</w:t>
      </w:r>
      <w:r>
        <w:t xml:space="preserve"> </w:t>
      </w:r>
      <w:r>
        <w:t xml:space="preserve">proposed for release. 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set of admissible actions when the state is</w:t>
      </w:r>
      <w:r>
        <w:t xml:space="preserve"> </w:t>
      </w:r>
      <m:oMath>
        <m:r>
          <m:t>x</m:t>
        </m:r>
      </m:oMath>
      <w:r>
        <w:t xml:space="preserve">, or equivalently the safety predicate that separates legal from illegal actuation. ORIUS is</w:t>
      </w:r>
      <w:r>
        <w:t xml:space="preserve"> </w:t>
      </w:r>
      <w:r>
        <w:t xml:space="preserve">concerned with regimes in which the software stack continues to evaluate legality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even though the physically relevant state is</w:t>
      </w:r>
      <w:r>
        <w:t xml:space="preserve"> </w:t>
      </w:r>
      <m:oMath>
        <m:sSubSup>
          <m:e>
            <m:r>
              <m:t>x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⋆</m:t>
            </m:r>
          </m:sup>
        </m:sSubSup>
      </m:oMath>
      <w:r>
        <w:t xml:space="preserve"> </w:t>
      </w:r>
      <w:r>
        <w:t xml:space="preserve">or a broader observation-consistent set</w:t>
      </w:r>
      <w:r>
        <w:t xml:space="preserve"> </w:t>
      </w:r>
      <w:r>
        <w:t xml:space="preserve">around it.</w:t>
      </w:r>
    </w:p>
    <w:p>
      <w:pPr>
        <w:pStyle w:val="BodyText"/>
      </w:pPr>
      <w:r>
        <w:t xml:space="preserve">This distinction matters because physical safety is defined on the plant, not on the software</w:t>
      </w:r>
      <w:r>
        <w:t xml:space="preserve"> </w:t>
      </w:r>
      <w:r>
        <w:t xml:space="preserve">representation alone. If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lags, omits, or distorts the relevant state variables, then</w:t>
      </w:r>
      <w:r>
        <w:t xml:space="preserve"> </w:t>
      </w:r>
      <w:r>
        <w:t xml:space="preserve">the nominal controller can continue producing actions that are legal with respect to the observed</w:t>
      </w:r>
      <w:r>
        <w:t xml:space="preserve"> </w:t>
      </w:r>
      <w:r>
        <w:t xml:space="preserve">state while being unsafe with respect to the state that is actually realized. The formal problem</w:t>
      </w:r>
      <w:r>
        <w:t xml:space="preserve"> </w:t>
      </w:r>
      <w:r>
        <w:t xml:space="preserve">of the dissertation is therefore not generic uncertainty. It is the mismatch between</w:t>
      </w:r>
      <w:r>
        <w:t xml:space="preserve"> </w:t>
      </w:r>
      <w:r>
        <w:t xml:space="preserve">observation-conditioned legality and physical legality.</w:t>
      </w:r>
    </w:p>
    <w:bookmarkEnd w:id="37"/>
    <w:bookmarkStart w:id="38" w:name="Xc1dfaca172b4def2a0aeecc0917c9fa3cf6da84"/>
    <w:p>
      <w:pPr>
        <w:pStyle w:val="Heading3"/>
      </w:pPr>
      <w:r>
        <w:t xml:space="preserve">Observation degradation operator and fault process</w:t>
      </w:r>
    </w:p>
    <w:p>
      <w:pPr>
        <w:pStyle w:val="FirstParagraph"/>
      </w:pPr>
      <w:r>
        <w:t xml:space="preserve">Observation degradation is modeled as a runtime operator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x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D</m:t>
          </m:r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⋆</m:t>
              </m:r>
            </m:sup>
          </m:sSubSup>
          <m:r>
            <m:rPr>
              <m:sty m:val="p"/>
            </m:rPr>
            <m:t>;</m:t>
          </m:r>
          <m:sSub>
            <m:e>
              <m:r>
                <m:t>δ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a fault process that summarizes the degradation mechanisms affecting the</w:t>
      </w:r>
      <w:r>
        <w:t xml:space="preserve"> </w:t>
      </w:r>
      <w:r>
        <w:t xml:space="preserve">telemetry channel. In the repository and benchmark, this process includes stale packets, missing</w:t>
      </w:r>
      <w:r>
        <w:t xml:space="preserve"> </w:t>
      </w:r>
      <w:r>
        <w:t xml:space="preserve">samples, delay, packet reordering, spikes, drift, transport corruption, and domain-specific</w:t>
      </w:r>
      <w:r>
        <w:t xml:space="preserve"> </w:t>
      </w:r>
      <w:r>
        <w:t xml:space="preserve">state-estimation loss. The universal object of the dissertation is therefore not a plant alone;</w:t>
      </w:r>
      <w:r>
        <w:t xml:space="preserve"> </w:t>
      </w:r>
      <w:r>
        <w:t xml:space="preserve">it is the coupled pair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⋆</m:t>
            </m:r>
          </m:sup>
        </m:sSubSup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together with the degradation process that can make</w:t>
      </w:r>
      <w:r>
        <w:t xml:space="preserve"> </w:t>
      </w:r>
      <w:r>
        <w:t xml:space="preserve">those two states diverge.</w:t>
      </w:r>
    </w:p>
    <w:p>
      <w:pPr>
        <w:pStyle w:val="BodyText"/>
      </w:pPr>
      <w:r>
        <w:t xml:space="preserve">Two implications follow. First, the fault process is not merely a nuisance variable to be</w:t>
      </w:r>
      <w:r>
        <w:t xml:space="preserve"> </w:t>
      </w:r>
      <w:r>
        <w:t xml:space="preserve">averaged away in nominal performance statistics. It is part of the safety problem definition.</w:t>
      </w:r>
      <w:r>
        <w:t xml:space="preserve"> </w:t>
      </w:r>
      <w:r>
        <w:t xml:space="preserve">Second, runtime safety cannot be reduced to point estimation of the true state. Under degraded</w:t>
      </w:r>
      <w:r>
        <w:t xml:space="preserve"> </w:t>
      </w:r>
      <w:r>
        <w:t xml:space="preserve">observation, the runtime must reason over a set of plausible physical states rather than rely on</w:t>
      </w:r>
      <w:r>
        <w:t xml:space="preserve"> </w:t>
      </w:r>
      <w:r>
        <w:t xml:space="preserve">one best guess.</w:t>
      </w:r>
    </w:p>
    <w:bookmarkEnd w:id="38"/>
    <w:bookmarkStart w:id="39" w:name="fault-taxonomy"/>
    <w:p>
      <w:pPr>
        <w:pStyle w:val="Heading3"/>
      </w:pPr>
      <w:r>
        <w:t xml:space="preserve">Fault taxonomy</w:t>
      </w:r>
    </w:p>
    <w:p>
      <w:pPr>
        <w:pStyle w:val="FirstParagraph"/>
      </w:pPr>
      <w:r>
        <w:t xml:space="preserve">The fault process is treated generically, but the benchmark and adapters instantiate it through a</w:t>
      </w:r>
      <w:r>
        <w:t xml:space="preserve"> </w:t>
      </w:r>
      <w:r>
        <w:t xml:space="preserve">shared taxonomy: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Freshness faults</w:t>
      </w:r>
      <w:r>
        <w:t xml:space="preserve">: stale or frozen telemetry that preserves coherence while</w:t>
      </w:r>
      <w:r>
        <w:t xml:space="preserve"> </w:t>
      </w:r>
      <w:r>
        <w:t xml:space="preserve">erasing temporal validity.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Availability faults</w:t>
      </w:r>
      <w:r>
        <w:t xml:space="preserve">: missing packets, dropped samples, and partial channel loss.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Timing faults</w:t>
      </w:r>
      <w:r>
        <w:t xml:space="preserve">: delay, jitter, or reordering that breaks synchronization with the</w:t>
      </w:r>
      <w:r>
        <w:t xml:space="preserve"> </w:t>
      </w:r>
      <w:r>
        <w:t xml:space="preserve">physical plant.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Value faults</w:t>
      </w:r>
      <w:r>
        <w:t xml:space="preserve">: spikes, outliers, drift, bias, or corruption that distort the</w:t>
      </w:r>
      <w:r>
        <w:t xml:space="preserve"> </w:t>
      </w:r>
      <w:r>
        <w:t xml:space="preserve">observed state itself.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Inference faults</w:t>
      </w:r>
      <w:r>
        <w:t xml:space="preserve">: estimator or learned-model errors that turn degraded inputs</w:t>
      </w:r>
      <w:r>
        <w:t xml:space="preserve"> </w:t>
      </w:r>
      <w:r>
        <w:t xml:space="preserve">into overconfident downstream summaries.</w:t>
      </w:r>
    </w:p>
    <w:p>
      <w:pPr>
        <w:pStyle w:val="FirstParagraph"/>
      </w:pPr>
      <w:r>
        <w:t xml:space="preserve">This taxonomy is intentionally broad enough to travel across all ORIUS domains. A battery</w:t>
      </w:r>
      <w:r>
        <w:t xml:space="preserve"> </w:t>
      </w:r>
      <w:r>
        <w:t xml:space="preserve">controller and a healthcare monitoring runtime do not share the same raw sensors, but they do</w:t>
      </w:r>
      <w:r>
        <w:t xml:space="preserve"> </w:t>
      </w:r>
      <w:r>
        <w:t xml:space="preserve">share the possibility that freshness, timing, value, or inference degradation breaks the</w:t>
      </w:r>
      <w:r>
        <w:t xml:space="preserve"> </w:t>
      </w:r>
      <w:r>
        <w:t xml:space="preserve">semantics of observed legality.</w:t>
      </w:r>
    </w:p>
    <w:bookmarkEnd w:id="39"/>
    <w:bookmarkStart w:id="40" w:name="Xf10adbe0bc139d4b514cdce722be5e39e5cecfb"/>
    <w:p>
      <w:pPr>
        <w:pStyle w:val="Heading3"/>
      </w:pPr>
      <w:r>
        <w:t xml:space="preserve">Definition of the observation–action safety gap</w:t>
      </w:r>
    </w:p>
    <w:p>
      <w:pPr>
        <w:pStyle w:val="FirstParagraph"/>
      </w:pPr>
      <w:r>
        <w:t xml:space="preserve">The central event of the dissertation is the observation–action safety gap: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x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but</m:t>
          </m:r>
          <m:r>
            <m:t>  </m:t>
          </m:r>
          <m:sSub>
            <m:e>
              <m:r>
                <m:t>u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∉</m:t>
          </m:r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⋆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Equivalently, the action appears safe on the observed state but unsafe on the true physical</w:t>
      </w:r>
      <w:r>
        <w:t xml:space="preserve"> </w:t>
      </w:r>
      <w:r>
        <w:t xml:space="preserve">state. This event is what the benchmark later measures through true-state safety violation and</w:t>
      </w:r>
      <w:r>
        <w:t xml:space="preserve"> </w:t>
      </w:r>
      <w:r>
        <w:t xml:space="preserve">observed-state satisfaction. It is also what makes degraded observation a first-class runtime</w:t>
      </w:r>
      <w:r>
        <w:t xml:space="preserve"> </w:t>
      </w:r>
      <w:r>
        <w:t xml:space="preserve">problem rather than an upstream modeling nuisance.</w:t>
      </w:r>
    </w:p>
    <w:p>
      <w:pPr>
        <w:pStyle w:val="BodyText"/>
      </w:pPr>
      <w:r>
        <w:t xml:space="preserve">The OASG formulation is stronger than a generic claim that</w:t>
      </w:r>
      <w:r>
        <w:t xml:space="preserve"> </w:t>
      </w:r>
      <w:r>
        <w:t xml:space="preserve">“uncertainty matters.”</w:t>
      </w:r>
      <w:r>
        <w:t xml:space="preserve"> </w:t>
      </w:r>
      <w:r>
        <w:t xml:space="preserve">Uncertainty</w:t>
      </w:r>
      <w:r>
        <w:t xml:space="preserve"> </w:t>
      </w:r>
      <w:r>
        <w:t xml:space="preserve">can be large without creating a safety violation if the action remains conservative enough. The</w:t>
      </w:r>
      <w:r>
        <w:t xml:space="preserve"> </w:t>
      </w:r>
      <w:r>
        <w:t xml:space="preserve">OASG is the specific regime where the observation channel misleads the release decision itself.</w:t>
      </w:r>
      <w:r>
        <w:t xml:space="preserve"> </w:t>
      </w:r>
      <w:r>
        <w:t xml:space="preserve">That is why ORIUS focuses on action mediation, not only on uncertainty reporting.</w:t>
      </w:r>
    </w:p>
    <w:bookmarkEnd w:id="40"/>
    <w:bookmarkStart w:id="41" w:name="observation-consistent-state-sets"/>
    <w:p>
      <w:pPr>
        <w:pStyle w:val="Heading3"/>
      </w:pPr>
      <w:r>
        <w:t xml:space="preserve">Observation-consistent state sets</w:t>
      </w:r>
    </w:p>
    <w:p>
      <w:pPr>
        <w:pStyle w:val="FirstParagraph"/>
      </w:pPr>
      <w:r>
        <w:t xml:space="preserve">ORIUS does not assume that the true state can be recovered exactly at runtime. Instead, it works</w:t>
      </w:r>
      <w:r>
        <w:t xml:space="preserve"> </w:t>
      </w:r>
      <w:r>
        <w:t xml:space="preserve">with an observation-consistent state set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nor/>
                  <m:sty m:val="p"/>
                </m:rPr>
                <m:t> remains plausible given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nor/>
                  <m:sty m:val="p"/>
                </m:rPr>
                <m:t> and runtime reliability </m:t>
              </m:r>
              <m:sSub>
                <m:e>
                  <m:r>
                    <m:t>w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observation reliability score. As reliability degrades,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widens. This widening is the formal bridge between degraded telemetry and safe</w:t>
      </w:r>
      <w:r>
        <w:t xml:space="preserve"> </w:t>
      </w:r>
      <w:r>
        <w:t xml:space="preserve">action. Once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expands, the admissible action set must contract: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cr m:val="script"/>
                  <m:sty m:val="p"/>
                </m:rPr>
                <m:t>U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u</m:t>
          </m:r>
          <m:r>
            <m:rPr>
              <m:sty m:val="p"/>
            </m:rPr>
            <m:t>:</m:t>
          </m:r>
          <m:r>
            <m:t>u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for every </m:t>
          </m:r>
          <m:r>
            <m:t>x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runtime question is then precise: given a candidate action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 does it belong to the</w:t>
      </w:r>
      <w:r>
        <w:t xml:space="preserve"> </w:t>
      </w:r>
      <w:r>
        <w:t xml:space="preserve">current safe set</w:t>
      </w:r>
      <w:r>
        <w:t xml:space="preserve"> </w:t>
      </w:r>
      <m:oMath>
        <m:sSubSup>
          <m:e>
            <m:r>
              <m:rPr>
                <m:scr m:val="script"/>
                <m:sty m:val="p"/>
              </m:rPr>
              <m:t>U</m:t>
            </m:r>
          </m:e>
          <m:sub>
            <m:r>
              <m:t>t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p>
        </m:sSubSup>
      </m:oMath>
      <w:r>
        <w:t xml:space="preserve">? If not, can it be repaired by projection or</w:t>
      </w:r>
      <w:r>
        <w:t xml:space="preserve"> </w:t>
      </w:r>
      <w:r>
        <w:t xml:space="preserve">replacement? If not, which governed fallback policy must be triggered? This formulation is what</w:t>
      </w:r>
      <w:r>
        <w:t xml:space="preserve"> </w:t>
      </w:r>
      <w:r>
        <w:t xml:space="preserve">lets ORIUS connect reliability scoring, uncertainty inflation, safe-set tightening, and</w:t>
      </w:r>
      <w:r>
        <w:t xml:space="preserve"> </w:t>
      </w:r>
      <w:r>
        <w:t xml:space="preserve">certificate semantics into one runtime loop.</w:t>
      </w:r>
    </w:p>
    <w:bookmarkEnd w:id="41"/>
    <w:bookmarkStart w:id="42" w:name="repair-fallback-and-release"/>
    <w:p>
      <w:pPr>
        <w:pStyle w:val="Heading3"/>
      </w:pPr>
      <w:r>
        <w:t xml:space="preserve">Repair, fallback, and release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runtime repair map. Given a candidate action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 ORIUS computes either</w:t>
      </w:r>
      <w:r>
        <w:t xml:space="preserve"> </w:t>
      </w:r>
      <w:r>
        <w:t xml:space="preserve">a repaired action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Π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u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cr m:val="script"/>
                  <m:sty m:val="p"/>
                </m:rP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that lies inside</w:t>
      </w:r>
      <w:r>
        <w:t xml:space="preserve"> </w:t>
      </w:r>
      <m:oMath>
        <m:sSubSup>
          <m:e>
            <m:r>
              <m:rPr>
                <m:scr m:val="script"/>
                <m:sty m:val="p"/>
              </m:rPr>
              <m:t>U</m:t>
            </m:r>
          </m:e>
          <m:sub>
            <m:r>
              <m:t>t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p>
        </m:sSubSup>
      </m:oMath>
      <w:r>
        <w:t xml:space="preserve">, or else escalates to a fallback action</w:t>
      </w:r>
      <w:r>
        <w:t xml:space="preserve"> </w:t>
      </w:r>
      <m:oMath>
        <m:sSubSup>
          <m:e>
            <m:r>
              <m:t>u</m:t>
            </m:r>
          </m:e>
          <m:sub>
            <m:r>
              <m:t>t</m:t>
            </m:r>
          </m:sub>
          <m:sup>
            <m:r>
              <m:rPr>
                <m:sty m:val="p"/>
              </m:rPr>
              <m:t>f</m:t>
            </m:r>
            <m:r>
              <m:rPr>
                <m:sty m:val="p"/>
              </m:rPr>
              <m:t>b</m:t>
            </m:r>
          </m:sup>
        </m:sSubSup>
      </m:oMath>
      <w:r>
        <w:t xml:space="preserve"> </w:t>
      </w:r>
      <w:r>
        <w:t xml:space="preserve">specified by the domain governance policy. The formal point is that the</w:t>
      </w:r>
      <w:r>
        <w:t xml:space="preserve"> </w:t>
      </w:r>
      <w:r>
        <w:t xml:space="preserve">runtime layer does not merely observe illegality; it mediates release. This distinguishes ORIUS</w:t>
      </w:r>
      <w:r>
        <w:t xml:space="preserve"> </w:t>
      </w:r>
      <w:r>
        <w:t xml:space="preserve">from alarm-only monitoring and from nominal predictive systems that surface confidence but leave</w:t>
      </w:r>
      <w:r>
        <w:t xml:space="preserve"> </w:t>
      </w:r>
      <w:r>
        <w:t xml:space="preserve">the release decision unchanged.</w:t>
      </w:r>
    </w:p>
    <w:p>
      <w:pPr>
        <w:pStyle w:val="BodyText"/>
      </w:pPr>
      <w:r>
        <w:t xml:space="preserve">The release object is completed by a certificate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κ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x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cr m:val="script"/>
                  <m:sty m:val="p"/>
                </m:rP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t>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denotes a validity horizon or half-life proxy and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denotes governance metadata</w:t>
      </w:r>
      <w:r>
        <w:t xml:space="preserve"> </w:t>
      </w:r>
      <w:r>
        <w:t xml:space="preserve">such as lifecycle state, fallback reason, or audit hash context. Later chapters make that</w:t>
      </w:r>
      <w:r>
        <w:t xml:space="preserve"> </w:t>
      </w:r>
      <w:r>
        <w:t xml:space="preserve">certificate operational through CertOS.</w:t>
      </w:r>
    </w:p>
    <w:bookmarkEnd w:id="42"/>
    <w:bookmarkStart w:id="43" w:name="dual-trajectory-evaluation"/>
    <w:p>
      <w:pPr>
        <w:pStyle w:val="Heading3"/>
      </w:pPr>
      <w:r>
        <w:t xml:space="preserve">Dual-trajectory evaluation</w:t>
      </w:r>
    </w:p>
    <w:p>
      <w:pPr>
        <w:pStyle w:val="FirstParagraph"/>
      </w:pPr>
      <w:r>
        <w:t xml:space="preserve">The dissertation evaluates ORIUS on dual trajectories. The</w:t>
      </w:r>
      <w:r>
        <w:t xml:space="preserve"> </w:t>
      </w:r>
      <w:r>
        <w:rPr>
          <w:i/>
          <w:iCs/>
        </w:rPr>
        <w:t xml:space="preserve">observed trajectory</w:t>
      </w:r>
      <w:r>
        <w:t xml:space="preserve"> </w:t>
      </w:r>
      <w:r>
        <w:t xml:space="preserve">is the one</w:t>
      </w:r>
      <w:r>
        <w:t xml:space="preserve"> </w:t>
      </w:r>
      <w:r>
        <w:t xml:space="preserve">visible to the nominal controller and therefore to the candidate action it proposes. The</w:t>
      </w:r>
      <w:r>
        <w:t xml:space="preserve"> </w:t>
      </w:r>
      <w:r>
        <w:rPr>
          <w:i/>
          <w:iCs/>
        </w:rPr>
        <w:t xml:space="preserve">true trajectory</w:t>
      </w:r>
      <w:r>
        <w:t xml:space="preserve"> </w:t>
      </w:r>
      <w:r>
        <w:t xml:space="preserve">is the one used to determine whether that candidate or repaired action</w:t>
      </w:r>
      <w:r>
        <w:t xml:space="preserve"> </w:t>
      </w:r>
      <w:r>
        <w:t xml:space="preserve">actually violates the physical safety envelope. A benchmark that inspects only observed-state</w:t>
      </w:r>
      <w:r>
        <w:t xml:space="preserve"> </w:t>
      </w:r>
      <w:r>
        <w:t xml:space="preserve">legality cannot see the OASG directly. ORIUS-Bench therefore records the candidate action, the</w:t>
      </w:r>
      <w:r>
        <w:t xml:space="preserve"> </w:t>
      </w:r>
      <w:r>
        <w:t xml:space="preserve">repaired action, true-state violation, observed-state satisfaction, optional true and observed</w:t>
      </w:r>
      <w:r>
        <w:t xml:space="preserve"> </w:t>
      </w:r>
      <w:r>
        <w:t xml:space="preserve">margins, fallback and intervention markers, latency, and certificate validity inside one replay</w:t>
      </w:r>
      <w:r>
        <w:t xml:space="preserve"> </w:t>
      </w:r>
      <w:r>
        <w:t xml:space="preserve">schema.</w:t>
      </w:r>
    </w:p>
    <w:p>
      <w:pPr>
        <w:pStyle w:val="BodyText"/>
      </w:pPr>
      <w:r>
        <w:t xml:space="preserve">This dual-trajectory formulation is the critical measurement move of the dissertation. It keeps</w:t>
      </w:r>
      <w:r>
        <w:t xml:space="preserve"> </w:t>
      </w:r>
      <w:r>
        <w:t xml:space="preserve">the benchmark aligned with the formal problem object instead of allowing nominal performance</w:t>
      </w:r>
      <w:r>
        <w:t xml:space="preserve"> </w:t>
      </w:r>
      <w:r>
        <w:t xml:space="preserve">metrics to impersonate safety evidence.</w:t>
      </w:r>
    </w:p>
    <w:bookmarkEnd w:id="43"/>
    <w:bookmarkStart w:id="44" w:name="domainadapter-grounding"/>
    <w:p>
      <w:pPr>
        <w:pStyle w:val="Heading3"/>
      </w:pPr>
      <w:r>
        <w:t xml:space="preserve">DomainAdapter grounding</w:t>
      </w:r>
    </w:p>
    <w:p>
      <w:pPr>
        <w:pStyle w:val="FirstParagraph"/>
      </w:pPr>
      <w:r>
        <w:t xml:space="preserve">The universal formulation is grounded in the repository through the</w:t>
      </w:r>
      <w:r>
        <w:t xml:space="preserve"> </w:t>
      </w:r>
      <w:r>
        <w:rPr>
          <w:rStyle w:val="VerbatimChar"/>
        </w:rPr>
        <w:t xml:space="preserve">DomainAdapter</w:t>
      </w:r>
      <w:r>
        <w:t xml:space="preserve"> </w:t>
      </w:r>
      <w:r>
        <w:t xml:space="preserve">contract. Each domain must supply:</w:t>
      </w:r>
    </w:p>
    <w:p>
      <w:pPr>
        <w:numPr>
          <w:ilvl w:val="0"/>
          <w:numId w:val="1004"/>
        </w:numPr>
      </w:pPr>
      <w:r>
        <w:t xml:space="preserve">telemetry parsing and state semantics,</w:t>
      </w:r>
    </w:p>
    <w:p>
      <w:pPr>
        <w:numPr>
          <w:ilvl w:val="0"/>
          <w:numId w:val="1004"/>
        </w:numPr>
      </w:pPr>
      <w:r>
        <w:t xml:space="preserve">uncertainty or margin construction hooks,</w:t>
      </w:r>
    </w:p>
    <w:p>
      <w:pPr>
        <w:numPr>
          <w:ilvl w:val="0"/>
          <w:numId w:val="1004"/>
        </w:numPr>
      </w:pPr>
      <w:r>
        <w:t xml:space="preserve">admissible-action or repair logic,</w:t>
      </w:r>
    </w:p>
    <w:p>
      <w:pPr>
        <w:numPr>
          <w:ilvl w:val="0"/>
          <w:numId w:val="1004"/>
        </w:numPr>
      </w:pPr>
      <w:r>
        <w:t xml:space="preserve">true-state violation predicates,</w:t>
      </w:r>
    </w:p>
    <w:p>
      <w:pPr>
        <w:numPr>
          <w:ilvl w:val="0"/>
          <w:numId w:val="1004"/>
        </w:numPr>
      </w:pPr>
      <w:r>
        <w:t xml:space="preserve">observed-state satisfaction predicates, and</w:t>
      </w:r>
    </w:p>
    <w:p>
      <w:pPr>
        <w:numPr>
          <w:ilvl w:val="0"/>
          <w:numId w:val="1004"/>
        </w:numPr>
      </w:pPr>
      <w:r>
        <w:t xml:space="preserve">certificate payload specifics.</w:t>
      </w:r>
    </w:p>
    <w:p>
      <w:pPr>
        <w:pStyle w:val="FirstParagraph"/>
      </w:pPr>
      <w:r>
        <w:t xml:space="preserve">This boundary is what makes the universal claim scientifically credible. The dissertation does</w:t>
      </w:r>
      <w:r>
        <w:t xml:space="preserve"> </w:t>
      </w:r>
      <w:r>
        <w:t xml:space="preserve">not claim that one plant model or one controller solves every domain. It claims that every domain</w:t>
      </w:r>
      <w:r>
        <w:t xml:space="preserve"> </w:t>
      </w:r>
      <w:r>
        <w:t xml:space="preserve">can expose the same runtime safety objects and thereby enter the same benchmark and governance</w:t>
      </w:r>
      <w:r>
        <w:t xml:space="preserve"> </w:t>
      </w:r>
      <w:r>
        <w:t xml:space="preserve">discipline.</w:t>
      </w:r>
    </w:p>
    <w:bookmarkEnd w:id="44"/>
    <w:bookmarkStart w:id="46" w:name="scope-and-assumptions"/>
    <w:p>
      <w:pPr>
        <w:pStyle w:val="Heading3"/>
      </w:pPr>
      <w:r>
        <w:t xml:space="preserve">Scope and assumptions</w:t>
      </w:r>
    </w:p>
    <w:p>
      <w:pPr>
        <w:pStyle w:val="FirstParagraph"/>
      </w:pPr>
      <w:r>
        <w:t xml:space="preserve">The formal problem is intentionally narrower than a claim of general AI safety. ORIUS assumes:</w:t>
      </w:r>
    </w:p>
    <w:p>
      <w:pPr>
        <w:numPr>
          <w:ilvl w:val="0"/>
          <w:numId w:val="1005"/>
        </w:numPr>
      </w:pPr>
      <w:r>
        <w:t xml:space="preserve">an actionable physical system with explicit or computable safety constraints,</w:t>
      </w:r>
    </w:p>
    <w:p>
      <w:pPr>
        <w:numPr>
          <w:ilvl w:val="0"/>
          <w:numId w:val="1005"/>
        </w:numPr>
      </w:pPr>
      <w:r>
        <w:t xml:space="preserve">an observation channel that can degrade in ways that matter to release semantics,</w:t>
      </w:r>
    </w:p>
    <w:p>
      <w:pPr>
        <w:numPr>
          <w:ilvl w:val="0"/>
          <w:numId w:val="1005"/>
        </w:numPr>
      </w:pPr>
      <w:r>
        <w:t xml:space="preserve">a runtime interposition layer capable of intercepting, repairing, or replacing actions,</w:t>
      </w:r>
    </w:p>
    <w:p>
      <w:pPr>
        <w:numPr>
          <w:ilvl w:val="0"/>
          <w:numId w:val="1005"/>
        </w:numPr>
      </w:pPr>
      <w:r>
        <w:t xml:space="preserve">and a governance layer capable of recording why a release remained admissible.</w:t>
      </w:r>
    </w:p>
    <w:p>
      <w:pPr>
        <w:pStyle w:val="FirstParagraph"/>
      </w:pPr>
      <w:r>
        <w:t xml:space="preserve">ORIUS does not assume perfect state recovery, universal optimal control, or equal empirical</w:t>
      </w:r>
      <w:r>
        <w:t xml:space="preserve"> </w:t>
      </w:r>
      <w:r>
        <w:t xml:space="preserve">maturity across all domains. It also does not assume that uncertainty calibration alone proves</w:t>
      </w:r>
      <w:r>
        <w:t xml:space="preserve"> </w:t>
      </w:r>
      <w:r>
        <w:t xml:space="preserve">safety. The later theorem and validation chapters are therefore written under explicit assumptions</w:t>
      </w:r>
      <w:r>
        <w:t xml:space="preserve"> </w:t>
      </w:r>
      <w:r>
        <w:t xml:space="preserve">and are tied to specific artifact surfaces rather than left as narrative implication.</w:t>
      </w:r>
    </w:p>
    <w:bookmarkStart w:id="45" w:name="boundary-of-this-chapter.-2"/>
    <w:p>
      <w:pPr>
        <w:pStyle w:val="Heading6"/>
      </w:pPr>
      <w:r>
        <w:t xml:space="preserve">Boundary of this chapter.</w:t>
      </w:r>
    </w:p>
    <w:p>
      <w:pPr>
        <w:pStyle w:val="FirstParagraph"/>
      </w:pPr>
      <w:r>
        <w:t xml:space="preserve">This chapter defines the formal objects that the rest of the dissertation uses: degraded</w:t>
      </w:r>
      <w:r>
        <w:t xml:space="preserve"> </w:t>
      </w:r>
      <w:r>
        <w:t xml:space="preserve">observation, observation-consistent state sets, repaired release, and dual-trajectory evaluation.</w:t>
      </w:r>
      <w:r>
        <w:t xml:space="preserve"> </w:t>
      </w:r>
      <w:r>
        <w:t xml:space="preserve">It does not yet prove the theorem ladder or claim equal cross-domain closure; those claims remain</w:t>
      </w:r>
      <w:r>
        <w:t xml:space="preserve"> </w:t>
      </w:r>
      <w:r>
        <w:t xml:space="preserve">bounded by the assumptions and evidence surfaces introduced in the chapters that follow.</w:t>
      </w:r>
    </w:p>
    <w:bookmarkEnd w:id="45"/>
    <w:bookmarkEnd w:id="46"/>
    <w:bookmarkEnd w:id="47"/>
    <w:bookmarkEnd w:id="48"/>
    <w:bookmarkStart w:id="82" w:name="orius-framework-and-theorem-ladder"/>
    <w:p>
      <w:pPr>
        <w:pStyle w:val="Heading1"/>
      </w:pPr>
      <w:r>
        <w:t xml:space="preserve">ORIUS Framework and Theorem Ladder</w:t>
      </w:r>
    </w:p>
    <w:bookmarkStart w:id="58" w:name="ch:orius-architecture-dc3s"/>
    <w:p>
      <w:pPr>
        <w:pStyle w:val="Heading2"/>
      </w:pPr>
      <w:r>
        <w:t xml:space="preserve">ORIUS Architecture: DC3S Runtime Layer</w:t>
      </w:r>
    </w:p>
    <w:p>
      <w:pPr>
        <w:pStyle w:val="FirstParagraph"/>
      </w:pPr>
      <w:r>
        <w:t xml:space="preserve">ORIUS enters the dissertation at the narrowest and most consequential point in the control</w:t>
      </w:r>
      <w:r>
        <w:t xml:space="preserve"> </w:t>
      </w:r>
      <w:r>
        <w:t xml:space="preserve">loop: after nominal intelligence has proposed an action, but before that action is allowed</w:t>
      </w:r>
      <w:r>
        <w:t xml:space="preserve"> </w:t>
      </w:r>
      <w:r>
        <w:t xml:space="preserve">to alter a physical plant. That placement is deliberate. Batteries, vehicles, healthcare</w:t>
      </w:r>
      <w:r>
        <w:t xml:space="preserve"> </w:t>
      </w:r>
      <w:r>
        <w:t xml:space="preserve">monitors, and future additional domains do not share one estimator, one optimizer, or one</w:t>
      </w:r>
      <w:r>
        <w:t xml:space="preserve"> </w:t>
      </w:r>
      <w:r>
        <w:t xml:space="preserve">plant model. What they can share is a disciplined runtime treatment of what happens when</w:t>
      </w:r>
      <w:r>
        <w:t xml:space="preserve"> </w:t>
      </w:r>
      <w:r>
        <w:t xml:space="preserve">degraded observation changes the meaning of safe release.</w:t>
      </w:r>
    </w:p>
    <w:bookmarkStart w:id="49" w:name="why-a-runtime-layer-is-the-right-object"/>
    <w:p>
      <w:pPr>
        <w:pStyle w:val="Heading3"/>
      </w:pPr>
      <w:r>
        <w:t xml:space="preserve">Why a runtime layer is the right object</w:t>
      </w:r>
    </w:p>
    <w:p>
      <w:pPr>
        <w:pStyle w:val="FirstParagraph"/>
      </w:pPr>
      <w:r>
        <w:t xml:space="preserve">The architectural claim is therefore narrower and stronger than a proposal for a universal</w:t>
      </w:r>
      <w:r>
        <w:t xml:space="preserve"> </w:t>
      </w:r>
      <w:r>
        <w:t xml:space="preserve">controller. Degraded observation creates a release-boundary problem that sits between</w:t>
      </w:r>
      <w:r>
        <w:t xml:space="preserve"> </w:t>
      </w:r>
      <w:r>
        <w:t xml:space="preserve">inference and actuation. Once telemetry becomes stale, delayed, missing, or corrupted, the</w:t>
      </w:r>
      <w:r>
        <w:t xml:space="preserve"> </w:t>
      </w:r>
      <w:r>
        <w:t xml:space="preserve">relevant question is no longer only</w:t>
      </w:r>
      <w:r>
        <w:t xml:space="preserve"> </w:t>
      </w:r>
      <w:r>
        <w:t xml:space="preserve">“what would the nominal controller do?”</w:t>
      </w:r>
      <w:r>
        <w:t xml:space="preserve"> </w:t>
      </w:r>
      <w:r>
        <w:t xml:space="preserve">It becomes</w:t>
      </w:r>
      <w:r>
        <w:t xml:space="preserve"> </w:t>
      </w:r>
      <w:r>
        <w:t xml:space="preserve">“what action can still be justified for physical release under the observation quality now</w:t>
      </w:r>
      <w:r>
        <w:t xml:space="preserve"> </w:t>
      </w:r>
      <w:r>
        <w:t xml:space="preserve">available?”</w:t>
      </w:r>
      <w:r>
        <w:t xml:space="preserve"> </w:t>
      </w:r>
      <w:r>
        <w:t xml:space="preserve">ORIUS is the layer that answers that second question.</w:t>
      </w:r>
    </w:p>
    <w:p>
      <w:pPr>
        <w:pStyle w:val="BodyText"/>
      </w:pPr>
      <w:r>
        <w:t xml:space="preserve">That framing is what lets the book stay universal without drifting into abstraction. The</w:t>
      </w:r>
      <w:r>
        <w:t xml:space="preserve"> </w:t>
      </w:r>
      <w:r>
        <w:t xml:space="preserve">runtime layer leaves domain-specific controllers, estimators, and plant models in place</w:t>
      </w:r>
      <w:r>
        <w:t xml:space="preserve"> </w:t>
      </w:r>
      <w:r>
        <w:t xml:space="preserve">while freezing one common control-flow grammar for degraded observation. That grammar is</w:t>
      </w:r>
      <w:r>
        <w:t xml:space="preserve"> </w:t>
      </w:r>
      <w:r>
        <w:t xml:space="preserve">Detect, Calibrate, Constrain, Shield, and Certify.</w:t>
      </w:r>
    </w:p>
    <w:bookmarkEnd w:id="49"/>
    <w:bookmarkStart w:id="50" w:name="the-dc3s-release-step"/>
    <w:p>
      <w:pPr>
        <w:pStyle w:val="Heading3"/>
      </w:pPr>
      <w:r>
        <w:t xml:space="preserve">The DC3S release step</w:t>
      </w:r>
    </w:p>
    <w:p>
      <w:pPr>
        <w:pStyle w:val="FirstParagraph"/>
      </w:pPr>
      <w:r>
        <w:t xml:space="preserve">The universal runtime step has five stages.</w:t>
      </w:r>
    </w:p>
    <w:p>
      <w:pPr>
        <w:pStyle w:val="DefinitionTerm"/>
      </w:pPr>
      <w:r>
        <w:t xml:space="preserve">Detect</w:t>
      </w:r>
    </w:p>
    <w:p>
      <w:pPr>
        <w:pStyle w:val="Definition"/>
      </w:pPr>
      <w:r>
        <w:t xml:space="preserve">compute observation reliability from freshness, missingness, delay,</w:t>
      </w:r>
      <w:r>
        <w:t xml:space="preserve"> </w:t>
      </w:r>
      <w:r>
        <w:t xml:space="preserve">ordering, spikes, and consistency markers;</w:t>
      </w:r>
    </w:p>
    <w:p>
      <w:pPr>
        <w:pStyle w:val="DefinitionTerm"/>
      </w:pPr>
      <w:r>
        <w:t xml:space="preserve">Calibrate</w:t>
      </w:r>
    </w:p>
    <w:p>
      <w:pPr>
        <w:pStyle w:val="Definition"/>
      </w:pPr>
      <w:r>
        <w:t xml:space="preserve">widen the observation-consistent state set as reliability falls;</w:t>
      </w:r>
    </w:p>
    <w:p>
      <w:pPr>
        <w:pStyle w:val="DefinitionTerm"/>
      </w:pPr>
      <w:r>
        <w:t xml:space="preserve">Constrain</w:t>
      </w:r>
    </w:p>
    <w:p>
      <w:pPr>
        <w:pStyle w:val="Definition"/>
      </w:pPr>
      <w:r>
        <w:t xml:space="preserve">recompute the admissible action set under the widened uncertainty set;</w:t>
      </w:r>
    </w:p>
    <w:p>
      <w:pPr>
        <w:pStyle w:val="DefinitionTerm"/>
      </w:pPr>
      <w:r>
        <w:t xml:space="preserve">Shield</w:t>
      </w:r>
    </w:p>
    <w:p>
      <w:pPr>
        <w:pStyle w:val="Definition"/>
      </w:pPr>
      <w:r>
        <w:t xml:space="preserve">repair the candidate action or replace it with a bounded fallback when no</w:t>
      </w:r>
      <w:r>
        <w:t xml:space="preserve"> </w:t>
      </w:r>
      <w:r>
        <w:t xml:space="preserve">admissible repaired action remains;</w:t>
      </w:r>
    </w:p>
    <w:p>
      <w:pPr>
        <w:pStyle w:val="DefinitionTerm"/>
      </w:pPr>
      <w:r>
        <w:t xml:space="preserve">Certify</w:t>
      </w:r>
    </w:p>
    <w:p>
      <w:pPr>
        <w:pStyle w:val="Definition"/>
      </w:pPr>
      <w:r>
        <w:t xml:space="preserve">emit a causal certificate describing the reliability state, uncertainty</w:t>
      </w:r>
      <w:r>
        <w:t xml:space="preserve"> </w:t>
      </w:r>
      <w:r>
        <w:t xml:space="preserve">summary, repaired action, fallback status, and lifecycle metadata that govern release.</w:t>
      </w:r>
    </w:p>
    <w:p>
      <w:pPr>
        <w:pStyle w:val="FirstParagraph"/>
      </w:pPr>
      <w:r>
        <w:t xml:space="preserve">What matters is not that each stage is unprecedented in isolation. The architectural move is</w:t>
      </w:r>
      <w:r>
        <w:t xml:space="preserve"> </w:t>
      </w:r>
      <w:r>
        <w:t xml:space="preserve">the typed composition of all five at one runtime boundary. ORIUS treats degraded observation</w:t>
      </w:r>
      <w:r>
        <w:t xml:space="preserve"> </w:t>
      </w:r>
      <w:r>
        <w:t xml:space="preserve">as something that must change release semantics immediately, not as a warning signal that</w:t>
      </w:r>
      <w:r>
        <w:t xml:space="preserve"> </w:t>
      </w:r>
      <w:r>
        <w:t xml:space="preserve">can be logged while nominal actuation proceeds unchanged.</w:t>
      </w:r>
    </w:p>
    <w:bookmarkEnd w:id="50"/>
    <w:bookmarkStart w:id="52" w:name="universal-runtime-flow"/>
    <w:p>
      <w:pPr>
        <w:pStyle w:val="Heading3"/>
      </w:pPr>
      <w:r>
        <w:t xml:space="preserve">Universal runtime flow</w:t>
      </w:r>
    </w:p>
    <w:bookmarkStart w:id="51" w:name="fig:orius-runtime-step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ORIUS runtime flow from degraded telemetry to repaired action and governed</w:t>
      </w:r>
      <w:r>
        <w:t xml:space="preserve"> </w:t>
      </w:r>
      <w:r>
        <w:t xml:space="preserve">certificate. The figure is generated from the same publication assets that feed the</w:t>
      </w:r>
      <w:r>
        <w:t xml:space="preserve"> </w:t>
      </w:r>
      <w:r>
        <w:t xml:space="preserve">manuscript-facing parity and governance surfaces.</w:t>
      </w:r>
    </w:p>
    <w:bookmarkEnd w:id="51"/>
    <w:p>
      <w:pPr>
        <w:pStyle w:val="BodyText"/>
      </w:pPr>
      <w:r>
        <w:t xml:space="preserve">Figure </w:t>
      </w:r>
      <w:hyperlink w:anchor="fig:orius-runtime-step">
        <w:r>
          <w:rPr>
            <w:rStyle w:val="Hyperlink"/>
          </w:rPr>
          <w:t xml:space="preserve">1.2</w:t>
        </w:r>
      </w:hyperlink>
      <w:r>
        <w:t xml:space="preserve"> </w:t>
      </w:r>
      <w:r>
        <w:t xml:space="preserve">makes the runtime object concrete. Reliability is not a</w:t>
      </w:r>
      <w:r>
        <w:t xml:space="preserve"> </w:t>
      </w:r>
      <w:r>
        <w:t xml:space="preserve">dashboard number layered on top of an unchanged controller. It changes the admissible state</w:t>
      </w:r>
      <w:r>
        <w:t xml:space="preserve"> </w:t>
      </w:r>
      <w:r>
        <w:t xml:space="preserve">set, which changes the admissible action set, which in turn changes whether nominal action</w:t>
      </w:r>
      <w:r>
        <w:t xml:space="preserve"> </w:t>
      </w:r>
      <w:r>
        <w:t xml:space="preserve">may be released, whether it must be repaired, or whether the runtime must fall back to a</w:t>
      </w:r>
      <w:r>
        <w:t xml:space="preserve"> </w:t>
      </w:r>
      <w:r>
        <w:t xml:space="preserve">safer policy. Certification closes the loop by recording what was released, why it remained</w:t>
      </w:r>
      <w:r>
        <w:t xml:space="preserve"> </w:t>
      </w:r>
      <w:r>
        <w:t xml:space="preserve">admissible, and when that justification should expire.</w:t>
      </w:r>
    </w:p>
    <w:bookmarkEnd w:id="52"/>
    <w:bookmarkStart w:id="53" w:name="domainadapter-as-the-universal-boundary"/>
    <w:p>
      <w:pPr>
        <w:pStyle w:val="Heading3"/>
      </w:pPr>
      <w:r>
        <w:t xml:space="preserve">DomainAdapter as the universal boundary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DomainAdapter</w:t>
      </w:r>
      <w:r>
        <w:t xml:space="preserve"> </w:t>
      </w:r>
      <w:r>
        <w:t xml:space="preserve">contract is the narrow interface that makes universality</w:t>
      </w:r>
      <w:r>
        <w:t xml:space="preserve"> </w:t>
      </w:r>
      <w:r>
        <w:t xml:space="preserve">credible. The adapter owns the local semantics that should remain local:</w:t>
      </w:r>
    </w:p>
    <w:p>
      <w:pPr>
        <w:numPr>
          <w:ilvl w:val="0"/>
          <w:numId w:val="1006"/>
        </w:numPr>
      </w:pPr>
      <w:r>
        <w:t xml:space="preserve">how raw telemetry is interpreted into state features;</w:t>
      </w:r>
    </w:p>
    <w:p>
      <w:pPr>
        <w:numPr>
          <w:ilvl w:val="0"/>
          <w:numId w:val="1006"/>
        </w:numPr>
      </w:pPr>
      <w:r>
        <w:t xml:space="preserve">how true-state violation and observed-state satisfaction are defined;</w:t>
      </w:r>
    </w:p>
    <w:p>
      <w:pPr>
        <w:numPr>
          <w:ilvl w:val="0"/>
          <w:numId w:val="1006"/>
        </w:numPr>
      </w:pPr>
      <w:r>
        <w:t xml:space="preserve">how candidate action is repaired or projected;</w:t>
      </w:r>
    </w:p>
    <w:p>
      <w:pPr>
        <w:numPr>
          <w:ilvl w:val="0"/>
          <w:numId w:val="1006"/>
        </w:numPr>
      </w:pPr>
      <w:r>
        <w:t xml:space="preserve">what fallback means for the plant; and</w:t>
      </w:r>
    </w:p>
    <w:p>
      <w:pPr>
        <w:numPr>
          <w:ilvl w:val="0"/>
          <w:numId w:val="1006"/>
        </w:numPr>
      </w:pPr>
      <w:r>
        <w:t xml:space="preserve">what certificate payload must be preserved for reviewable release.</w:t>
      </w:r>
    </w:p>
    <w:p>
      <w:pPr>
        <w:pStyle w:val="FirstParagraph"/>
      </w:pPr>
      <w:r>
        <w:t xml:space="preserve">The universal kernel owns what should remain shared:</w:t>
      </w:r>
    </w:p>
    <w:p>
      <w:pPr>
        <w:numPr>
          <w:ilvl w:val="0"/>
          <w:numId w:val="1007"/>
        </w:numPr>
      </w:pPr>
      <w:r>
        <w:t xml:space="preserve">reliability handling;</w:t>
      </w:r>
    </w:p>
    <w:p>
      <w:pPr>
        <w:numPr>
          <w:ilvl w:val="0"/>
          <w:numId w:val="1007"/>
        </w:numPr>
      </w:pPr>
      <w:r>
        <w:t xml:space="preserve">uncertainty inflation;</w:t>
      </w:r>
    </w:p>
    <w:p>
      <w:pPr>
        <w:numPr>
          <w:ilvl w:val="0"/>
          <w:numId w:val="1007"/>
        </w:numPr>
      </w:pPr>
      <w:r>
        <w:t xml:space="preserve">admissible-set tightening;</w:t>
      </w:r>
    </w:p>
    <w:p>
      <w:pPr>
        <w:numPr>
          <w:ilvl w:val="0"/>
          <w:numId w:val="1007"/>
        </w:numPr>
      </w:pPr>
      <w:r>
        <w:t xml:space="preserve">benchmark-schema compatibility; and</w:t>
      </w:r>
    </w:p>
    <w:p>
      <w:pPr>
        <w:numPr>
          <w:ilvl w:val="0"/>
          <w:numId w:val="1007"/>
        </w:numPr>
      </w:pPr>
      <w:r>
        <w:t xml:space="preserve">certificate lifecycle discipline.</w:t>
      </w:r>
    </w:p>
    <w:p>
      <w:pPr>
        <w:pStyle w:val="FirstParagraph"/>
      </w:pPr>
      <w:r>
        <w:t xml:space="preserve">This separation is the implementation answer to the universality question. ORIUS does not</w:t>
      </w:r>
      <w:r>
        <w:t xml:space="preserve"> </w:t>
      </w:r>
      <w:r>
        <w:t xml:space="preserve">argue that every domain shares one plant geometry. It argues that each domain can expose its</w:t>
      </w:r>
      <w:r>
        <w:t xml:space="preserve"> </w:t>
      </w:r>
      <w:r>
        <w:t xml:space="preserve">own geometry through one runtime contract while the safety logic surrounding degraded</w:t>
      </w:r>
      <w:r>
        <w:t xml:space="preserve"> </w:t>
      </w:r>
      <w:r>
        <w:t xml:space="preserve">observation remains reusable.</w:t>
      </w:r>
    </w:p>
    <w:bookmarkEnd w:id="53"/>
    <w:bookmarkStart w:id="54" w:name="X8729caab528a7cabafae6cf2938321b8413f732"/>
    <w:p>
      <w:pPr>
        <w:pStyle w:val="Heading3"/>
      </w:pPr>
      <w:r>
        <w:t xml:space="preserve">Relationship to supervision and safety filters</w:t>
      </w:r>
    </w:p>
    <w:p>
      <w:pPr>
        <w:pStyle w:val="FirstParagraph"/>
      </w:pPr>
      <w:r>
        <w:t xml:space="preserve">ORIUS should be read as compatible with, not opposed to, established safety-filter and</w:t>
      </w:r>
      <w:r>
        <w:t xml:space="preserve"> </w:t>
      </w:r>
      <w:r>
        <w:t xml:space="preserve">runtime-assurance ideas. Control barrier functions, predictive safety filters, and robust</w:t>
      </w:r>
      <w:r>
        <w:t xml:space="preserve"> </w:t>
      </w:r>
      <w:r>
        <w:t xml:space="preserve">MPC show how plant constraints can be translated into admissible control updates</w:t>
      </w:r>
      <w:r>
        <w:t xml:space="preserve"> </w:t>
      </w:r>
      <w:r>
        <w:t xml:space="preserve">. Simplex-style</w:t>
      </w:r>
      <w:r>
        <w:t xml:space="preserve"> </w:t>
      </w:r>
      <w:r>
        <w:t xml:space="preserve">runtime assurance shows how a high-performance controller can be supervised by a safer</w:t>
      </w:r>
      <w:r>
        <w:t xml:space="preserve"> </w:t>
      </w:r>
      <w:r>
        <w:t xml:space="preserve">fallback authority when operating conditions invalidate the nominal control contract</w:t>
      </w:r>
      <w:r>
        <w:t xml:space="preserve"> </w:t>
      </w:r>
      <w:r>
        <w:t xml:space="preserve">.</w:t>
      </w:r>
    </w:p>
    <w:p>
      <w:pPr>
        <w:pStyle w:val="BodyText"/>
      </w:pPr>
      <w:r>
        <w:t xml:space="preserve">ORIUS differs in emphasis. It freezes degraded observation itself as the opening object of</w:t>
      </w:r>
      <w:r>
        <w:t xml:space="preserve"> </w:t>
      </w:r>
      <w:r>
        <w:t xml:space="preserve">the runtime step. Reliability loss is not merely one more disturbance bound; it is the</w:t>
      </w:r>
      <w:r>
        <w:t xml:space="preserve"> </w:t>
      </w:r>
      <w:r>
        <w:t xml:space="preserve">mechanism that tells the runtime when the meaning of observed-state legality has changed.</w:t>
      </w:r>
      <w:r>
        <w:t xml:space="preserve"> </w:t>
      </w:r>
      <w:r>
        <w:t xml:space="preserve">That is why Detect and Calibrate appear before Shield. The runtime does not only ask how to</w:t>
      </w:r>
      <w:r>
        <w:t xml:space="preserve"> </w:t>
      </w:r>
      <w:r>
        <w:t xml:space="preserve">project action back into a safe set. It asks how the safe set should be redefined once the</w:t>
      </w:r>
      <w:r>
        <w:t xml:space="preserve"> </w:t>
      </w:r>
      <w:r>
        <w:t xml:space="preserve">observation channel can no longer be trusted at face value.</w:t>
      </w:r>
    </w:p>
    <w:bookmarkEnd w:id="54"/>
    <w:bookmarkStart w:id="55" w:name="Xdbdc1ffa8b78154ce18e28dd647884a5c645653"/>
    <w:p>
      <w:pPr>
        <w:pStyle w:val="Heading3"/>
      </w:pPr>
      <w:r>
        <w:t xml:space="preserve">Certificate emission and operational semantics</w:t>
      </w:r>
    </w:p>
    <w:p>
      <w:pPr>
        <w:pStyle w:val="FirstParagraph"/>
      </w:pPr>
      <w:r>
        <w:t xml:space="preserve">Certify is not bookkeeping. Once repaired action is released, the runtime must still say</w:t>
      </w:r>
      <w:r>
        <w:t xml:space="preserve"> </w:t>
      </w:r>
      <w:r>
        <w:t xml:space="preserve">what assumptions justified release, which fallback would be taken if the certificate</w:t>
      </w:r>
      <w:r>
        <w:t xml:space="preserve"> </w:t>
      </w:r>
      <w:r>
        <w:t xml:space="preserve">expired, and how later review can reconstruct the decision. In ORIUS, certificate metadata</w:t>
      </w:r>
      <w:r>
        <w:t xml:space="preserve"> </w:t>
      </w:r>
      <w:r>
        <w:t xml:space="preserve">therefore sits inside the same runtime object as reliability, repair, and fallback.</w:t>
      </w:r>
    </w:p>
    <w:p>
      <w:pPr>
        <w:pStyle w:val="BodyText"/>
      </w:pPr>
      <w:r>
        <w:t xml:space="preserve">This is what turns ORIUS from a controller-side heuristic into a governed runtime layer. The</w:t>
      </w:r>
      <w:r>
        <w:t xml:space="preserve"> </w:t>
      </w:r>
      <w:r>
        <w:t xml:space="preserve">release record must be causal, bounded, and auditable. That discipline is what makes it</w:t>
      </w:r>
      <w:r>
        <w:t xml:space="preserve"> </w:t>
      </w:r>
      <w:r>
        <w:t xml:space="preserve">possible to compare domains through runtime artifacts rather than after-the-fact narrative.</w:t>
      </w:r>
    </w:p>
    <w:bookmarkEnd w:id="55"/>
    <w:bookmarkStart w:id="56" w:name="runtime-cost-and-operational-realism"/>
    <w:p>
      <w:pPr>
        <w:pStyle w:val="Heading3"/>
      </w:pPr>
      <w:r>
        <w:t xml:space="preserve">Runtime cost and operational realism</w:t>
      </w:r>
    </w:p>
    <w:p>
      <w:pPr>
        <w:pStyle w:val="FirstParagraph"/>
      </w:pPr>
      <w:r>
        <w:t xml:space="preserve">ORIUS is written for operational settings rather than theorem exposition alone. Runtime</w:t>
      </w:r>
      <w:r>
        <w:t xml:space="preserve"> </w:t>
      </w:r>
      <w:r>
        <w:t xml:space="preserve">overhead, fallback behavior, and auditable certificates are therefore part of the scientific</w:t>
      </w:r>
      <w:r>
        <w:t xml:space="preserve"> </w:t>
      </w:r>
      <w:r>
        <w:t xml:space="preserve">object. A safety layer that cannot act in time, cannot preserve a coherent lifecycle state,</w:t>
      </w:r>
      <w:r>
        <w:t xml:space="preserve"> </w:t>
      </w:r>
      <w:r>
        <w:t xml:space="preserve">or cannot explain why it intervened is not a convincing architecture for physical AI.</w:t>
      </w:r>
    </w:p>
    <w:p>
      <w:pPr>
        <w:pStyle w:val="BodyText"/>
      </w:pPr>
      <w:r>
        <w:t xml:space="preserve">That operational constraint is what leads naturally into the next two chapters. Once the</w:t>
      </w:r>
      <w:r>
        <w:t xml:space="preserve"> </w:t>
      </w:r>
      <w:r>
        <w:t xml:space="preserve">runtime layer has been fixed as the central object, the next question is what can actually</w:t>
      </w:r>
      <w:r>
        <w:t xml:space="preserve"> </w:t>
      </w:r>
      <w:r>
        <w:t xml:space="preserve">be proved about it and how those claims can be measured without confusing nominal coherence</w:t>
      </w:r>
      <w:r>
        <w:t xml:space="preserve"> </w:t>
      </w:r>
      <w:r>
        <w:t xml:space="preserve">for physical safety.</w:t>
      </w:r>
    </w:p>
    <w:bookmarkEnd w:id="56"/>
    <w:bookmarkStart w:id="57" w:name="architectural-takeaway"/>
    <w:p>
      <w:pPr>
        <w:pStyle w:val="Heading3"/>
      </w:pPr>
      <w:r>
        <w:t xml:space="preserve">Architectural takeaway</w:t>
      </w:r>
    </w:p>
    <w:p>
      <w:pPr>
        <w:pStyle w:val="FirstParagraph"/>
      </w:pPr>
      <w:r>
        <w:t xml:space="preserve">What this chapter establishes is architectural rather than empirical closure. ORIUS provides</w:t>
      </w:r>
      <w:r>
        <w:t xml:space="preserve"> </w:t>
      </w:r>
      <w:r>
        <w:t xml:space="preserve">a reusable runtime contract that translates degraded observation into</w:t>
      </w:r>
      <w:r>
        <w:t xml:space="preserve"> </w:t>
      </w:r>
      <w:r>
        <w:t xml:space="preserve">reliability-conditioned uncertainty, tightened action legality, repaired or fallback</w:t>
      </w:r>
      <w:r>
        <w:t xml:space="preserve"> </w:t>
      </w:r>
      <w:r>
        <w:t xml:space="preserve">release, and certificate-aware governance. Stronger claims about optimality, plant realism,</w:t>
      </w:r>
      <w:r>
        <w:t xml:space="preserve"> </w:t>
      </w:r>
      <w:r>
        <w:t xml:space="preserve">or deployment maturity remain tied to the benchmark rows and governed evidence surfaces that</w:t>
      </w:r>
      <w:r>
        <w:t xml:space="preserve"> </w:t>
      </w:r>
      <w:r>
        <w:t xml:space="preserve">follow.</w:t>
      </w:r>
    </w:p>
    <w:bookmarkEnd w:id="57"/>
    <w:bookmarkEnd w:id="58"/>
    <w:bookmarkStart w:id="72" w:name="ch:mathematical-foundations"/>
    <w:p>
      <w:pPr>
        <w:pStyle w:val="Heading2"/>
      </w:pPr>
      <w:r>
        <w:t xml:space="preserve">Mathematical Foundations and Safety Guarantees</w:t>
      </w:r>
    </w:p>
    <w:bookmarkStart w:id="59" w:name="Xb4e9b4c314138c2c7f54e3efa53b671a9db9196"/>
    <w:p>
      <w:pPr>
        <w:pStyle w:val="Heading3"/>
      </w:pPr>
      <w:r>
        <w:t xml:space="preserve">Why the theorem surface is intentionally narrow</w:t>
      </w:r>
    </w:p>
    <w:p>
      <w:pPr>
        <w:pStyle w:val="FirstParagraph"/>
      </w:pPr>
      <w:r>
        <w:t xml:space="preserve">ORIUS is not defended by one grand theorem claiming safety for every plant, every sensor</w:t>
      </w:r>
      <w:r>
        <w:t xml:space="preserve"> </w:t>
      </w:r>
      <w:r>
        <w:t xml:space="preserve">regime, and every domain. The mathematical surface is intentionally narrower and therefore</w:t>
      </w:r>
      <w:r>
        <w:t xml:space="preserve"> </w:t>
      </w:r>
      <w:r>
        <w:t xml:space="preserve">more durable. The theorem ladder states what can be proved once degraded observation is</w:t>
      </w:r>
      <w:r>
        <w:t xml:space="preserve"> </w:t>
      </w:r>
      <w:r>
        <w:t xml:space="preserve">modeled explicitly, once reliability-conditioned uncertainty is admitted as part of the</w:t>
      </w:r>
      <w:r>
        <w:t xml:space="preserve"> </w:t>
      </w:r>
      <w:r>
        <w:t xml:space="preserve">runtime object, and once repaired action or fallback is required before release.</w:t>
      </w:r>
    </w:p>
    <w:p>
      <w:pPr>
        <w:pStyle w:val="BodyText"/>
      </w:pPr>
      <w:r>
        <w:t xml:space="preserve">The monograph keeps that surface deliberately smaller than the dissertation’s</w:t>
      </w:r>
      <w:r>
        <w:t xml:space="preserve"> </w:t>
      </w:r>
      <w:r>
        <w:t xml:space="preserve">full formal register. The broader theorem/lemma/proposition lattice is part of</w:t>
      </w:r>
      <w:r>
        <w:t xml:space="preserve"> </w:t>
      </w:r>
      <w:r>
        <w:t xml:space="preserve">the thesis governance apparatus; the paper-facing surface only carries the</w:t>
      </w:r>
      <w:r>
        <w:t xml:space="preserve"> </w:t>
      </w:r>
      <w:r>
        <w:t xml:space="preserve">claims that remain central after proof hardening and claim-scope reduction.</w:t>
      </w:r>
    </w:p>
    <w:p>
      <w:pPr>
        <w:pStyle w:val="BodyText"/>
      </w:pPr>
      <w:r>
        <w:t xml:space="preserve">That discipline matters because it keeps the dissertation from making a false choice</w:t>
      </w:r>
      <w:r>
        <w:t xml:space="preserve"> </w:t>
      </w:r>
      <w:r>
        <w:t xml:space="preserve">between abstraction and implementation. The theorem surface is written against typed runtime</w:t>
      </w:r>
      <w:r>
        <w:t xml:space="preserve"> </w:t>
      </w:r>
      <w:r>
        <w:t xml:space="preserve">objects, explicit assumptions, and artifact-backed diagnostics. As a result, the strongest</w:t>
      </w:r>
      <w:r>
        <w:t xml:space="preserve"> </w:t>
      </w:r>
      <w:r>
        <w:t xml:space="preserve">claims are not merely conceptual and they are not merely empirical.</w:t>
      </w:r>
    </w:p>
    <w:bookmarkEnd w:id="59"/>
    <w:bookmarkStart w:id="60" w:name="notation-and-assumption-discipline"/>
    <w:p>
      <w:pPr>
        <w:pStyle w:val="Heading3"/>
      </w:pPr>
      <w:r>
        <w:t xml:space="preserve">Notation and assumption discipline</w:t>
      </w:r>
    </w:p>
    <w:p>
      <w:pPr>
        <w:pStyle w:val="FirstParagraph"/>
      </w:pPr>
      <w:r>
        <w:t xml:space="preserve">The formal objects used in this chapter are simple but exact:</w:t>
      </w:r>
    </w:p>
    <w:p>
      <w:pPr>
        <w:numPr>
          <w:ilvl w:val="0"/>
          <w:numId w:val="1008"/>
        </w:numPr>
      </w:pPr>
      <w:r>
        <w:t xml:space="preserve">a latent physical state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;</w:t>
      </w:r>
    </w:p>
    <w:p>
      <w:pPr>
        <w:numPr>
          <w:ilvl w:val="0"/>
          <w:numId w:val="1008"/>
        </w:numPr>
      </w:pPr>
      <w:r>
        <w:t xml:space="preserve">an observed state or telemetry-derived state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;</w:t>
      </w:r>
    </w:p>
    <w:p>
      <w:pPr>
        <w:numPr>
          <w:ilvl w:val="0"/>
          <w:numId w:val="1008"/>
        </w:numPr>
      </w:pPr>
      <w:r>
        <w:t xml:space="preserve">a candidate action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proposed by nominal intelligence;</w:t>
      </w:r>
    </w:p>
    <w:p>
      <w:pPr>
        <w:numPr>
          <w:ilvl w:val="0"/>
          <w:numId w:val="1008"/>
        </w:numPr>
      </w:pPr>
      <w:r>
        <w:t xml:space="preserve">a repaired or fallback action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released by ORIUS;</w:t>
      </w:r>
    </w:p>
    <w:p>
      <w:pPr>
        <w:numPr>
          <w:ilvl w:val="0"/>
          <w:numId w:val="1008"/>
        </w:numPr>
      </w:pPr>
      <w:r>
        <w:t xml:space="preserve">a runtime reliability score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summarizing observation trust; and</w:t>
      </w:r>
    </w:p>
    <w:p>
      <w:pPr>
        <w:numPr>
          <w:ilvl w:val="0"/>
          <w:numId w:val="1008"/>
        </w:numPr>
      </w:pPr>
      <w:r>
        <w:t xml:space="preserve">a violation predicate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defined through the domain adapter.</w:t>
      </w:r>
    </w:p>
    <w:p>
      <w:pPr>
        <w:pStyle w:val="FirstParagraph"/>
      </w:pPr>
      <w:r>
        <w:t xml:space="preserve">The score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not interpreted as a probability by definition. Whenever a</w:t>
      </w:r>
      <w:r>
        <w:t xml:space="preserve"> </w:t>
      </w:r>
      <w:r>
        <w:t xml:space="preserve">theorem turns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into a probabilistic risk or indistinguishability claim,</w:t>
      </w:r>
      <w:r>
        <w:t xml:space="preserve"> </w:t>
      </w:r>
      <w:r>
        <w:t xml:space="preserve">that conversion is written as an extra theorem-local assumption.</w:t>
      </w:r>
    </w:p>
    <w:p>
      <w:pPr>
        <w:pStyle w:val="BodyText"/>
      </w:pPr>
      <w:r>
        <w:t xml:space="preserve">The dissertation does not hide its assumptions. Every strong statement depends on the</w:t>
      </w:r>
      <w:r>
        <w:t xml:space="preserve"> </w:t>
      </w:r>
      <w:r>
        <w:t xml:space="preserve">assumption register in Appendix </w:t>
      </w:r>
      <w:hyperlink w:anchor="app:assumptions">
        <w:r>
          <w:rPr>
            <w:rStyle w:val="Hyperlink"/>
          </w:rPr>
          <w:t xml:space="preserve">2</w:t>
        </w:r>
      </w:hyperlink>
      <w:r>
        <w:t xml:space="preserve">. The core assumptions are finite</w:t>
      </w:r>
      <w:r>
        <w:t xml:space="preserve"> </w:t>
      </w:r>
      <w:r>
        <w:t xml:space="preserve">observation-consistent state inflation, availability of a feasible repaired action or</w:t>
      </w:r>
      <w:r>
        <w:t xml:space="preserve"> </w:t>
      </w:r>
      <w:r>
        <w:t xml:space="preserve">bounded fallback, causal certificate issuance, dual-trajectory replay fidelity, adapter</w:t>
      </w:r>
      <w:r>
        <w:t xml:space="preserve"> </w:t>
      </w:r>
      <w:r>
        <w:t xml:space="preserve">faithfulness, and evidence-tier discipline. If any of those assumptions is violated, the</w:t>
      </w:r>
      <w:r>
        <w:t xml:space="preserve"> </w:t>
      </w:r>
      <w:r>
        <w:t xml:space="preserve">associated theorem is not silently inherited by the runtime row.</w:t>
      </w:r>
    </w:p>
    <w:bookmarkEnd w:id="60"/>
    <w:bookmarkStart w:id="61" w:name="definition-of-oasg-as-a-formal-event"/>
    <w:p>
      <w:pPr>
        <w:pStyle w:val="Heading3"/>
      </w:pPr>
      <w:r>
        <w:t xml:space="preserve">Definition of OASG as a formal event</w:t>
      </w:r>
    </w:p>
    <w:p>
      <w:pPr>
        <w:pStyle w:val="FirstParagraph"/>
      </w:pPr>
      <w:r>
        <w:rPr>
          <w:b/>
          <w:bCs/>
        </w:rPr>
        <w:t xml:space="preserve">Definition 2.1</w:t>
      </w:r>
      <w:r>
        <w:t xml:space="preserve"> </w:t>
      </w:r>
      <w:r>
        <w:t xml:space="preserve">(Observation–Action Safety Gap).</w:t>
      </w:r>
      <w:r>
        <w:t xml:space="preserve"> </w:t>
      </w:r>
      <w:r>
        <w:t xml:space="preserve"> </w:t>
      </w:r>
      <w:r>
        <w:t xml:space="preserve">An observation–action safety gap occurs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when the candidate action is admissible</w:t>
      </w:r>
      <w:r>
        <w:t xml:space="preserve"> </w:t>
      </w:r>
      <w:r>
        <w:t xml:space="preserve">under the observed state but unsafe under the true physical state: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cr m:val="script"/>
              <m:sty m:val="p"/>
            </m:rPr>
            <m:t>V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definition is deliberately agnostic to plant family. The adapter chooses the local</w:t>
      </w:r>
      <w:r>
        <w:t xml:space="preserve"> </w:t>
      </w:r>
      <w:r>
        <w:t xml:space="preserve">meaning of admissibility and true-state violation. The universal layer fixes the semantic</w:t>
      </w:r>
      <w:r>
        <w:t xml:space="preserve"> </w:t>
      </w:r>
      <w:r>
        <w:t xml:space="preserve">pattern of the failure event.</w:t>
      </w:r>
    </w:p>
    <w:bookmarkEnd w:id="61"/>
    <w:bookmarkStart w:id="66" w:name="the-paper-facing-theorem-surface"/>
    <w:p>
      <w:pPr>
        <w:pStyle w:val="Heading3"/>
      </w:pPr>
      <w:r>
        <w:t xml:space="preserve">The paper-facing theorem surface</w:t>
      </w:r>
    </w:p>
    <w:p>
      <w:pPr>
        <w:pStyle w:val="FirstParagraph"/>
      </w:pPr>
      <w:r>
        <w:t xml:space="preserve">The paper-facing theory chapter carries four theorem-level statements and</w:t>
      </w:r>
      <w:r>
        <w:t xml:space="preserve"> </w:t>
      </w:r>
      <w:r>
        <w:t xml:space="preserve">pushes the longer transfer and lower-bound extensions to the dedicated thesis</w:t>
      </w:r>
      <w:r>
        <w:t xml:space="preserve"> </w:t>
      </w:r>
      <w:r>
        <w:t xml:space="preserve">extension chapter and proof appendix.</w:t>
      </w:r>
    </w:p>
    <w:bookmarkStart w:id="62" w:name="thm:oasg-existence"/>
    <w:p>
      <w:pPr>
        <w:pStyle w:val="BodyText"/>
      </w:pPr>
      <w:r>
        <w:rPr>
          <w:b/>
          <w:bCs/>
        </w:rPr>
        <w:t xml:space="preserve">Theorem 2.2</w:t>
      </w:r>
      <w:r>
        <w:t xml:space="preserve"> </w:t>
      </w:r>
      <w:r>
        <w:t xml:space="preserve">(OASG existence under degraded observation).</w:t>
      </w:r>
      <w:r>
        <w:t xml:space="preserve"> </w:t>
      </w:r>
      <w:r>
        <w:t xml:space="preserve"> </w:t>
      </w:r>
      <w:r>
        <w:rPr>
          <w:i/>
          <w:iCs/>
        </w:rPr>
        <w:t xml:space="preserve">If the observation channel admits a degradation regime in which the observed-state safety</w:t>
      </w:r>
      <w:r>
        <w:rPr>
          <w:i/>
          <w:iCs/>
        </w:rPr>
        <w:t xml:space="preserve"> </w:t>
      </w:r>
      <w:r>
        <w:rPr>
          <w:i/>
          <w:iCs/>
        </w:rPr>
        <w:t xml:space="preserve">predicate is no longer informationally sufficient for the true-state safety predicate, then</w:t>
      </w:r>
      <w:r>
        <w:rPr>
          <w:i/>
          <w:iCs/>
        </w:rPr>
        <w:t xml:space="preserve"> </w:t>
      </w:r>
      <w:r>
        <w:rPr>
          <w:i/>
          <w:iCs/>
        </w:rPr>
        <w:t xml:space="preserve">there exists an admissible observed-state release that produces a true-state violation.</w:t>
      </w:r>
    </w:p>
    <w:bookmarkEnd w:id="62"/>
    <w:bookmarkStart w:id="63" w:name="thm:safety-preservation"/>
    <w:p>
      <w:pPr>
        <w:pStyle w:val="BodyText"/>
      </w:pPr>
      <w:r>
        <w:rPr>
          <w:b/>
          <w:bCs/>
        </w:rPr>
        <w:t xml:space="preserve">Theorem 2.3</w:t>
      </w:r>
      <w:r>
        <w:t xml:space="preserve"> </w:t>
      </w:r>
      <w:r>
        <w:t xml:space="preserve">(Safety preservation under repaired release).</w:t>
      </w:r>
      <w:r>
        <w:t xml:space="preserve"> </w:t>
      </w:r>
      <w:r>
        <w:t xml:space="preserve"> </w:t>
      </w:r>
      <w:r>
        <w:rPr>
          <w:i/>
          <w:iCs/>
        </w:rPr>
        <w:t xml:space="preserve">Assume the inflated observation-consistent set is conservative with respect to the latent</w:t>
      </w:r>
      <w:r>
        <w:rPr>
          <w:i/>
          <w:iCs/>
        </w:rPr>
        <w:t xml:space="preserve"> </w:t>
      </w:r>
      <w:r>
        <w:rPr>
          <w:i/>
          <w:iCs/>
        </w:rPr>
        <w:t xml:space="preserve">state and assume the repair or fallback operator returns only actions admissible over that</w:t>
      </w:r>
      <w:r>
        <w:rPr>
          <w:i/>
          <w:iCs/>
        </w:rPr>
        <w:t xml:space="preserve"> </w:t>
      </w:r>
      <w:r>
        <w:rPr>
          <w:i/>
          <w:iCs/>
        </w:rPr>
        <w:t xml:space="preserve">set. Then the ORIUS release step preserves the defended safety predicate whenever the</w:t>
      </w:r>
      <w:r>
        <w:rPr>
          <w:i/>
          <w:iCs/>
        </w:rPr>
        <w:t xml:space="preserve"> </w:t>
      </w:r>
      <w:r>
        <w:rPr>
          <w:i/>
          <w:iCs/>
        </w:rPr>
        <w:t xml:space="preserve">required repair or fallback remains feasible.</w:t>
      </w:r>
    </w:p>
    <w:bookmarkEnd w:id="63"/>
    <w:bookmarkStart w:id="64" w:name="thm:risk-envelope"/>
    <w:p>
      <w:pPr>
        <w:pStyle w:val="BodyText"/>
      </w:pPr>
      <w:r>
        <w:rPr>
          <w:b/>
          <w:bCs/>
        </w:rPr>
        <w:t xml:space="preserve">Theorem 2.4</w:t>
      </w:r>
      <w:r>
        <w:t xml:space="preserve"> </w:t>
      </w:r>
      <w:r>
        <w:t xml:space="preserve">(Degradation-sensitive risk envelope).</w:t>
      </w:r>
      <w:r>
        <w:t xml:space="preserve"> </w:t>
      </w:r>
      <w:r>
        <w:t xml:space="preserve"> </w:t>
      </w:r>
      <w:r>
        <w:rPr>
          <w:i/>
          <w:iCs/>
        </w:rPr>
        <w:t xml:space="preserve">If uncertainty inflation is monotone in decreasing reliability and the release step is</w:t>
      </w:r>
      <w:r>
        <w:rPr>
          <w:i/>
          <w:iCs/>
        </w:rPr>
        <w:t xml:space="preserve"> </w:t>
      </w:r>
      <w:r>
        <w:rPr>
          <w:i/>
          <w:iCs/>
        </w:rPr>
        <w:t xml:space="preserve">monotone in admissible-set tightening, then the risk envelope contracts as reliability</w:t>
      </w:r>
      <w:r>
        <w:rPr>
          <w:i/>
          <w:iCs/>
        </w:rPr>
        <w:t xml:space="preserve"> </w:t>
      </w:r>
      <w:r>
        <w:rPr>
          <w:i/>
          <w:iCs/>
        </w:rPr>
        <w:t xml:space="preserve">falls. In other words, intervention pressure is a lawful consequence of degraded</w:t>
      </w:r>
      <w:r>
        <w:rPr>
          <w:i/>
          <w:iCs/>
        </w:rPr>
        <w:t xml:space="preserve"> </w:t>
      </w:r>
      <w:r>
        <w:rPr>
          <w:i/>
          <w:iCs/>
        </w:rPr>
        <w:t xml:space="preserve">observation rather than an arbitrary heuristic.</w:t>
      </w:r>
    </w:p>
    <w:bookmarkEnd w:id="64"/>
    <w:bookmarkStart w:id="65" w:name="prop:no-free-safety"/>
    <w:p>
      <w:pPr>
        <w:pStyle w:val="BodyText"/>
      </w:pPr>
      <w:r>
        <w:rPr>
          <w:b/>
          <w:bCs/>
        </w:rPr>
        <w:t xml:space="preserve">Proposition 2.5</w:t>
      </w:r>
      <w:r>
        <w:t xml:space="preserve"> </w:t>
      </w:r>
      <w:r>
        <w:t xml:space="preserve">(No free safety under quality-ignorant release).</w:t>
      </w:r>
      <w:r>
        <w:t xml:space="preserve"> </w:t>
      </w:r>
      <w:r>
        <w:t xml:space="preserve"> </w:t>
      </w:r>
      <w:r>
        <w:rPr>
          <w:i/>
          <w:iCs/>
        </w:rPr>
        <w:t xml:space="preserve">A controller that ignores observation-quality degradation can remain observed-state legal</w:t>
      </w:r>
      <w:r>
        <w:rPr>
          <w:i/>
          <w:iCs/>
        </w:rPr>
        <w:t xml:space="preserve"> </w:t>
      </w:r>
      <w:r>
        <w:rPr>
          <w:i/>
          <w:iCs/>
        </w:rPr>
        <w:t xml:space="preserve">while incurring nonzero true-state violation under admissible degradation regimes, even when</w:t>
      </w:r>
      <w:r>
        <w:rPr>
          <w:i/>
          <w:iCs/>
        </w:rPr>
        <w:t xml:space="preserve"> </w:t>
      </w:r>
      <w:r>
        <w:rPr>
          <w:i/>
          <w:iCs/>
        </w:rPr>
        <w:t xml:space="preserve">the nominal controller is internally coherent and locally optimal on the observed state.</w:t>
      </w:r>
    </w:p>
    <w:bookmarkEnd w:id="65"/>
    <w:p>
      <w:pPr>
        <w:pStyle w:val="BodyText"/>
      </w:pPr>
      <w:r>
        <w:t xml:space="preserve">The point of this ladder is modest but important. ORIUS does not prove that every plant can</w:t>
      </w:r>
      <w:r>
        <w:t xml:space="preserve"> </w:t>
      </w:r>
      <w:r>
        <w:t xml:space="preserve">avoid intervention. It proves that once reliability affects the observation-consistent state</w:t>
      </w:r>
      <w:r>
        <w:t xml:space="preserve"> </w:t>
      </w:r>
      <w:r>
        <w:t xml:space="preserve">set, safe release must itself become reliability aware.</w:t>
      </w:r>
    </w:p>
    <w:p>
      <w:pPr>
        <w:pStyle w:val="BodyText"/>
      </w:pPr>
      <w:r>
        <w:t xml:space="preserve">The stronger extension results are kept explicit rather than inlined here.</w:t>
      </w:r>
      <w:r>
        <w:t xml:space="preserve"> </w:t>
      </w:r>
      <w:r>
        <w:t xml:space="preserve">T10 is defended in the thesis as a boundary-indistinguishability lower bound</w:t>
      </w:r>
      <w:r>
        <w:t xml:space="preserve"> </w:t>
      </w:r>
      <w:r>
        <w:t xml:space="preserve">under extra hypotheses, and T11 is defended as a typed structural transfer</w:t>
      </w:r>
      <w:r>
        <w:t xml:space="preserve"> </w:t>
      </w:r>
      <w:r>
        <w:t xml:space="preserve">theorem paired with failure-mode counterexamples. Neither is used here as</w:t>
      </w:r>
      <w:r>
        <w:t xml:space="preserve"> </w:t>
      </w:r>
      <w:r>
        <w:t xml:space="preserve">paper-facing decoration.</w:t>
      </w:r>
    </w:p>
    <w:p>
      <w:pPr>
        <w:pStyle w:val="BodyText"/>
      </w:pPr>
      <w:r>
        <w:t xml:space="preserve">Appendix </w:t>
      </w:r>
      <w:hyperlink w:anchor="app:proofs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is the authoritative proof index for the defended</w:t>
      </w:r>
      <w:r>
        <w:t xml:space="preserve"> </w:t>
      </w:r>
      <w:r>
        <w:t xml:space="preserve">theorem program. The paper-facing surface intentionally remains narrower: it</w:t>
      </w:r>
      <w:r>
        <w:t xml:space="preserve"> </w:t>
      </w:r>
      <w:r>
        <w:t xml:space="preserve">inherits the same assumption language and scoped interpretation as the thesis,</w:t>
      </w:r>
      <w:r>
        <w:t xml:space="preserve"> </w:t>
      </w:r>
      <w:r>
        <w:t xml:space="preserve">but it does not reproduce the full 83-item formal register.</w:t>
      </w:r>
    </w:p>
    <w:bookmarkEnd w:id="66"/>
    <w:bookmarkStart w:id="67" w:name="risk-envelope-interpretation"/>
    <w:p>
      <w:pPr>
        <w:pStyle w:val="Heading3"/>
      </w:pPr>
      <w:r>
        <w:t xml:space="preserve">Risk envelope interpretation</w:t>
      </w:r>
    </w:p>
    <w:p>
      <w:pPr>
        <w:pStyle w:val="FirstParagraph"/>
      </w:pPr>
      <w:r>
        <w:t xml:space="preserve">The risk envelope is the most important bridge between formal and empirical language in the</w:t>
      </w:r>
      <w:r>
        <w:t xml:space="preserve"> </w:t>
      </w:r>
      <w:r>
        <w:t xml:space="preserve">dissertation. ORIUS does not claim safety from a single forecast error number. It reasons</w:t>
      </w:r>
      <w:r>
        <w:t xml:space="preserve"> </w:t>
      </w:r>
      <w:r>
        <w:t xml:space="preserve">through miscoverage, intervention feasibility, and mean reliability. That framing is what</w:t>
      </w:r>
      <w:r>
        <w:t xml:space="preserve"> </w:t>
      </w:r>
      <w:r>
        <w:t xml:space="preserve">allows the theorem layer to connect to uncertainty calibration without collapsing into a</w:t>
      </w:r>
      <w:r>
        <w:t xml:space="preserve"> </w:t>
      </w:r>
      <w:r>
        <w:t xml:space="preserve">purely statistical dissertation.</w:t>
      </w:r>
    </w:p>
    <w:p>
      <w:pPr>
        <w:pStyle w:val="BodyText"/>
      </w:pPr>
      <w:r>
        <w:t xml:space="preserve">In the tightened thesis surface, this bridge is explicit: the episode-level</w:t>
      </w:r>
      <w:r>
        <w:t xml:space="preserve"> </w:t>
      </w:r>
      <w:r>
        <w:t xml:space="preserve">bound is read through a per-step residual-risk budget, not as a direct</w:t>
      </w:r>
      <w:r>
        <w:t xml:space="preserve"> </w:t>
      </w:r>
      <w:r>
        <w:t xml:space="preserve">consequence of marginal conformal coverage alone.</w:t>
      </w:r>
    </w:p>
    <w:p>
      <w:pPr>
        <w:pStyle w:val="BodyText"/>
      </w:pPr>
      <w:r>
        <w:t xml:space="preserve">The uncertainty references in Chapter </w:t>
      </w:r>
      <w:hyperlink w:anchor="ch:related-work-novelty-ga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matter here. Classic</w:t>
      </w:r>
      <w:r>
        <w:t xml:space="preserve"> </w:t>
      </w:r>
      <w:r>
        <w:t xml:space="preserve">conformal prediction supplies the disciplined interpretation of uncertainty sets under</w:t>
      </w:r>
      <w:r>
        <w:t xml:space="preserve"> </w:t>
      </w:r>
      <w:r>
        <w:t xml:space="preserve">exchangeability, while adaptive conformal methods show how long-run calibration language can</w:t>
      </w:r>
      <w:r>
        <w:t xml:space="preserve"> </w:t>
      </w:r>
      <w:r>
        <w:t xml:space="preserve">be generalized more honestly under nonstationary streams</w:t>
      </w:r>
      <w:r>
        <w:t xml:space="preserve"> </w:t>
      </w:r>
      <w:r>
        <w:t xml:space="preserve">. ORIUS does not claim</w:t>
      </w:r>
      <w:r>
        <w:t xml:space="preserve"> </w:t>
      </w:r>
      <w:r>
        <w:t xml:space="preserve">that these methods alone solve runtime safety. It uses them to clarify what the uncertainty</w:t>
      </w:r>
      <w:r>
        <w:t xml:space="preserve"> </w:t>
      </w:r>
      <w:r>
        <w:t xml:space="preserve">set is allowed to mean before repaired release is evaluated. In practice, the online</w:t>
      </w:r>
      <w:r>
        <w:t xml:space="preserve"> </w:t>
      </w:r>
      <w:r>
        <w:t xml:space="preserve">conformal layer is an SPCI-lite quantile tracker in the style of Gibbs and</w:t>
      </w:r>
      <w:r>
        <w:t xml:space="preserve"> </w:t>
      </w:r>
      <w:r>
        <w:t xml:space="preserve">Candès</w:t>
      </w:r>
      <w:r>
        <w:t xml:space="preserve"> </w:t>
      </w:r>
      <w:r>
        <w:t xml:space="preserve"> </w:t>
      </w:r>
      <w:r>
        <w:t xml:space="preserve">that maintains an exponentially-weighted sliding window of</w:t>
      </w:r>
      <w:r>
        <w:t xml:space="preserve"> </w:t>
      </w:r>
      <w:r>
        <w:t xml:space="preserve">conformity scores, yielding intervals that adapt smoothly to distribution shift without a</w:t>
      </w:r>
      <w:r>
        <w:t xml:space="preserve"> </w:t>
      </w:r>
      <w:r>
        <w:t xml:space="preserve">full recalibration pass.</w:t>
      </w:r>
    </w:p>
    <w:bookmarkEnd w:id="67"/>
    <w:bookmarkStart w:id="68" w:name="Xca3f3fa85080b86f4c8ea1daf5b6d19c37409b4"/>
    <w:p>
      <w:pPr>
        <w:pStyle w:val="Heading3"/>
      </w:pPr>
      <w:r>
        <w:t xml:space="preserve">Why the proofs stay witness-backed but the objects stay universal</w:t>
      </w:r>
    </w:p>
    <w:p>
      <w:pPr>
        <w:pStyle w:val="FirstParagraph"/>
      </w:pPr>
      <w:r>
        <w:t xml:space="preserve">The energy-management reference row remains the deepest theorem-to-code-to-artifact chain because the witness row</w:t>
      </w:r>
      <w:r>
        <w:t xml:space="preserve"> </w:t>
      </w:r>
      <w:r>
        <w:t xml:space="preserve">provides the richest availability of proof-facing diagnostics, replay traces, and locked</w:t>
      </w:r>
      <w:r>
        <w:t xml:space="preserve"> </w:t>
      </w:r>
      <w:r>
        <w:t xml:space="preserve">artifacts. That does not make the theorem objects domain-specific. The objects are written</w:t>
      </w:r>
      <w:r>
        <w:t xml:space="preserve"> </w:t>
      </w:r>
      <w:r>
        <w:t xml:space="preserve">against reliability, uncertainty inflation, admissible action tightening, repair or</w:t>
      </w:r>
      <w:r>
        <w:t xml:space="preserve"> </w:t>
      </w:r>
      <w:r>
        <w:t xml:space="preserve">fallback, and certificate causality. Those are universal runtime objects instantiated</w:t>
      </w:r>
      <w:r>
        <w:t xml:space="preserve"> </w:t>
      </w:r>
      <w:r>
        <w:t xml:space="preserve">through the adapter, not energy-management-exclusive definitions.</w:t>
      </w:r>
    </w:p>
    <w:bookmarkEnd w:id="68"/>
    <w:bookmarkStart w:id="70" w:name="theorem-to-artifact-linkage"/>
    <w:p>
      <w:pPr>
        <w:pStyle w:val="Heading3"/>
      </w:pPr>
      <w:r>
        <w:t xml:space="preserve">Theorem-to-artifact linkage</w:t>
      </w:r>
    </w:p>
    <w:bookmarkStart w:id="69" w:name="fig:integrated-theorem-gat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integrated theorem gate keeps theorem language aligned to typed contracts,</w:t>
      </w:r>
      <w:r>
        <w:t xml:space="preserve"> </w:t>
      </w:r>
      <w:r>
        <w:t xml:space="preserve">assumptions, and locked artifacts rather than to informal prose alone.</w:t>
      </w:r>
    </w:p>
    <w:bookmarkEnd w:id="69"/>
    <w:p>
      <w:pPr>
        <w:pStyle w:val="BodyText"/>
      </w:pPr>
      <w:r>
        <w:t xml:space="preserve">Figure </w:t>
      </w:r>
      <w:hyperlink w:anchor="fig:integrated-theorem-gate">
        <w:r>
          <w:rPr>
            <w:rStyle w:val="Hyperlink"/>
          </w:rPr>
          <w:t xml:space="preserve">2.1</w:t>
        </w:r>
      </w:hyperlink>
      <w:r>
        <w:t xml:space="preserve"> </w:t>
      </w:r>
      <w:r>
        <w:t xml:space="preserve">summarizes the discipline used throughout the</w:t>
      </w:r>
      <w:r>
        <w:t xml:space="preserve"> </w:t>
      </w:r>
      <w:r>
        <w:t xml:space="preserve">manuscript. Every theorem is attached to an assumption family, a typed runtime object, and</w:t>
      </w:r>
      <w:r>
        <w:t xml:space="preserve"> </w:t>
      </w:r>
      <w:r>
        <w:t xml:space="preserve">at least one artifact-facing diagnostic or replay surface. This is why the dissertation can</w:t>
      </w:r>
      <w:r>
        <w:t xml:space="preserve"> </w:t>
      </w:r>
      <w:r>
        <w:t xml:space="preserve">state theorem results without pretending that empirical maturity is equal across all rows.</w:t>
      </w:r>
    </w:p>
    <w:bookmarkEnd w:id="70"/>
    <w:bookmarkStart w:id="71" w:name="what-is-proved-validated-and-still-open"/>
    <w:p>
      <w:pPr>
        <w:pStyle w:val="Heading3"/>
      </w:pPr>
      <w:r>
        <w:t xml:space="preserve">What is proved, validated, and still open</w:t>
      </w:r>
    </w:p>
    <w:p>
      <w:pPr>
        <w:pStyle w:val="FirstParagraph"/>
      </w:pPr>
      <w:r>
        <w:t xml:space="preserve">The theory chapter therefore ends with an explicit boundary. Theorem statements live here</w:t>
      </w:r>
      <w:r>
        <w:t xml:space="preserve"> </w:t>
      </w:r>
      <w:r>
        <w:t xml:space="preserve">and in Appendix </w:t>
      </w:r>
      <w:hyperlink w:anchor="app:proofs">
        <w:r>
          <w:rPr>
            <w:rStyle w:val="Hyperlink"/>
          </w:rPr>
          <w:t xml:space="preserve">3</w:t>
        </w:r>
      </w:hyperlink>
      <w:r>
        <w:t xml:space="preserve">. Validated claims only advance when replay, calibration,</w:t>
      </w:r>
      <w:r>
        <w:t xml:space="preserve"> </w:t>
      </w:r>
      <w:r>
        <w:t xml:space="preserve">runtime, and governance surfaces exist for the relevant domain row. Roadmap claims remain</w:t>
      </w:r>
      <w:r>
        <w:t xml:space="preserve"> </w:t>
      </w:r>
      <w:r>
        <w:t xml:space="preserve">outside defended theorem language. That separation is not a stylistic preference. It is the</w:t>
      </w:r>
      <w:r>
        <w:t xml:space="preserve"> </w:t>
      </w:r>
      <w:r>
        <w:t xml:space="preserve">mechanism that lets ORIUS argue for a universal runtime safety layer without pretending that</w:t>
      </w:r>
      <w:r>
        <w:t xml:space="preserve"> </w:t>
      </w:r>
      <w:r>
        <w:t xml:space="preserve">broader future-domain empirical closure has already been earned.</w:t>
      </w:r>
    </w:p>
    <w:bookmarkEnd w:id="71"/>
    <w:bookmarkEnd w:id="72"/>
    <w:bookmarkStart w:id="81" w:name="ch:benchmark-reproducibility-protocol"/>
    <w:p>
      <w:pPr>
        <w:pStyle w:val="Heading2"/>
      </w:pPr>
      <w:r>
        <w:t xml:space="preserve">Benchmark and Reproducibility Protocol</w:t>
      </w:r>
    </w:p>
    <w:bookmarkStart w:id="73" w:name="why-orius-bench-is-central-to-the-thesis"/>
    <w:p>
      <w:pPr>
        <w:pStyle w:val="Heading3"/>
      </w:pPr>
      <w:r>
        <w:t xml:space="preserve">Why ORIUS-Bench is central to the thesis</w:t>
      </w:r>
    </w:p>
    <w:p>
      <w:pPr>
        <w:pStyle w:val="FirstParagraph"/>
      </w:pPr>
      <w:r>
        <w:t xml:space="preserve">Once the runtime object has been fixed, the next question is whether it can be measured in a</w:t>
      </w:r>
      <w:r>
        <w:t xml:space="preserve"> </w:t>
      </w:r>
      <w:r>
        <w:t xml:space="preserve">way that matches the theory rather than only the software stack. ORIUS-Bench is the answer</w:t>
      </w:r>
      <w:r>
        <w:t xml:space="preserve"> </w:t>
      </w:r>
      <w:r>
        <w:t xml:space="preserve">to that question. It is not infrastructure attached after the science; it is the</w:t>
      </w:r>
      <w:r>
        <w:t xml:space="preserve"> </w:t>
      </w:r>
      <w:r>
        <w:t xml:space="preserve">measurement contract that makes the dissertation’s central object observable. If OASG is the</w:t>
      </w:r>
      <w:r>
        <w:t xml:space="preserve"> </w:t>
      </w:r>
      <w:r>
        <w:t xml:space="preserve">gap between observed-state legality and true-state safety, then the benchmark must expose</w:t>
      </w:r>
      <w:r>
        <w:t xml:space="preserve"> </w:t>
      </w:r>
      <w:r>
        <w:t xml:space="preserve">both surfaces explicitly. A benchmark that measures only forecast error, controller cost, or</w:t>
      </w:r>
      <w:r>
        <w:t xml:space="preserve"> </w:t>
      </w:r>
      <w:r>
        <w:t xml:space="preserve">observed-state success cannot validate the ORIUS claim because it cannot see the hidden</w:t>
      </w:r>
      <w:r>
        <w:t xml:space="preserve"> </w:t>
      </w:r>
      <w:r>
        <w:t xml:space="preserve">failure event the book is about.</w:t>
      </w:r>
    </w:p>
    <w:bookmarkEnd w:id="73"/>
    <w:bookmarkStart w:id="74" w:name="dual-trajectory-evaluation-1"/>
    <w:p>
      <w:pPr>
        <w:pStyle w:val="Heading3"/>
      </w:pPr>
      <w:r>
        <w:t xml:space="preserve">Dual-trajectory evaluation</w:t>
      </w:r>
    </w:p>
    <w:p>
      <w:pPr>
        <w:pStyle w:val="FirstParagraph"/>
      </w:pPr>
      <w:r>
        <w:t xml:space="preserve">Every ORIUS-Bench episode therefore carries two trajectories: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trajectory available to the runtime after degradation; and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true</w:t>
      </w:r>
      <w:r>
        <w:t xml:space="preserve"> </w:t>
      </w:r>
      <w:r>
        <w:t xml:space="preserve">trajectory used only by the replay or evaluation harness to judge</w:t>
      </w:r>
      <w:r>
        <w:t xml:space="preserve"> </w:t>
      </w:r>
      <w:r>
        <w:t xml:space="preserve">whether release was physically safe.</w:t>
      </w:r>
    </w:p>
    <w:p>
      <w:pPr>
        <w:pStyle w:val="FirstParagraph"/>
      </w:pPr>
      <w:r>
        <w:t xml:space="preserve">That separation makes the benchmark stricter than a conventional controller comparison. A</w:t>
      </w:r>
      <w:r>
        <w:t xml:space="preserve"> </w:t>
      </w:r>
      <w:r>
        <w:t xml:space="preserve">nominal controller may still appear coherent on the observed state while the replay harness</w:t>
      </w:r>
      <w:r>
        <w:t xml:space="preserve"> </w:t>
      </w:r>
      <w:r>
        <w:t xml:space="preserve">records a true-state violation. ORIUS-Bench treats that divergence as first-class evidence.</w:t>
      </w:r>
    </w:p>
    <w:bookmarkEnd w:id="74"/>
    <w:bookmarkStart w:id="75" w:name="deterministic-replay-and-fault-schedules"/>
    <w:p>
      <w:pPr>
        <w:pStyle w:val="Heading3"/>
      </w:pPr>
      <w:r>
        <w:t xml:space="preserve">Deterministic replay and fault schedules</w:t>
      </w:r>
    </w:p>
    <w:p>
      <w:pPr>
        <w:pStyle w:val="FirstParagraph"/>
      </w:pPr>
      <w:r>
        <w:t xml:space="preserve">The benchmark uses deterministic fault schedules so that comparisons are reproducible and so</w:t>
      </w:r>
      <w:r>
        <w:t xml:space="preserve"> </w:t>
      </w:r>
      <w:r>
        <w:t xml:space="preserve">that certificate traces can be replayed under the same degraded-observation regime. Fault</w:t>
      </w:r>
      <w:r>
        <w:t xml:space="preserve"> </w:t>
      </w:r>
      <w:r>
        <w:t xml:space="preserve">families include dropout, stale holds, delay, reordering, spikes, drift, and domain-local</w:t>
      </w:r>
      <w:r>
        <w:t xml:space="preserve"> </w:t>
      </w:r>
      <w:r>
        <w:t xml:space="preserve">analogs. The scientific point is not merely that faults exist. It is that the same fault</w:t>
      </w:r>
      <w:r>
        <w:t xml:space="preserve"> </w:t>
      </w:r>
      <w:r>
        <w:t xml:space="preserve">grammar can be replayed against one release contract across domains.</w:t>
      </w:r>
    </w:p>
    <w:p>
      <w:pPr>
        <w:pStyle w:val="BodyText"/>
      </w:pPr>
      <w:r>
        <w:t xml:space="preserve">Strict replay discipline matters for another reason: it prevents the dissertation from</w:t>
      </w:r>
      <w:r>
        <w:t xml:space="preserve"> </w:t>
      </w:r>
      <w:r>
        <w:t xml:space="preserve">hiding behind one-off operational anecdotes. A run must be reproducible through a manifest,</w:t>
      </w:r>
      <w:r>
        <w:t xml:space="preserve"> </w:t>
      </w:r>
      <w:r>
        <w:t xml:space="preserve">fault schedule, and artifact family. If a result cannot be regenerated from the tracked</w:t>
      </w:r>
      <w:r>
        <w:t xml:space="preserve"> </w:t>
      </w:r>
      <w:r>
        <w:t xml:space="preserve">surface, it is not part of the defended thesis claim.</w:t>
      </w:r>
    </w:p>
    <w:bookmarkEnd w:id="75"/>
    <w:bookmarkStart w:id="76" w:name="metrics-that-match-the-runtime-object"/>
    <w:p>
      <w:pPr>
        <w:pStyle w:val="Heading3"/>
      </w:pPr>
      <w:r>
        <w:t xml:space="preserve">Metrics that match the runtime object</w:t>
      </w:r>
    </w:p>
    <w:p>
      <w:pPr>
        <w:pStyle w:val="FirstParagraph"/>
      </w:pPr>
      <w:r>
        <w:t xml:space="preserve">ORIUS-Bench measures the runtime layer through seven core metrics:</w:t>
      </w:r>
    </w:p>
    <w:p>
      <w:pPr>
        <w:pStyle w:val="DefinitionTerm"/>
      </w:pPr>
      <w:r>
        <w:t xml:space="preserve">TSVR</w:t>
      </w:r>
    </w:p>
    <w:p>
      <w:pPr>
        <w:pStyle w:val="Definition"/>
      </w:pPr>
      <w:r>
        <w:t xml:space="preserve">true-state violation rate, the primary safety outcome;</w:t>
      </w:r>
    </w:p>
    <w:p>
      <w:pPr>
        <w:pStyle w:val="DefinitionTerm"/>
      </w:pPr>
      <w:r>
        <w:t xml:space="preserve">OASG</w:t>
      </w:r>
    </w:p>
    <w:p>
      <w:pPr>
        <w:pStyle w:val="Definition"/>
      </w:pPr>
      <w:r>
        <w:t xml:space="preserve">the observed-safe / true-unsafe discrepancy rate;</w:t>
      </w:r>
    </w:p>
    <w:p>
      <w:pPr>
        <w:pStyle w:val="DefinitionTerm"/>
      </w:pPr>
      <w:r>
        <w:t xml:space="preserve">CVA</w:t>
      </w:r>
    </w:p>
    <w:p>
      <w:pPr>
        <w:pStyle w:val="Definition"/>
      </w:pPr>
      <w:r>
        <w:t xml:space="preserve">certificate-valid action rate or validity surface;</w:t>
      </w:r>
    </w:p>
    <w:p>
      <w:pPr>
        <w:pStyle w:val="DefinitionTerm"/>
      </w:pPr>
      <w:r>
        <w:t xml:space="preserve">GDQ</w:t>
      </w:r>
    </w:p>
    <w:p>
      <w:pPr>
        <w:pStyle w:val="Definition"/>
      </w:pPr>
      <w:r>
        <w:t xml:space="preserve">graceful degradation quality under fallback or reduced-operation modes;</w:t>
      </w:r>
    </w:p>
    <w:p>
      <w:pPr>
        <w:pStyle w:val="DefinitionTerm"/>
      </w:pPr>
      <w:r>
        <w:t xml:space="preserve">IR</w:t>
      </w:r>
    </w:p>
    <w:p>
      <w:pPr>
        <w:pStyle w:val="Definition"/>
      </w:pPr>
      <w:r>
        <w:t xml:space="preserve">intervention rate, capturing how often the runtime must repair or deny release;</w:t>
      </w:r>
    </w:p>
    <w:p>
      <w:pPr>
        <w:pStyle w:val="DefinitionTerm"/>
      </w:pPr>
      <w:r>
        <w:t xml:space="preserve">AC</w:t>
      </w:r>
    </w:p>
    <w:p>
      <w:pPr>
        <w:pStyle w:val="Definition"/>
      </w:pPr>
      <w:r>
        <w:t xml:space="preserve">audit completeness, measuring whether release is reconstructable after the fact;</w:t>
      </w:r>
    </w:p>
    <w:p>
      <w:pPr>
        <w:pStyle w:val="DefinitionTerm"/>
      </w:pPr>
      <w:r>
        <w:t xml:space="preserve">RL</w:t>
      </w:r>
    </w:p>
    <w:p>
      <w:pPr>
        <w:pStyle w:val="Definition"/>
      </w:pPr>
      <w:r>
        <w:t xml:space="preserve">runtime latency, measuring whether the protection layer remains operationally</w:t>
      </w:r>
      <w:r>
        <w:t xml:space="preserve"> </w:t>
      </w:r>
      <w:r>
        <w:t xml:space="preserve">usable.</w:t>
      </w:r>
    </w:p>
    <w:p>
      <w:pPr>
        <w:pStyle w:val="FirstParagraph"/>
      </w:pPr>
      <w:r>
        <w:t xml:space="preserve">This metric family matters because it keeps the book from collapsing into a single</w:t>
      </w:r>
      <w:r>
        <w:t xml:space="preserve"> </w:t>
      </w:r>
      <w:r>
        <w:t xml:space="preserve">leaderboard score. ORIUS is not about RMSE alone, and it is not about controller cost alone.</w:t>
      </w:r>
      <w:r>
        <w:t xml:space="preserve"> </w:t>
      </w:r>
      <w:r>
        <w:t xml:space="preserve">It is about safe release under degraded observation. The benchmark therefore measures</w:t>
      </w:r>
      <w:r>
        <w:t xml:space="preserve"> </w:t>
      </w:r>
      <w:r>
        <w:t xml:space="preserve">whether release remained safe, whether intervention was required, whether the certificate</w:t>
      </w:r>
      <w:r>
        <w:t xml:space="preserve"> </w:t>
      </w:r>
      <w:r>
        <w:t xml:space="preserve">remained meaningful, and whether the runtime stayed fast enough to matter.</w:t>
      </w:r>
    </w:p>
    <w:bookmarkEnd w:id="76"/>
    <w:bookmarkStart w:id="77" w:name="Xb391611d39be9e665c6875475ee1db999b30472"/>
    <w:p>
      <w:pPr>
        <w:pStyle w:val="Heading3"/>
      </w:pPr>
      <w:r>
        <w:t xml:space="preserve">Strict universal mode and legacy compatibility</w:t>
      </w:r>
    </w:p>
    <w:p>
      <w:pPr>
        <w:pStyle w:val="FirstParagraph"/>
      </w:pPr>
      <w:r>
        <w:t xml:space="preserve">The dissertation adopts a strict universal reading of the benchmark. Domain-neutral</w:t>
      </w:r>
      <w:r>
        <w:t xml:space="preserve"> </w:t>
      </w:r>
      <w:r>
        <w:t xml:space="preserve">violation predicates, observed-state legality predicates, and constraint margins must flow</w:t>
      </w:r>
      <w:r>
        <w:t xml:space="preserve"> </w:t>
      </w:r>
      <w:r>
        <w:t xml:space="preserve">through the adapter contract. Legacy battery-shaped compatibility fields may remain in the</w:t>
      </w:r>
      <w:r>
        <w:t xml:space="preserve"> </w:t>
      </w:r>
      <w:r>
        <w:t xml:space="preserve">codebase for historical or bounded-support reasons, but they are not allowed to define the</w:t>
      </w:r>
      <w:r>
        <w:t xml:space="preserve"> </w:t>
      </w:r>
      <w:r>
        <w:t xml:space="preserve">universal benchmark story in the manuscript.</w:t>
      </w:r>
    </w:p>
    <w:p>
      <w:pPr>
        <w:pStyle w:val="BodyText"/>
      </w:pPr>
      <w:r>
        <w:t xml:space="preserve">That distinction keeps the witness row from quietly redefining the universal object. Battery</w:t>
      </w:r>
      <w:r>
        <w:t xml:space="preserve"> </w:t>
      </w:r>
      <w:r>
        <w:t xml:space="preserve">is the deepest defended row because its evidence chain is strongest, not because the</w:t>
      </w:r>
      <w:r>
        <w:t xml:space="preserve"> </w:t>
      </w:r>
      <w:r>
        <w:t xml:space="preserve">benchmark is secretly battery-specific. ORIUS-Bench must therefore be written in</w:t>
      </w:r>
      <w:r>
        <w:t xml:space="preserve"> </w:t>
      </w:r>
      <w:r>
        <w:t xml:space="preserve">domain-agnostic terms even when the strongest current replay surface is battery-backed.</w:t>
      </w:r>
    </w:p>
    <w:bookmarkEnd w:id="77"/>
    <w:bookmarkStart w:id="78" w:name="artifact-provenance-and-claim-locking"/>
    <w:p>
      <w:pPr>
        <w:pStyle w:val="Heading3"/>
      </w:pPr>
      <w:r>
        <w:t xml:space="preserve">Artifact provenance and claim locking</w:t>
      </w:r>
    </w:p>
    <w:p>
      <w:pPr>
        <w:pStyle w:val="FirstParagraph"/>
      </w:pPr>
      <w:r>
        <w:t xml:space="preserve">The benchmark protocol is inseparable from the claim-lock pipeline. The canonical submission</w:t>
      </w:r>
      <w:r>
        <w:t xml:space="preserve"> </w:t>
      </w:r>
      <w:r>
        <w:t xml:space="preserve">surface is</w:t>
      </w:r>
      <w:r>
        <w:t xml:space="preserve"> </w:t>
      </w:r>
      <w:r>
        <w:rPr>
          <w:rStyle w:val="VerbatimChar"/>
        </w:rPr>
        <w:t xml:space="preserve">orius_book.tex</w:t>
      </w:r>
      <w:r>
        <w:t xml:space="preserve">, while the mirrored internal controller remains</w:t>
      </w:r>
      <w:r>
        <w:t xml:space="preserve"> </w:t>
      </w:r>
      <w:r>
        <w:rPr>
          <w:rStyle w:val="VerbatimChar"/>
        </w:rPr>
        <w:t xml:space="preserve">paper/paper.tex</w:t>
      </w:r>
      <w:r>
        <w:t xml:space="preserve">; their headline tables and figures are backed by</w:t>
      </w:r>
      <w:r>
        <w:t xml:space="preserve"> </w:t>
      </w:r>
      <w:r>
        <w:t xml:space="preserve">manifests, publication matrices, and governed artifact paths. This is what prevents the</w:t>
      </w:r>
      <w:r>
        <w:t xml:space="preserve"> </w:t>
      </w:r>
      <w:r>
        <w:t xml:space="preserve">manuscript from becoming a persuasive story about results that cannot later be checked.</w:t>
      </w:r>
    </w:p>
    <w:p>
      <w:pPr>
        <w:pStyle w:val="BodyText"/>
      </w:pPr>
      <w:r>
        <w:t xml:space="preserve">The repository’s publication surfaces already enforce this discipline. The parity matrix,</w:t>
      </w:r>
      <w:r>
        <w:t xml:space="preserve"> </w:t>
      </w:r>
      <w:r>
        <w:t xml:space="preserve">submission scorecard, runtime/governance matrices, and deployment-validation scope are not</w:t>
      </w:r>
      <w:r>
        <w:t xml:space="preserve"> </w:t>
      </w:r>
      <w:r>
        <w:t xml:space="preserve">mere reporting layers. They are the machine-readable surfaces that keep prose aligned with</w:t>
      </w:r>
      <w:r>
        <w:t xml:space="preserve"> </w:t>
      </w:r>
      <w:r>
        <w:t xml:space="preserve">evidence status.</w:t>
      </w:r>
    </w:p>
    <w:bookmarkEnd w:id="78"/>
    <w:bookmarkStart w:id="79" w:name="reproducibility-checklist"/>
    <w:p>
      <w:pPr>
        <w:pStyle w:val="Heading3"/>
      </w:pPr>
      <w:r>
        <w:t xml:space="preserve">Reproducibility checklist</w:t>
      </w:r>
    </w:p>
    <w:p>
      <w:pPr>
        <w:pStyle w:val="FirstParagraph"/>
      </w:pPr>
      <w:r>
        <w:t xml:space="preserve">For a result to count as defended in this dissertation, the following conditions must hold:</w:t>
      </w:r>
    </w:p>
    <w:p>
      <w:pPr>
        <w:numPr>
          <w:ilvl w:val="0"/>
          <w:numId w:val="1010"/>
        </w:numPr>
      </w:pPr>
      <w:r>
        <w:t xml:space="preserve">the domain row must have an explicit safety predicate and adapter semantics;</w:t>
      </w:r>
    </w:p>
    <w:p>
      <w:pPr>
        <w:numPr>
          <w:ilvl w:val="0"/>
          <w:numId w:val="1010"/>
        </w:numPr>
      </w:pPr>
      <w:r>
        <w:t xml:space="preserve">the replay must expose true and observed trajectories;</w:t>
      </w:r>
    </w:p>
    <w:p>
      <w:pPr>
        <w:numPr>
          <w:ilvl w:val="0"/>
          <w:numId w:val="1010"/>
        </w:numPr>
      </w:pPr>
      <w:r>
        <w:t xml:space="preserve">the fault schedule and manifests must be reproducible;</w:t>
      </w:r>
    </w:p>
    <w:p>
      <w:pPr>
        <w:numPr>
          <w:ilvl w:val="0"/>
          <w:numId w:val="1010"/>
        </w:numPr>
      </w:pPr>
      <w:r>
        <w:t xml:space="preserve">the result must land in a tracked artifact family; and</w:t>
      </w:r>
    </w:p>
    <w:p>
      <w:pPr>
        <w:numPr>
          <w:ilvl w:val="0"/>
          <w:numId w:val="1010"/>
        </w:numPr>
      </w:pPr>
      <w:r>
        <w:t xml:space="preserve">the claim validator must allow the corresponding manuscript language.</w:t>
      </w:r>
    </w:p>
    <w:p>
      <w:pPr>
        <w:pStyle w:val="FirstParagraph"/>
      </w:pPr>
      <w:r>
        <w:t xml:space="preserve">This checklist is stricter than</w:t>
      </w:r>
      <w:r>
        <w:t xml:space="preserve"> </w:t>
      </w:r>
      <w:r>
        <w:t xml:space="preserve">“the code ran once.”</w:t>
      </w:r>
      <w:r>
        <w:t xml:space="preserve"> </w:t>
      </w:r>
      <w:r>
        <w:t xml:space="preserve">It is the mechanism by which ORIUS</w:t>
      </w:r>
      <w:r>
        <w:t xml:space="preserve"> </w:t>
      </w:r>
      <w:r>
        <w:t xml:space="preserve">turns software artifacts into scientific evidence.</w:t>
      </w:r>
    </w:p>
    <w:bookmarkEnd w:id="79"/>
    <w:bookmarkStart w:id="80" w:name="benchmark-takeaway"/>
    <w:p>
      <w:pPr>
        <w:pStyle w:val="Heading3"/>
      </w:pPr>
      <w:r>
        <w:t xml:space="preserve">Benchmark takeaway</w:t>
      </w:r>
    </w:p>
    <w:p>
      <w:pPr>
        <w:pStyle w:val="FirstParagraph"/>
      </w:pPr>
      <w:r>
        <w:t xml:space="preserve">What this chapter adds to the argument is a measurement discipline equal to the runtime</w:t>
      </w:r>
      <w:r>
        <w:t xml:space="preserve"> </w:t>
      </w:r>
      <w:r>
        <w:t xml:space="preserve">object introduced in Chapters 3 and 4. ORIUS-Bench makes degraded-observation safety</w:t>
      </w:r>
      <w:r>
        <w:t xml:space="preserve"> </w:t>
      </w:r>
      <w:r>
        <w:t xml:space="preserve">measurable through dual-trajectory replay, deterministic fault injection, runtime metrics</w:t>
      </w:r>
      <w:r>
        <w:t xml:space="preserve"> </w:t>
      </w:r>
      <w:r>
        <w:t xml:space="preserve">matched to the release object, and claim-locked provenance. Equal-domain maturity still</w:t>
      </w:r>
      <w:r>
        <w:t xml:space="preserve"> </w:t>
      </w:r>
      <w:r>
        <w:t xml:space="preserve">depends on which rows clear those requirements, but the measurement contract itself is now</w:t>
      </w:r>
      <w:r>
        <w:t xml:space="preserve"> </w:t>
      </w:r>
      <w:r>
        <w:t xml:space="preserve">stable across the dissertation.</w:t>
      </w:r>
    </w:p>
    <w:bookmarkEnd w:id="80"/>
    <w:bookmarkEnd w:id="81"/>
    <w:bookmarkEnd w:id="82"/>
    <w:bookmarkStart w:id="104" w:name="witness-domain-evidence"/>
    <w:p>
      <w:pPr>
        <w:pStyle w:val="Heading1"/>
      </w:pPr>
      <w:r>
        <w:t xml:space="preserve">Witness Domain Evidence</w:t>
      </w:r>
    </w:p>
    <w:bookmarkStart w:id="91" w:name="ch:witness-domain-implementation"/>
    <w:p>
      <w:pPr>
        <w:pStyle w:val="Heading2"/>
      </w:pPr>
      <w:r>
        <w:t xml:space="preserve">Witness Domain Implementation</w:t>
      </w:r>
    </w:p>
    <w:bookmarkStart w:id="83" w:name="why-battery-is-the-witness-domain"/>
    <w:p>
      <w:pPr>
        <w:pStyle w:val="Heading3"/>
      </w:pPr>
      <w:r>
        <w:t xml:space="preserve">Why battery is the witness domain</w:t>
      </w:r>
    </w:p>
    <w:p>
      <w:pPr>
        <w:pStyle w:val="FirstParagraph"/>
      </w:pPr>
      <w:r>
        <w:t xml:space="preserve">Battery remains the witness domain because it is the clearest place in the repository where</w:t>
      </w:r>
      <w:r>
        <w:t xml:space="preserve"> </w:t>
      </w:r>
      <w:r>
        <w:t xml:space="preserve">the full ORIUS stack can be seen at once: degraded telemetry, reliability estimation,</w:t>
      </w:r>
      <w:r>
        <w:t xml:space="preserve"> </w:t>
      </w:r>
      <w:r>
        <w:t xml:space="preserve">uncertainty inflation, repaired dispatch, fallback behavior, certificate traces, replayable</w:t>
      </w:r>
      <w:r>
        <w:t xml:space="preserve"> </w:t>
      </w:r>
      <w:r>
        <w:t xml:space="preserve">fault schedules, and claim-locked artifact surfaces. That makes it the right row to</w:t>
      </w:r>
      <w:r>
        <w:t xml:space="preserve"> </w:t>
      </w:r>
      <w:r>
        <w:t xml:space="preserve">demonstrate end-to-end doctrine closure without allowing the dissertation to collapse into</w:t>
      </w:r>
      <w:r>
        <w:t xml:space="preserve"> </w:t>
      </w:r>
      <w:r>
        <w:t xml:space="preserve">an energy-only story.</w:t>
      </w:r>
    </w:p>
    <w:p>
      <w:pPr>
        <w:pStyle w:val="BodyText"/>
      </w:pPr>
      <w:r>
        <w:t xml:space="preserve">The witness role is methodological rather than rhetorical. Battery is not the identity of</w:t>
      </w:r>
      <w:r>
        <w:t xml:space="preserve"> </w:t>
      </w:r>
      <w:r>
        <w:t xml:space="preserve">ORIUS. It is the row in which the theorem layer, the implementation layer, and the artifact</w:t>
      </w:r>
      <w:r>
        <w:t xml:space="preserve"> </w:t>
      </w:r>
      <w:r>
        <w:t xml:space="preserve">layer are all strong enough to support the book’s deepest defended argument.</w:t>
      </w:r>
    </w:p>
    <w:bookmarkEnd w:id="83"/>
    <w:bookmarkStart w:id="84" w:name="Xb6cd7fd834c351c1b97e8002c2e1f7a6aad1dec"/>
    <w:p>
      <w:pPr>
        <w:pStyle w:val="Heading3"/>
      </w:pPr>
      <w:r>
        <w:t xml:space="preserve">Witness-domain problem and plant semantics</w:t>
      </w:r>
    </w:p>
    <w:p>
      <w:pPr>
        <w:pStyle w:val="FirstParagraph"/>
      </w:pPr>
      <w:r>
        <w:t xml:space="preserve">The battery plant exposes a particularly clear form of OASG. Dispatch legality is computed</w:t>
      </w:r>
      <w:r>
        <w:t xml:space="preserve"> </w:t>
      </w:r>
      <w:r>
        <w:t xml:space="preserve">against observed state of charge, availability, and feeder conditions, but the physical</w:t>
      </w:r>
      <w:r>
        <w:t xml:space="preserve"> </w:t>
      </w:r>
      <w:r>
        <w:t xml:space="preserve">asset evolves on the true state. When telemetry becomes stale or corrupted, the optimizer</w:t>
      </w:r>
      <w:r>
        <w:t xml:space="preserve"> </w:t>
      </w:r>
      <w:r>
        <w:t xml:space="preserve">can continue to return actions that appear feasible on the observed state while the physical</w:t>
      </w:r>
      <w:r>
        <w:t xml:space="preserve"> </w:t>
      </w:r>
      <w:r>
        <w:t xml:space="preserve">asset is already drifting toward an unsafe or infeasible region.</w:t>
      </w:r>
    </w:p>
    <w:p>
      <w:pPr>
        <w:pStyle w:val="BodyText"/>
      </w:pPr>
      <w:r>
        <w:t xml:space="preserve">That clarity is useful for a witness row because it makes visible what ORIUS actually</w:t>
      </w:r>
      <w:r>
        <w:t xml:space="preserve"> </w:t>
      </w:r>
      <w:r>
        <w:t xml:space="preserve">changes: the release boundary, not merely the forecast. The runtime widens the</w:t>
      </w:r>
      <w:r>
        <w:t xml:space="preserve"> </w:t>
      </w:r>
      <w:r>
        <w:t xml:space="preserve">observation-consistent state, recomputes admissible dispatch, repairs or curtails candidate</w:t>
      </w:r>
      <w:r>
        <w:t xml:space="preserve"> </w:t>
      </w:r>
      <w:r>
        <w:t xml:space="preserve">action, and emits a certificate describing why release remains justified.</w:t>
      </w:r>
    </w:p>
    <w:bookmarkEnd w:id="84"/>
    <w:bookmarkStart w:id="85" w:name="data-surfaces-and-dataset-cards"/>
    <w:p>
      <w:pPr>
        <w:pStyle w:val="Heading3"/>
      </w:pPr>
      <w:r>
        <w:t xml:space="preserve">Data surfaces and dataset cards</w:t>
      </w:r>
    </w:p>
    <w:p>
      <w:pPr>
        <w:pStyle w:val="FirstParagraph"/>
      </w:pPr>
      <w:r>
        <w:t xml:space="preserve">The witness row is artifact-first rather than repository-inline. The battery surface is</w:t>
      </w:r>
      <w:r>
        <w:t xml:space="preserve"> </w:t>
      </w:r>
      <w:r>
        <w:t xml:space="preserve">therefore described through tracked dataset cards, manifests, and publication artifacts</w:t>
      </w:r>
      <w:r>
        <w:t xml:space="preserve"> </w:t>
      </w:r>
      <w:r>
        <w:t xml:space="preserve">instead of through the fiction that all raw data live inside the git tree. That design is</w:t>
      </w:r>
      <w:r>
        <w:t xml:space="preserve"> </w:t>
      </w:r>
      <w:r>
        <w:t xml:space="preserve">not a weakness. It is how a dissertation remains reproducible when its empirical surface</w:t>
      </w:r>
      <w:r>
        <w:t xml:space="preserve"> </w:t>
      </w:r>
      <w:r>
        <w:t xml:space="preserve">depends on large external or governed datasets.</w:t>
      </w:r>
    </w:p>
    <w:p>
      <w:pPr>
        <w:pStyle w:val="BodyText"/>
      </w:pPr>
      <w:r>
        <w:t xml:space="preserve">The dataset-card layer does more than document provenance. It tells the reader which</w:t>
      </w:r>
      <w:r>
        <w:t xml:space="preserve"> </w:t>
      </w:r>
      <w:r>
        <w:t xml:space="preserve">geographies, telemetry resolutions, market structures, and operating contexts actually</w:t>
      </w:r>
      <w:r>
        <w:t xml:space="preserve"> </w:t>
      </w:r>
      <w:r>
        <w:t xml:space="preserve">support the witness claim. That keeps the battery row from drifting into a false claim of</w:t>
      </w:r>
      <w:r>
        <w:t xml:space="preserve"> </w:t>
      </w:r>
      <w:r>
        <w:t xml:space="preserve">energy-system universality.</w:t>
      </w:r>
    </w:p>
    <w:bookmarkEnd w:id="85"/>
    <w:bookmarkStart w:id="87" w:name="X539f3a6ad3639d76f3e2fef611e2b921ec2c36d"/>
    <w:p>
      <w:pPr>
        <w:pStyle w:val="Heading3"/>
      </w:pPr>
      <w:r>
        <w:t xml:space="preserve">Forecasting, calibration, and reliability surfaces</w:t>
      </w:r>
    </w:p>
    <w:p>
      <w:pPr>
        <w:pStyle w:val="FirstParagraph"/>
      </w:pPr>
      <w:r>
        <w:t xml:space="preserve">The witness row deliberately separates three roles that are often blurred in energy papers:</w:t>
      </w:r>
    </w:p>
    <w:p>
      <w:pPr>
        <w:numPr>
          <w:ilvl w:val="0"/>
          <w:numId w:val="1011"/>
        </w:numPr>
      </w:pPr>
      <w:r>
        <w:t xml:space="preserve">the forecasting surface that supports nominal dispatch;</w:t>
      </w:r>
    </w:p>
    <w:p>
      <w:pPr>
        <w:numPr>
          <w:ilvl w:val="0"/>
          <w:numId w:val="1011"/>
        </w:numPr>
      </w:pPr>
      <w:r>
        <w:t xml:space="preserve">the uncertainty or calibration surface that informs admissible release; and</w:t>
      </w:r>
    </w:p>
    <w:p>
      <w:pPr>
        <w:numPr>
          <w:ilvl w:val="0"/>
          <w:numId w:val="1011"/>
        </w:numPr>
      </w:pPr>
      <w:r>
        <w:t xml:space="preserve">the reliability surface that decides how aggressively the runtime must tighten</w:t>
      </w:r>
      <w:r>
        <w:t xml:space="preserve"> </w:t>
      </w:r>
      <w:r>
        <w:t xml:space="preserve">action when telemetry degrades.</w:t>
      </w:r>
    </w:p>
    <w:p>
      <w:pPr>
        <w:pStyle w:val="FirstParagraph"/>
      </w:pPr>
      <w:r>
        <w:t xml:space="preserve">That separation matters because ORIUS is not strongest where it finds the best forecaster.</w:t>
      </w:r>
      <w:r>
        <w:t xml:space="preserve"> </w:t>
      </w:r>
      <w:r>
        <w:t xml:space="preserve">It is strongest where reliability, uncertainty, repair, and certificate semantics can be</w:t>
      </w:r>
      <w:r>
        <w:t xml:space="preserve"> </w:t>
      </w:r>
      <w:r>
        <w:t xml:space="preserve">shown working together on one defended row.</w:t>
      </w:r>
    </w:p>
    <w:bookmarkStart w:id="86" w:name="fig:witness-reliability-baselines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Witness-domain reliability baselines. The engineered forecasting surface and the</w:t>
      </w:r>
      <w:r>
        <w:t xml:space="preserve"> </w:t>
      </w:r>
      <w:r>
        <w:t xml:space="preserve">learned reliability surface are intentionally reported together so the dissertation does not</w:t>
      </w:r>
      <w:r>
        <w:t xml:space="preserve"> </w:t>
      </w:r>
      <w:r>
        <w:t xml:space="preserve">confuse forecasting novelty with degraded-observation novelty.</w:t>
      </w:r>
    </w:p>
    <w:bookmarkEnd w:id="86"/>
    <w:p>
      <w:pPr>
        <w:pStyle w:val="BodyText"/>
      </w:pPr>
      <w:r>
        <w:t xml:space="preserve">Taken together, the tables and figure support a bounded but important point. Even when deep</w:t>
      </w:r>
      <w:r>
        <w:t xml:space="preserve"> </w:t>
      </w:r>
      <w:r>
        <w:t xml:space="preserve">forecasting does not dominate the engineered tabular baseline, learned reliability remains a</w:t>
      </w:r>
      <w:r>
        <w:t xml:space="preserve"> </w:t>
      </w:r>
      <w:r>
        <w:t xml:space="preserve">scientifically relevant extension because ORIUS cares about release under degraded sensing,</w:t>
      </w:r>
      <w:r>
        <w:t xml:space="preserve"> </w:t>
      </w:r>
      <w:r>
        <w:t xml:space="preserve">not only about point prediction quality.</w:t>
      </w:r>
    </w:p>
    <w:bookmarkEnd w:id="87"/>
    <w:bookmarkStart w:id="88" w:name="X97aec506f5d55d9a9a16373f4a4c8685d70516b"/>
    <w:p>
      <w:pPr>
        <w:pStyle w:val="Heading3"/>
      </w:pPr>
      <w:r>
        <w:t xml:space="preserve">Control baselines and adapter implementation</w:t>
      </w:r>
    </w:p>
    <w:p>
      <w:pPr>
        <w:pStyle w:val="FirstParagraph"/>
      </w:pPr>
      <w:r>
        <w:t xml:space="preserve">Battery is also the cleanest row for showing the adapter boundary in operational terms. The</w:t>
      </w:r>
      <w:r>
        <w:t xml:space="preserve"> </w:t>
      </w:r>
      <w:r>
        <w:t xml:space="preserve">adapter binds:</w:t>
      </w:r>
    </w:p>
    <w:p>
      <w:pPr>
        <w:numPr>
          <w:ilvl w:val="0"/>
          <w:numId w:val="1012"/>
        </w:numPr>
      </w:pPr>
      <w:r>
        <w:t xml:space="preserve">telemetry parsing and state semantics;</w:t>
      </w:r>
    </w:p>
    <w:p>
      <w:pPr>
        <w:numPr>
          <w:ilvl w:val="0"/>
          <w:numId w:val="1012"/>
        </w:numPr>
      </w:pPr>
      <w:r>
        <w:t xml:space="preserve">the true-state safety predicate;</w:t>
      </w:r>
    </w:p>
    <w:p>
      <w:pPr>
        <w:numPr>
          <w:ilvl w:val="0"/>
          <w:numId w:val="1012"/>
        </w:numPr>
      </w:pPr>
      <w:r>
        <w:t xml:space="preserve">dispatch feasibility and repair geometry;</w:t>
      </w:r>
    </w:p>
    <w:p>
      <w:pPr>
        <w:numPr>
          <w:ilvl w:val="0"/>
          <w:numId w:val="1012"/>
        </w:numPr>
      </w:pPr>
      <w:r>
        <w:t xml:space="preserve">certificate payload fields; and</w:t>
      </w:r>
    </w:p>
    <w:p>
      <w:pPr>
        <w:numPr>
          <w:ilvl w:val="0"/>
          <w:numId w:val="1012"/>
        </w:numPr>
      </w:pPr>
      <w:r>
        <w:t xml:space="preserve">the bounded fallback policy used when admissible repaired action disappears.</w:t>
      </w:r>
    </w:p>
    <w:p>
      <w:pPr>
        <w:pStyle w:val="FirstParagraph"/>
      </w:pPr>
      <w:r>
        <w:t xml:space="preserve">This is where the implementation philosophy becomes concrete. The nominal forecasting and</w:t>
      </w:r>
      <w:r>
        <w:t xml:space="preserve"> </w:t>
      </w:r>
      <w:r>
        <w:t xml:space="preserve">optimization stack can vary, but the ORIUS adapter contract and replay schema remain fixed.</w:t>
      </w:r>
    </w:p>
    <w:bookmarkEnd w:id="88"/>
    <w:bookmarkStart w:id="89" w:name="locked-artifact-protocol"/>
    <w:p>
      <w:pPr>
        <w:pStyle w:val="Heading3"/>
      </w:pPr>
      <w:r>
        <w:t xml:space="preserve">Locked artifact protocol</w:t>
      </w:r>
    </w:p>
    <w:p>
      <w:pPr>
        <w:pStyle w:val="FirstParagraph"/>
      </w:pPr>
      <w:r>
        <w:t xml:space="preserve">The witness row is defended through locked artifacts rather than narrative memory. Training</w:t>
      </w:r>
      <w:r>
        <w:t xml:space="preserve"> </w:t>
      </w:r>
      <w:r>
        <w:t xml:space="preserve">surfaces, replay outputs, theorem traces, calibration diagnostics, deep-reliability</w:t>
      </w:r>
      <w:r>
        <w:t xml:space="preserve"> </w:t>
      </w:r>
      <w:r>
        <w:t xml:space="preserve">summaries, runtime tables, and parity surfaces all point back to generated publication</w:t>
      </w:r>
      <w:r>
        <w:t xml:space="preserve"> </w:t>
      </w:r>
      <w:r>
        <w:t xml:space="preserve">artifacts or manifests. This is where the chapter-first dissertation model and the</w:t>
      </w:r>
      <w:r>
        <w:t xml:space="preserve"> </w:t>
      </w:r>
      <w:r>
        <w:t xml:space="preserve">repository’s claim-lock machinery meet: the prose is curated, but the evidence remains</w:t>
      </w:r>
      <w:r>
        <w:t xml:space="preserve"> </w:t>
      </w:r>
      <w:r>
        <w:t xml:space="preserve">machine-governed.</w:t>
      </w:r>
    </w:p>
    <w:bookmarkEnd w:id="89"/>
    <w:bookmarkStart w:id="90" w:name="witness-row-scope"/>
    <w:p>
      <w:pPr>
        <w:pStyle w:val="Heading3"/>
      </w:pPr>
      <w:r>
        <w:t xml:space="preserve">Witness-row scope</w:t>
      </w:r>
    </w:p>
    <w:p>
      <w:pPr>
        <w:pStyle w:val="FirstParagraph"/>
      </w:pPr>
      <w:r>
        <w:t xml:space="preserve">Battery carries the book’s deepest defended claim because it closes the full runtime-safety</w:t>
      </w:r>
      <w:r>
        <w:t xml:space="preserve"> </w:t>
      </w:r>
      <w:r>
        <w:t xml:space="preserve">chain from degraded observation to governed release. It does not prove that every battery</w:t>
      </w:r>
      <w:r>
        <w:t xml:space="preserve"> </w:t>
      </w:r>
      <w:r>
        <w:t xml:space="preserve">chemistry, market policy, or asset-health objective is universally solved. Instead, it gives</w:t>
      </w:r>
      <w:r>
        <w:t xml:space="preserve"> </w:t>
      </w:r>
      <w:r>
        <w:t xml:space="preserve">the dissertation a calibration surface: one row where theorem, runtime, and artifact closure</w:t>
      </w:r>
      <w:r>
        <w:t xml:space="preserve"> </w:t>
      </w:r>
      <w:r>
        <w:t xml:space="preserve">can all be inspected together before the argument is lifted across domains.</w:t>
      </w:r>
    </w:p>
    <w:bookmarkEnd w:id="90"/>
    <w:bookmarkEnd w:id="91"/>
    <w:bookmarkStart w:id="103" w:name="ch:witness-results-failure-analysis"/>
    <w:p>
      <w:pPr>
        <w:pStyle w:val="Heading2"/>
      </w:pPr>
      <w:r>
        <w:t xml:space="preserve">Witness Results and Failure Analysis</w:t>
      </w:r>
    </w:p>
    <w:bookmarkStart w:id="92" w:name="the-governing-empirical-question"/>
    <w:p>
      <w:pPr>
        <w:pStyle w:val="Heading3"/>
      </w:pPr>
      <w:r>
        <w:t xml:space="preserve">The governing empirical question</w:t>
      </w:r>
    </w:p>
    <w:p>
      <w:pPr>
        <w:pStyle w:val="FirstParagraph"/>
      </w:pPr>
      <w:r>
        <w:t xml:space="preserve">The witness row answers one question for the book as a whole: when telemetry degrades, can a</w:t>
      </w:r>
      <w:r>
        <w:t xml:space="preserve"> </w:t>
      </w:r>
      <w:r>
        <w:t xml:space="preserve">runtime layer reduce true-state safety loss without pretending that nominal controller</w:t>
      </w:r>
      <w:r>
        <w:t xml:space="preserve"> </w:t>
      </w:r>
      <w:r>
        <w:t xml:space="preserve">legality is sufficient? Battery is the deepest defended empirical surface because it closes</w:t>
      </w:r>
      <w:r>
        <w:t xml:space="preserve"> </w:t>
      </w:r>
      <w:r>
        <w:t xml:space="preserve">the full ORIUS loop from degraded observation to repaired action to governed release.</w:t>
      </w:r>
    </w:p>
    <w:p>
      <w:pPr>
        <w:pStyle w:val="BodyText"/>
      </w:pPr>
      <w:r>
        <w:t xml:space="preserve">That framing matters for how the results should be read. The point of the witness chapter is</w:t>
      </w:r>
      <w:r>
        <w:t xml:space="preserve"> </w:t>
      </w:r>
      <w:r>
        <w:t xml:space="preserve">not to crown one battery optimizer. It is to show, on the row where the evidence chain is</w:t>
      </w:r>
      <w:r>
        <w:t xml:space="preserve"> </w:t>
      </w:r>
      <w:r>
        <w:t xml:space="preserve">richest, that the release boundary behaves differently once degraded observation is treated as</w:t>
      </w:r>
      <w:r>
        <w:t xml:space="preserve"> </w:t>
      </w:r>
      <w:r>
        <w:t xml:space="preserve">a first-class safety object.</w:t>
      </w:r>
    </w:p>
    <w:bookmarkEnd w:id="92"/>
    <w:bookmarkStart w:id="93" w:name="experiment-design-and-baseline-logic"/>
    <w:p>
      <w:pPr>
        <w:pStyle w:val="Heading3"/>
      </w:pPr>
      <w:r>
        <w:t xml:space="preserve">Experiment design and baseline logic</w:t>
      </w:r>
    </w:p>
    <w:p>
      <w:pPr>
        <w:pStyle w:val="FirstParagraph"/>
      </w:pPr>
      <w:r>
        <w:t xml:space="preserve">The witness experiments are not designed to show that ORIUS is the best optimizer under all</w:t>
      </w:r>
      <w:r>
        <w:t xml:space="preserve"> </w:t>
      </w:r>
      <w:r>
        <w:t xml:space="preserve">cost metrics. They are designed to test a narrower and more important claim: whether a</w:t>
      </w:r>
      <w:r>
        <w:t xml:space="preserve"> </w:t>
      </w:r>
      <w:r>
        <w:t xml:space="preserve">certificate-aware runtime can keep hidden true-state violations from passing through a</w:t>
      </w:r>
      <w:r>
        <w:t xml:space="preserve"> </w:t>
      </w:r>
      <w:r>
        <w:t xml:space="preserve">nominally coherent observation surface. The baseline set is therefore intentionally mixed.</w:t>
      </w:r>
      <w:r>
        <w:t xml:space="preserve"> </w:t>
      </w:r>
      <w:r>
        <w:t xml:space="preserve">It includes stronger nominal optimizers, interval-aware baselines, and controller variants</w:t>
      </w:r>
      <w:r>
        <w:t xml:space="preserve"> </w:t>
      </w:r>
      <w:r>
        <w:t xml:space="preserve">that already possess some robustness logic.</w:t>
      </w:r>
    </w:p>
    <w:p>
      <w:pPr>
        <w:pStyle w:val="BodyText"/>
      </w:pPr>
      <w:r>
        <w:t xml:space="preserve">This is what gives the chapter its value. The scientific question is not simply who</w:t>
      </w:r>
      <w:r>
        <w:t xml:space="preserve"> </w:t>
      </w:r>
      <w:r>
        <w:t xml:space="preserve">optimizes best in nominal conditions. It is what remains safe once the observation channel</w:t>
      </w:r>
      <w:r>
        <w:t xml:space="preserve"> </w:t>
      </w:r>
      <w:r>
        <w:t xml:space="preserve">itself begins to fail.</w:t>
      </w:r>
    </w:p>
    <w:bookmarkEnd w:id="93"/>
    <w:bookmarkStart w:id="94" w:name="headline-result"/>
    <w:p>
      <w:pPr>
        <w:pStyle w:val="Heading3"/>
      </w:pPr>
      <w:r>
        <w:t xml:space="preserve">Headline result</w:t>
      </w:r>
    </w:p>
    <w:p>
      <w:pPr>
        <w:pStyle w:val="FirstParagraph"/>
      </w:pPr>
      <w:r>
        <w:t xml:space="preserve">The main table should be read as the empirical hinge of the dissertation, because it tests</w:t>
      </w:r>
      <w:r>
        <w:t xml:space="preserve"> </w:t>
      </w:r>
      <w:r>
        <w:t xml:space="preserve">the point where the formal argument meets defended runtime evidence.</w:t>
      </w:r>
    </w:p>
    <w:p>
      <w:pPr>
        <w:pStyle w:val="BodyText"/>
      </w:pPr>
      <w:r>
        <w:t xml:space="preserve">Several plant-specific robust baselines already avoid true-state violations on this witness</w:t>
      </w:r>
      <w:r>
        <w:t xml:space="preserve"> </w:t>
      </w:r>
      <w:r>
        <w:t xml:space="preserve">task, so the contribution is not that ORIUS is the only safe controller in the comparison.</w:t>
      </w:r>
      <w:r>
        <w:t xml:space="preserve"> </w:t>
      </w:r>
      <w:r>
        <w:t xml:space="preserve">The stronger point is architectural. ORIUS closes the hidden violation mode while keeping</w:t>
      </w:r>
      <w:r>
        <w:t xml:space="preserve"> </w:t>
      </w:r>
      <w:r>
        <w:t xml:space="preserve">intervention, repair, fallback, and certificate semantics explicit at runtime. Deterministic</w:t>
      </w:r>
      <w:r>
        <w:t xml:space="preserve"> </w:t>
      </w:r>
      <w:r>
        <w:t xml:space="preserve">and interval baselines still exhibit material true-state violation once telemetry faults are</w:t>
      </w:r>
      <w:r>
        <w:t xml:space="preserve"> </w:t>
      </w:r>
      <w:r>
        <w:t xml:space="preserve">introduced, even though they remain internally coherent optimization procedures on the</w:t>
      </w:r>
      <w:r>
        <w:t xml:space="preserve"> </w:t>
      </w:r>
      <w:r>
        <w:t xml:space="preserve">observed state.</w:t>
      </w:r>
    </w:p>
    <w:p>
      <w:pPr>
        <w:pStyle w:val="BodyText"/>
      </w:pPr>
      <w:r>
        <w:t xml:space="preserve">That distinction is the witness-domain result. ORIUS is not replacing every robust</w:t>
      </w:r>
      <w:r>
        <w:t xml:space="preserve"> </w:t>
      </w:r>
      <w:r>
        <w:t xml:space="preserve">controller with one universal optimizer. It is demonstrating that a runtime layer can sit</w:t>
      </w:r>
      <w:r>
        <w:t xml:space="preserve"> </w:t>
      </w:r>
      <w:r>
        <w:t xml:space="preserve">between nominal control and physical release, detect when observation quality has changed the</w:t>
      </w:r>
      <w:r>
        <w:t xml:space="preserve"> </w:t>
      </w:r>
      <w:r>
        <w:t xml:space="preserve">meaning of legality, and then repair or deny release under explicit certificate semantics.</w:t>
      </w:r>
    </w:p>
    <w:bookmarkEnd w:id="94"/>
    <w:bookmarkStart w:id="95" w:name="mechanistic-interpretation"/>
    <w:p>
      <w:pPr>
        <w:pStyle w:val="Heading3"/>
      </w:pPr>
      <w:r>
        <w:t xml:space="preserve">Mechanistic interpretation</w:t>
      </w:r>
    </w:p>
    <w:p>
      <w:pPr>
        <w:pStyle w:val="FirstParagraph"/>
      </w:pPr>
      <w:r>
        <w:t xml:space="preserve">The witness row supports a mechanistic reading rather than a leaderboard reading. ORIUS</w:t>
      </w:r>
      <w:r>
        <w:t xml:space="preserve"> </w:t>
      </w:r>
      <w:r>
        <w:t xml:space="preserve">changes the release decision in three linked ways:</w:t>
      </w:r>
    </w:p>
    <w:p>
      <w:pPr>
        <w:numPr>
          <w:ilvl w:val="0"/>
          <w:numId w:val="1013"/>
        </w:numPr>
      </w:pPr>
      <w:r>
        <w:t xml:space="preserve">reliability loss is detected before action release;</w:t>
      </w:r>
    </w:p>
    <w:p>
      <w:pPr>
        <w:numPr>
          <w:ilvl w:val="0"/>
          <w:numId w:val="1013"/>
        </w:numPr>
      </w:pPr>
      <w:r>
        <w:t xml:space="preserve">uncertainty is widened before legality is checked; and</w:t>
      </w:r>
    </w:p>
    <w:p>
      <w:pPr>
        <w:numPr>
          <w:ilvl w:val="0"/>
          <w:numId w:val="1013"/>
        </w:numPr>
      </w:pPr>
      <w:r>
        <w:t xml:space="preserve">unsafe actions are either repaired or replaced before they reach the plant.</w:t>
      </w:r>
    </w:p>
    <w:p>
      <w:pPr>
        <w:pStyle w:val="FirstParagraph"/>
      </w:pPr>
      <w:r>
        <w:t xml:space="preserve">The headline table is therefore evidence that the release boundary changed, not merely that</w:t>
      </w:r>
      <w:r>
        <w:t xml:space="preserve"> </w:t>
      </w:r>
      <w:r>
        <w:t xml:space="preserve">one model forecasted more accurately than another.</w:t>
      </w:r>
    </w:p>
    <w:bookmarkEnd w:id="95"/>
    <w:bookmarkStart w:id="96" w:name="ablations-and-where-the-gain-comes-from"/>
    <w:p>
      <w:pPr>
        <w:pStyle w:val="Heading3"/>
      </w:pPr>
      <w:r>
        <w:t xml:space="preserve">Ablations and where the gain comes from</w:t>
      </w:r>
    </w:p>
    <w:p>
      <w:pPr>
        <w:pStyle w:val="FirstParagraph"/>
      </w:pPr>
      <w:r>
        <w:t xml:space="preserve">The ablation table shows where the runtime stack earns its gains and where those gains still</w:t>
      </w:r>
      <w:r>
        <w:t xml:space="preserve"> </w:t>
      </w:r>
      <w:r>
        <w:t xml:space="preserve">depend on the structure of the degraded-observation regime.</w:t>
      </w:r>
    </w:p>
    <w:p>
      <w:pPr>
        <w:pStyle w:val="BodyText"/>
      </w:pPr>
      <w:r>
        <w:t xml:space="preserve">This table prevents a simplistic reading of the witness result. ORIUS is not buying safety</w:t>
      </w:r>
      <w:r>
        <w:t xml:space="preserve"> </w:t>
      </w:r>
      <w:r>
        <w:t xml:space="preserve">through one fixed extra margin. It behaves like a genuine degraded-observation runtime layer</w:t>
      </w:r>
      <w:r>
        <w:t xml:space="preserve"> </w:t>
      </w:r>
      <w:r>
        <w:t xml:space="preserve">whose effect depends on the coupling between reliability estimation, uncertainty widening,</w:t>
      </w:r>
      <w:r>
        <w:t xml:space="preserve"> </w:t>
      </w:r>
      <w:r>
        <w:t xml:space="preserve">and local repair geometry. Some scenarios clear the strict gate more comfortably than</w:t>
      </w:r>
      <w:r>
        <w:t xml:space="preserve"> </w:t>
      </w:r>
      <w:r>
        <w:t xml:space="preserve">others, which is exactly what should happen when the runtime is responding to different</w:t>
      </w:r>
      <w:r>
        <w:t xml:space="preserve"> </w:t>
      </w:r>
      <w:r>
        <w:t xml:space="preserve">fault structures rather than papering over them.</w:t>
      </w:r>
    </w:p>
    <w:bookmarkEnd w:id="96"/>
    <w:bookmarkStart w:id="97" w:name="Xb5809632af13336ff6226da03abc43d7c2fc4cb"/>
    <w:p>
      <w:pPr>
        <w:pStyle w:val="Heading3"/>
      </w:pPr>
      <w:r>
        <w:t xml:space="preserve">Grouped calibration and reliability slices</w:t>
      </w:r>
    </w:p>
    <w:p>
      <w:pPr>
        <w:pStyle w:val="FirstParagraph"/>
      </w:pPr>
      <w:r>
        <w:t xml:space="preserve">ORIUS depends on reliability-conditioned uncertainty rather than on one globally fixed</w:t>
      </w:r>
      <w:r>
        <w:t xml:space="preserve"> </w:t>
      </w:r>
      <w:r>
        <w:t xml:space="preserve">interval. The grouped coverage table below shows why that distinction matters.</w:t>
      </w:r>
    </w:p>
    <w:p>
      <w:pPr>
        <w:pStyle w:val="BodyText"/>
      </w:pPr>
      <w:r>
        <w:t xml:space="preserve">Grouped calibration quality moves materially across operating regimes and reliability buckets. That is</w:t>
      </w:r>
      <w:r>
        <w:t xml:space="preserve"> </w:t>
      </w:r>
      <w:r>
        <w:t xml:space="preserve">precisely the pattern ORIUS is designed to take seriously. If interval behavior were</w:t>
      </w:r>
      <w:r>
        <w:t xml:space="preserve"> </w:t>
      </w:r>
      <w:r>
        <w:t xml:space="preserve">uniform, a single robust margin would come closer to sufficing. Because interval behavior</w:t>
      </w:r>
      <w:r>
        <w:t xml:space="preserve"> </w:t>
      </w:r>
      <w:r>
        <w:t xml:space="preserve">changes with regime and observation trust, the runtime must tighten admissible action as</w:t>
      </w:r>
      <w:r>
        <w:t xml:space="preserve"> </w:t>
      </w:r>
      <w:r>
        <w:t xml:space="preserve">confidence in the observation surface falls.</w:t>
      </w:r>
    </w:p>
    <w:bookmarkEnd w:id="97"/>
    <w:bookmarkStart w:id="98" w:name="X8b1a9bfea93e57e8ba5b67f3a94ad05437ad2bd"/>
    <w:p>
      <w:pPr>
        <w:pStyle w:val="Heading3"/>
      </w:pPr>
      <w:r>
        <w:t xml:space="preserve">Operational traces and certificate-aware behavior</w:t>
      </w:r>
    </w:p>
    <w:p>
      <w:pPr>
        <w:pStyle w:val="FirstParagraph"/>
      </w:pPr>
      <w:r>
        <w:t xml:space="preserve">The summary tables matter only because the operational traces explain how the gains are</w:t>
      </w:r>
      <w:r>
        <w:t xml:space="preserve"> </w:t>
      </w:r>
      <w:r>
        <w:t xml:space="preserve">earned. Intervention rate, fallback usage, and certificate continuity show whether ORIUS is</w:t>
      </w:r>
      <w:r>
        <w:t xml:space="preserve"> </w:t>
      </w:r>
      <w:r>
        <w:t xml:space="preserve">improving safety through disciplined runtime mediation or merely through indiscriminate</w:t>
      </w:r>
      <w:r>
        <w:t xml:space="preserve"> </w:t>
      </w:r>
      <w:r>
        <w:t xml:space="preserve">shutdown. That distinction is essential. A controller can always buy apparent safety by</w:t>
      </w:r>
      <w:r>
        <w:t xml:space="preserve"> </w:t>
      </w:r>
      <w:r>
        <w:t xml:space="preserve">refusing to act. The witness row matters because ORIUS reduces hidden safety loss while</w:t>
      </w:r>
      <w:r>
        <w:t xml:space="preserve"> </w:t>
      </w:r>
      <w:r>
        <w:t xml:space="preserve">keeping intervention bounded, reviewable, and operationally usable.</w:t>
      </w:r>
    </w:p>
    <w:bookmarkEnd w:id="98"/>
    <w:bookmarkStart w:id="100" w:name="Xda563af5c6504731848d294bae2e936bc9969cb"/>
    <w:p>
      <w:pPr>
        <w:pStyle w:val="Heading3"/>
      </w:pPr>
      <w:r>
        <w:t xml:space="preserve">Bounded deep-learning novelty inside the witness row</w:t>
      </w:r>
    </w:p>
    <w:p>
      <w:pPr>
        <w:pStyle w:val="FirstParagraph"/>
      </w:pPr>
      <w:r>
        <w:t xml:space="preserve">The witness row also contains a bounded learned-reliability novelty surface. It matters here</w:t>
      </w:r>
      <w:r>
        <w:t xml:space="preserve"> </w:t>
      </w:r>
      <w:r>
        <w:t xml:space="preserve">only insofar as it improves the degraded-observation safety argument rather than turning the</w:t>
      </w:r>
      <w:r>
        <w:t xml:space="preserve"> </w:t>
      </w:r>
      <w:r>
        <w:t xml:space="preserve">dissertation into a forecasting paper.</w:t>
      </w:r>
    </w:p>
    <w:bookmarkStart w:id="99" w:name="fig:battery-deep-oqe-safety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Battery learned-reliability safety surface. The deep model is judged by</w:t>
      </w:r>
      <w:r>
        <w:t xml:space="preserve"> </w:t>
      </w:r>
      <w:r>
        <w:t xml:space="preserve">true-state safety, intervention burden, and certificate-valid release behavior rather than</w:t>
      </w:r>
      <w:r>
        <w:t xml:space="preserve"> </w:t>
      </w:r>
      <w:r>
        <w:t xml:space="preserve">by forecast error alone.</w:t>
      </w:r>
    </w:p>
    <w:bookmarkEnd w:id="99"/>
    <w:p>
      <w:pPr>
        <w:pStyle w:val="BodyText"/>
      </w:pPr>
      <w:r>
        <w:t xml:space="preserve">The figure supports a narrower point than the main safety table. It shows that the learned</w:t>
      </w:r>
      <w:r>
        <w:t xml:space="preserve"> </w:t>
      </w:r>
      <w:r>
        <w:t xml:space="preserve">reliability path can improve the runtime’s discrimination of when to intervene and when to</w:t>
      </w:r>
      <w:r>
        <w:t xml:space="preserve"> </w:t>
      </w:r>
      <w:r>
        <w:t xml:space="preserve">allow nominal action to pass. That is a bounded novelty claim about the observation side of</w:t>
      </w:r>
      <w:r>
        <w:t xml:space="preserve"> </w:t>
      </w:r>
      <w:r>
        <w:t xml:space="preserve">ORIUS, not a replacement for the main witness claim about repaired release under degraded</w:t>
      </w:r>
      <w:r>
        <w:t xml:space="preserve"> </w:t>
      </w:r>
      <w:r>
        <w:t xml:space="preserve">telemetry.</w:t>
      </w:r>
    </w:p>
    <w:bookmarkEnd w:id="100"/>
    <w:bookmarkStart w:id="101" w:name="what-fails-without-the-runtime-layer"/>
    <w:p>
      <w:pPr>
        <w:pStyle w:val="Heading3"/>
      </w:pPr>
      <w:r>
        <w:t xml:space="preserve">What fails without the runtime layer</w:t>
      </w:r>
    </w:p>
    <w:p>
      <w:pPr>
        <w:pStyle w:val="FirstParagraph"/>
      </w:pPr>
      <w:r>
        <w:t xml:space="preserve">Without ORIUS, the telemetry fault is treated as a nuisance external to the release</w:t>
      </w:r>
      <w:r>
        <w:t xml:space="preserve"> </w:t>
      </w:r>
      <w:r>
        <w:t xml:space="preserve">decision. The deterministic and interval baselines show what follows from that assumption:</w:t>
      </w:r>
      <w:r>
        <w:t xml:space="preserve"> </w:t>
      </w:r>
      <w:r>
        <w:t xml:space="preserve">the controller remains computationally coherent while true-state violation reappears.</w:t>
      </w:r>
      <w:r>
        <w:t xml:space="preserve"> </w:t>
      </w:r>
      <w:r>
        <w:t xml:space="preserve">Without calibrated widening, legality is checked against the wrong state set. Without</w:t>
      </w:r>
      <w:r>
        <w:t xml:space="preserve"> </w:t>
      </w:r>
      <w:r>
        <w:t xml:space="preserve">repair, unsafe action is still released. Without certificate discipline, the runtime cannot</w:t>
      </w:r>
      <w:r>
        <w:t xml:space="preserve"> </w:t>
      </w:r>
      <w:r>
        <w:t xml:space="preserve">later explain why the release was allowed or when fallback should have taken over.</w:t>
      </w:r>
    </w:p>
    <w:bookmarkEnd w:id="101"/>
    <w:bookmarkStart w:id="102" w:name="witness-row-claim-boundary"/>
    <w:p>
      <w:pPr>
        <w:pStyle w:val="Heading3"/>
      </w:pPr>
      <w:r>
        <w:t xml:space="preserve">Witness-row claim boundary</w:t>
      </w:r>
    </w:p>
    <w:p>
      <w:pPr>
        <w:pStyle w:val="FirstParagraph"/>
      </w:pPr>
      <w:r>
        <w:t xml:space="preserve">The witness chapter supports three claims and no more. First, ORIUS can materially improve</w:t>
      </w:r>
      <w:r>
        <w:t xml:space="preserve"> </w:t>
      </w:r>
      <w:r>
        <w:t xml:space="preserve">degraded-observation safety on a defended row. Second, the kernel remains meaningful across</w:t>
      </w:r>
      <w:r>
        <w:t xml:space="preserve"> </w:t>
      </w:r>
      <w:r>
        <w:t xml:space="preserve">multiple telemetry fault families rather than on one curated failure. Third, intervention</w:t>
      </w:r>
      <w:r>
        <w:t xml:space="preserve"> </w:t>
      </w:r>
      <w:r>
        <w:t xml:space="preserve">and certificate behavior are part of the scientific result, not merely surrounding</w:t>
      </w:r>
      <w:r>
        <w:t xml:space="preserve"> </w:t>
      </w:r>
      <w:r>
        <w:t xml:space="preserve">instrumentation. It does not claim that the battery row proves broader future-domain closure or</w:t>
      </w:r>
      <w:r>
        <w:t xml:space="preserve"> </w:t>
      </w:r>
      <w:r>
        <w:t xml:space="preserve">settles every question about deployment economics, asset aging, or market-optimal dispatch.</w:t>
      </w:r>
      <w:r>
        <w:t xml:space="preserve"> </w:t>
      </w:r>
      <w:r>
        <w:t xml:space="preserve">What it does show is that once observed-state legality is no longer enough, ORIUS changes</w:t>
      </w:r>
      <w:r>
        <w:t xml:space="preserve"> </w:t>
      </w:r>
      <w:r>
        <w:t xml:space="preserve">the release boundary in a measurable, reviewable, and auditable way.</w:t>
      </w:r>
    </w:p>
    <w:bookmarkEnd w:id="102"/>
    <w:bookmarkEnd w:id="103"/>
    <w:bookmarkEnd w:id="104"/>
    <w:bookmarkStart w:id="145" w:name="universalization-and-extensions"/>
    <w:p>
      <w:pPr>
        <w:pStyle w:val="Heading1"/>
      </w:pPr>
      <w:r>
        <w:t xml:space="preserve">Universalization and Extensions</w:t>
      </w:r>
    </w:p>
    <w:bookmarkStart w:id="119" w:name="ch:universal-orius-across-domains"/>
    <w:p>
      <w:pPr>
        <w:pStyle w:val="Heading2"/>
      </w:pPr>
      <w:r>
        <w:t xml:space="preserve">Universal ORIUS Across Domains</w:t>
      </w:r>
    </w:p>
    <w:bookmarkStart w:id="105" w:name="X5dcfb08a4c492d86c7c5e0378402c811691442e"/>
    <w:p>
      <w:pPr>
        <w:pStyle w:val="Heading3"/>
      </w:pPr>
      <w:r>
        <w:t xml:space="preserve">What universality means in this dissertation</w:t>
      </w:r>
    </w:p>
    <w:p>
      <w:pPr>
        <w:pStyle w:val="FirstParagraph"/>
      </w:pPr>
      <w:r>
        <w:t xml:space="preserve">ORIUS is universal in a specific and intentionally disciplined sense. It does not assume</w:t>
      </w:r>
      <w:r>
        <w:t xml:space="preserve"> </w:t>
      </w:r>
      <w:r>
        <w:t xml:space="preserve">that batteries, vehicles, and healthcare monitoring systems share a plant model, control</w:t>
      </w:r>
      <w:r>
        <w:t xml:space="preserve"> </w:t>
      </w:r>
      <w:r>
        <w:t xml:space="preserve">law, or optimization target. It assumes only that each domain must answer the same</w:t>
      </w:r>
      <w:r>
        <w:t xml:space="preserve"> </w:t>
      </w:r>
      <w:r>
        <w:t xml:space="preserve">release-boundary question once observation becomes unreliable: what action may still be</w:t>
      </w:r>
      <w:r>
        <w:t xml:space="preserve"> </w:t>
      </w:r>
      <w:r>
        <w:t xml:space="preserve">released safely, under what margin, with what fallback, and under what certificate?</w:t>
      </w:r>
    </w:p>
    <w:p>
      <w:pPr>
        <w:pStyle w:val="BodyText"/>
      </w:pPr>
      <w:r>
        <w:t xml:space="preserve">The shared object is therefore not the nominal controller. It is the runtime safety logic</w:t>
      </w:r>
      <w:r>
        <w:t xml:space="preserve"> </w:t>
      </w:r>
      <w:r>
        <w:t xml:space="preserve">that mediates degraded observation before actuation. This is why the monograph can make a</w:t>
      </w:r>
      <w:r>
        <w:t xml:space="preserve"> </w:t>
      </w:r>
      <w:r>
        <w:t xml:space="preserve">strong universality claim without flattening domain structure.</w:t>
      </w:r>
    </w:p>
    <w:bookmarkEnd w:id="105"/>
    <w:bookmarkStart w:id="106" w:name="Xbb3e8482fb980532700f32f8837b828b2ab15de"/>
    <w:p>
      <w:pPr>
        <w:pStyle w:val="Heading3"/>
      </w:pPr>
      <w:r>
        <w:t xml:space="preserve">A transfer recipe rather than a portability slogan</w:t>
      </w:r>
    </w:p>
    <w:p>
      <w:pPr>
        <w:pStyle w:val="FirstParagraph"/>
      </w:pPr>
      <w:r>
        <w:t xml:space="preserve">The dissertation treats domain transfer as a recipe, not a slogan. A new ORIUS row is only</w:t>
      </w:r>
      <w:r>
        <w:t xml:space="preserve"> </w:t>
      </w:r>
      <w:r>
        <w:t xml:space="preserve">meaningful if it specifies:</w:t>
      </w:r>
    </w:p>
    <w:p>
      <w:pPr>
        <w:numPr>
          <w:ilvl w:val="0"/>
          <w:numId w:val="1014"/>
        </w:numPr>
      </w:pPr>
      <w:r>
        <w:t xml:space="preserve">the local degraded-observation hazard;</w:t>
      </w:r>
    </w:p>
    <w:p>
      <w:pPr>
        <w:numPr>
          <w:ilvl w:val="0"/>
          <w:numId w:val="1014"/>
        </w:numPr>
      </w:pPr>
      <w:r>
        <w:t xml:space="preserve">the true-state violation predicate and observed-state legality predicate;</w:t>
      </w:r>
    </w:p>
    <w:p>
      <w:pPr>
        <w:numPr>
          <w:ilvl w:val="0"/>
          <w:numId w:val="1014"/>
        </w:numPr>
      </w:pPr>
      <w:r>
        <w:t xml:space="preserve">the action-repair or fallback geometry;</w:t>
      </w:r>
    </w:p>
    <w:p>
      <w:pPr>
        <w:numPr>
          <w:ilvl w:val="0"/>
          <w:numId w:val="1014"/>
        </w:numPr>
      </w:pPr>
      <w:r>
        <w:t xml:space="preserve">the certificate payload and lifecycle semantics; and</w:t>
      </w:r>
    </w:p>
    <w:p>
      <w:pPr>
        <w:numPr>
          <w:ilvl w:val="0"/>
          <w:numId w:val="1014"/>
        </w:numPr>
      </w:pPr>
      <w:r>
        <w:t xml:space="preserve">the replay and evidence surface through which that row will be judged.</w:t>
      </w:r>
    </w:p>
    <w:p>
      <w:pPr>
        <w:pStyle w:val="FirstParagraph"/>
      </w:pPr>
      <w:r>
        <w:t xml:space="preserve">That transfer as a recipe is what converts structural universality into a scientific</w:t>
      </w:r>
      <w:r>
        <w:t xml:space="preserve"> </w:t>
      </w:r>
      <w:r>
        <w:t xml:space="preserve">program. Without it,</w:t>
      </w:r>
      <w:r>
        <w:t xml:space="preserve"> </w:t>
      </w:r>
      <w:r>
        <w:t xml:space="preserve">“universal”</w:t>
      </w:r>
      <w:r>
        <w:t xml:space="preserve"> </w:t>
      </w:r>
      <w:r>
        <w:t xml:space="preserve">would reduce to analogy. With it, the reader can inspect</w:t>
      </w:r>
      <w:r>
        <w:t xml:space="preserve"> </w:t>
      </w:r>
      <w:r>
        <w:t xml:space="preserve">exactly how a domain is instantiated and where its evidence status currently sits.</w:t>
      </w:r>
    </w:p>
    <w:bookmarkEnd w:id="106"/>
    <w:bookmarkStart w:id="107" w:name="cross-domain-status-at-a-glance"/>
    <w:p>
      <w:pPr>
        <w:pStyle w:val="Heading3"/>
      </w:pPr>
      <w:r>
        <w:t xml:space="preserve">Cross-domain status at a glance</w:t>
      </w:r>
    </w:p>
    <w:p>
      <w:pPr>
        <w:pStyle w:val="FirstParagraph"/>
      </w:pPr>
      <w:r>
        <w:t xml:space="preserve">The domain-closure matrix belongs in the main line of the argument because it keeps the</w:t>
      </w:r>
      <w:r>
        <w:t xml:space="preserve"> </w:t>
      </w:r>
      <w:r>
        <w:t xml:space="preserve">universality claim honest. Battery is the witness row. The autonomous-vehicle row and the</w:t>
      </w:r>
      <w:r>
        <w:t xml:space="preserve"> </w:t>
      </w:r>
      <w:r>
        <w:t xml:space="preserve">healthcare monitoring row are defended bounded runtime rows under the current artifact</w:t>
      </w:r>
      <w:r>
        <w:t xml:space="preserve"> </w:t>
      </w:r>
      <w:r>
        <w:t xml:space="preserve">surface.</w:t>
      </w:r>
    </w:p>
    <w:bookmarkEnd w:id="107"/>
    <w:bookmarkStart w:id="115" w:name="domain-synthesis"/>
    <w:p>
      <w:pPr>
        <w:pStyle w:val="Heading3"/>
      </w:pPr>
      <w:r>
        <w:t xml:space="preserve">Domain synthesis</w:t>
      </w:r>
    </w:p>
    <w:p>
      <w:pPr>
        <w:pStyle w:val="FirstParagraph"/>
      </w:pPr>
      <w:r>
        <w:t xml:space="preserve">The point of the synthesis is not to suggest that every row is interchangeable. It is to</w:t>
      </w:r>
      <w:r>
        <w:t xml:space="preserve"> </w:t>
      </w:r>
      <w:r>
        <w:t xml:space="preserve">show how the same release-boundary grammar survives contact with different plants, action</w:t>
      </w:r>
      <w:r>
        <w:t xml:space="preserve"> </w:t>
      </w:r>
      <w:r>
        <w:t xml:space="preserve">spaces, and safety objects while each row keeps its own evidence ceiling.</w:t>
      </w:r>
    </w:p>
    <w:bookmarkStart w:id="108" w:name="battery-energy-storage."/>
    <w:p>
      <w:pPr>
        <w:pStyle w:val="Heading6"/>
      </w:pPr>
      <w:r>
        <w:t xml:space="preserve">Battery energy storage.</w:t>
      </w:r>
    </w:p>
    <w:p>
      <w:pPr>
        <w:pStyle w:val="FirstParagraph"/>
      </w:pPr>
      <w:r>
        <w:t xml:space="preserve">The battery hazard is hidden constraint violation under degraded feeder, load, or state</w:t>
      </w:r>
      <w:r>
        <w:t xml:space="preserve"> </w:t>
      </w:r>
      <w:r>
        <w:t xml:space="preserve">telemetry. ORIUS instantiates the runtime with tight state margins, explicit repair, and</w:t>
      </w:r>
      <w:r>
        <w:t xml:space="preserve"> </w:t>
      </w:r>
      <w:r>
        <w:t xml:space="preserve">auditable release over a heavily instrumented control surface. Its universality contribution</w:t>
      </w:r>
      <w:r>
        <w:t xml:space="preserve"> </w:t>
      </w:r>
      <w:r>
        <w:t xml:space="preserve">is to show that the full theorem-to-code-to-artifact chain can be closed on a real physical</w:t>
      </w:r>
      <w:r>
        <w:t xml:space="preserve"> </w:t>
      </w:r>
      <w:r>
        <w:t xml:space="preserve">control problem.</w:t>
      </w:r>
    </w:p>
    <w:bookmarkEnd w:id="108"/>
    <w:bookmarkStart w:id="109" w:name="autonomous-vehicles."/>
    <w:p>
      <w:pPr>
        <w:pStyle w:val="Heading6"/>
      </w:pPr>
      <w:r>
        <w:t xml:space="preserve">Autonomous vehicles.</w:t>
      </w:r>
    </w:p>
    <w:p>
      <w:pPr>
        <w:pStyle w:val="FirstParagraph"/>
      </w:pPr>
      <w:r>
        <w:t xml:space="preserve">The autonomous-vehicle hazard is unsafe longitudinal release under stale or degraded scene</w:t>
      </w:r>
      <w:r>
        <w:t xml:space="preserve"> </w:t>
      </w:r>
      <w:r>
        <w:t xml:space="preserve">understanding. ORIUS instantiates the runtime through bounded time-to-collision and</w:t>
      </w:r>
      <w:r>
        <w:t xml:space="preserve"> </w:t>
      </w:r>
      <w:r>
        <w:t xml:space="preserve">predictive-entry-barrier logic, with explicit brake-oriented fallback and certificate-aware</w:t>
      </w:r>
      <w:r>
        <w:t xml:space="preserve"> </w:t>
      </w:r>
      <w:r>
        <w:t xml:space="preserve">release checks. Its universality contribution is to show that the same release semantics</w:t>
      </w:r>
      <w:r>
        <w:t xml:space="preserve"> </w:t>
      </w:r>
      <w:r>
        <w:t xml:space="preserve">remain meaningful in a fast-horizon, continuous-action mobility setting.</w:t>
      </w:r>
    </w:p>
    <w:bookmarkEnd w:id="109"/>
    <w:bookmarkStart w:id="114" w:name="healthcare-monitoring."/>
    <w:p>
      <w:pPr>
        <w:pStyle w:val="Heading6"/>
      </w:pPr>
      <w:r>
        <w:t xml:space="preserve">Healthcare monitoring.</w:t>
      </w:r>
    </w:p>
    <w:p>
      <w:pPr>
        <w:pStyle w:val="FirstParagraph"/>
      </w:pPr>
      <w:r>
        <w:t xml:space="preserve">The healthcare hazard is clinically unsafe release under partially observed physiological</w:t>
      </w:r>
      <w:r>
        <w:t xml:space="preserve"> </w:t>
      </w:r>
      <w:r>
        <w:t xml:space="preserve">state, especially when alerts and interventions are triggered from noisy or degraded</w:t>
      </w:r>
      <w:r>
        <w:t xml:space="preserve"> </w:t>
      </w:r>
      <w:r>
        <w:t xml:space="preserve">streams. ORIUS instantiates the runtime through physiological margin checks, alert fallback,</w:t>
      </w:r>
      <w:r>
        <w:t xml:space="preserve"> </w:t>
      </w:r>
      <w:r>
        <w:t xml:space="preserve">and certificate-aware release semantics. Its universality contribution is to show that the</w:t>
      </w:r>
      <w:r>
        <w:t xml:space="preserve"> </w:t>
      </w:r>
      <w:r>
        <w:t xml:space="preserve">same runtime grammar survives in a setting where the protected object is patient-facing</w:t>
      </w:r>
      <w:r>
        <w:t xml:space="preserve"> </w:t>
      </w:r>
      <w:r>
        <w:t xml:space="preserve">monitoring behavior rather than mechanical actuation.</w:t>
      </w:r>
    </w:p>
    <w:bookmarkStart w:id="113" w:name="fig:multi-domain-validation"/>
    <w:p>
      <w:pPr>
        <w:pStyle w:val="CaptionedFigure"/>
      </w:pPr>
      <w:r>
        <w:drawing>
          <wp:inline>
            <wp:extent cx="4907280" cy="2422581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fig_multi_domain_validation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422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Cross-domain ORIUS validation surface. One runtime grammar carries across the</w:t>
      </w:r>
      <w:r>
        <w:t xml:space="preserve"> </w:t>
      </w:r>
      <w:r>
        <w:t xml:space="preserve">active three-domain program, while each row remains limited by its own defended evidence</w:t>
      </w:r>
      <w:r>
        <w:t xml:space="preserve"> </w:t>
      </w:r>
      <w:r>
        <w:t xml:space="preserve">surface.</w:t>
      </w:r>
    </w:p>
    <w:bookmarkEnd w:id="113"/>
    <w:bookmarkEnd w:id="114"/>
    <w:bookmarkEnd w:id="115"/>
    <w:bookmarkStart w:id="116" w:name="X5a9c9a883bc82ceb6913fe4c3d8c7e922516903"/>
    <w:p>
      <w:pPr>
        <w:pStyle w:val="Heading3"/>
      </w:pPr>
      <w:r>
        <w:t xml:space="preserve">Architecture universality versus promoted-row closure</w:t>
      </w:r>
    </w:p>
    <w:p>
      <w:pPr>
        <w:pStyle w:val="FirstParagraph"/>
      </w:pPr>
      <w:r>
        <w:t xml:space="preserve">Two conclusions follow from the domain synthesis. First, what transfers is not a controller</w:t>
      </w:r>
      <w:r>
        <w:t xml:space="preserve"> </w:t>
      </w:r>
      <w:r>
        <w:t xml:space="preserve">family but a release-boundary grammar: reliability loss, uncertainty inflation, action</w:t>
      </w:r>
      <w:r>
        <w:t xml:space="preserve"> </w:t>
      </w:r>
      <w:r>
        <w:t xml:space="preserve">repair, fallback semantics, and certificate-aware release. Second, what remains local is the</w:t>
      </w:r>
      <w:r>
        <w:t xml:space="preserve"> </w:t>
      </w:r>
      <w:r>
        <w:t xml:space="preserve">geometry of the safety object itself: a battery margin is not a vehicle headway constraint,</w:t>
      </w:r>
      <w:r>
        <w:t xml:space="preserve"> </w:t>
      </w:r>
      <w:r>
        <w:t xml:space="preserve">and a vehicle headway constraint is not a physiological alert threshold.</w:t>
      </w:r>
    </w:p>
    <w:p>
      <w:pPr>
        <w:pStyle w:val="BodyText"/>
      </w:pPr>
      <w:r>
        <w:t xml:space="preserve">That is why the book distinguishes architecture universality from promoted-row closure.</w:t>
      </w:r>
      <w:r>
        <w:t xml:space="preserve"> </w:t>
      </w:r>
      <w:r>
        <w:t xml:space="preserve">Architecture universality is already defended by the shared adapter contract, kernel,</w:t>
      </w:r>
      <w:r>
        <w:t xml:space="preserve"> </w:t>
      </w:r>
      <w:r>
        <w:t xml:space="preserve">benchmark schema, and governance surfaces. Promoted-row closure is an empirical achievement</w:t>
      </w:r>
      <w:r>
        <w:t xml:space="preserve"> </w:t>
      </w:r>
      <w:r>
        <w:t xml:space="preserve">that requires each active row to clear the same replay, calibration, runtime, and</w:t>
      </w:r>
      <w:r>
        <w:t xml:space="preserve"> </w:t>
      </w:r>
      <w:r>
        <w:t xml:space="preserve">governance gates.</w:t>
      </w:r>
    </w:p>
    <w:bookmarkEnd w:id="116"/>
    <w:bookmarkStart w:id="117" w:name="default-proof-mode-for-the-dissertation"/>
    <w:p>
      <w:pPr>
        <w:pStyle w:val="Heading3"/>
      </w:pPr>
      <w:r>
        <w:t xml:space="preserve">Default proof mode for the dissertation</w:t>
      </w:r>
    </w:p>
    <w:p>
      <w:pPr>
        <w:pStyle w:val="FirstParagraph"/>
      </w:pPr>
      <w:r>
        <w:t xml:space="preserve">The default proof mode of the dissertation is therefore:</w:t>
      </w:r>
      <w:r>
        <w:t xml:space="preserve"> </w:t>
      </w:r>
      <w:r>
        <w:rPr>
          <w:i/>
          <w:iCs/>
        </w:rPr>
        <w:t xml:space="preserve">universal in architecture,</w:t>
      </w:r>
      <w:r>
        <w:rPr>
          <w:i/>
          <w:iCs/>
        </w:rPr>
        <w:t xml:space="preserve"> </w:t>
      </w:r>
      <w:r>
        <w:rPr>
          <w:i/>
          <w:iCs/>
        </w:rPr>
        <w:t xml:space="preserve">tiered in evidence</w:t>
      </w:r>
      <w:r>
        <w:t xml:space="preserve">. Battery calibrates the deepest witness depth. Healthcare and the</w:t>
      </w:r>
      <w:r>
        <w:t xml:space="preserve"> </w:t>
      </w:r>
      <w:r>
        <w:t xml:space="preserve">bounded autonomous-vehicle runtime row show that the same contract is not confined to one</w:t>
      </w:r>
      <w:r>
        <w:t xml:space="preserve"> </w:t>
      </w:r>
      <w:r>
        <w:t xml:space="preserve">plant family.</w:t>
      </w:r>
    </w:p>
    <w:bookmarkEnd w:id="117"/>
    <w:bookmarkStart w:id="118" w:name="boundary-of-the-universality-claim"/>
    <w:p>
      <w:pPr>
        <w:pStyle w:val="Heading3"/>
      </w:pPr>
      <w:r>
        <w:t xml:space="preserve">Boundary of the universality claim</w:t>
      </w:r>
    </w:p>
    <w:p>
      <w:pPr>
        <w:pStyle w:val="FirstParagraph"/>
      </w:pPr>
      <w:r>
        <w:t xml:space="preserve">This chapter is the place where the thesis must be most explicit. The universal claim is a</w:t>
      </w:r>
      <w:r>
        <w:t xml:space="preserve"> </w:t>
      </w:r>
      <w:r>
        <w:t xml:space="preserve">claim about a reusable runtime grammar, not a claim that every conceivable physical-AI row</w:t>
      </w:r>
      <w:r>
        <w:t xml:space="preserve"> </w:t>
      </w:r>
      <w:r>
        <w:t xml:space="preserve">has already been closed. The domain-closure matrix makes that difference visible in one</w:t>
      </w:r>
      <w:r>
        <w:t xml:space="preserve"> </w:t>
      </w:r>
      <w:r>
        <w:t xml:space="preserve">artifact surface. In that exact sense, ORIUS already establishes a reusable runtime safety</w:t>
      </w:r>
      <w:r>
        <w:t xml:space="preserve"> </w:t>
      </w:r>
      <w:r>
        <w:t xml:space="preserve">grammar across the active program while keeping the evidence boundary explicit.</w:t>
      </w:r>
    </w:p>
    <w:bookmarkEnd w:id="118"/>
    <w:bookmarkEnd w:id="119"/>
    <w:bookmarkStart w:id="128" w:name="Xf369508cbe938bfd78c380121071766cd683f64"/>
    <w:p>
      <w:pPr>
        <w:pStyle w:val="Heading2"/>
      </w:pPr>
      <w:r>
        <w:t xml:space="preserve">Temporal Certificates and Graceful Degradation</w:t>
      </w:r>
    </w:p>
    <w:bookmarkStart w:id="120" w:name="certificate-horizon-as-a-runtime-object"/>
    <w:p>
      <w:pPr>
        <w:pStyle w:val="Heading3"/>
      </w:pPr>
      <w:r>
        <w:t xml:space="preserve">Certificate horizon as a runtime object</w:t>
      </w:r>
    </w:p>
    <w:p>
      <w:pPr>
        <w:pStyle w:val="FirstParagraph"/>
      </w:pPr>
      <w:r>
        <w:t xml:space="preserve">ORIUS certificates are temporal objects, not one-step labels. A certificate has a validity</w:t>
      </w:r>
      <w:r>
        <w:t xml:space="preserve"> </w:t>
      </w:r>
      <w:r>
        <w:t xml:space="preserve">horizon, an expiration condition, and a bounded interpretation under worsening observation.</w:t>
      </w:r>
      <w:r>
        <w:t xml:space="preserve"> </w:t>
      </w:r>
      <w:r>
        <w:t xml:space="preserve">This matters because degraded telemetry can remain acceptable for one step and become</w:t>
      </w:r>
      <w:r>
        <w:t xml:space="preserve"> </w:t>
      </w:r>
      <w:r>
        <w:t xml:space="preserve">unacceptable only a short time later. The temporal question is therefore not</w:t>
      </w:r>
      <w:r>
        <w:t xml:space="preserve"> </w:t>
      </w:r>
      <w:r>
        <w:t xml:space="preserve">“safe or</w:t>
      </w:r>
      <w:r>
        <w:t xml:space="preserve"> </w:t>
      </w:r>
      <w:r>
        <w:t xml:space="preserve">unsafe forever,”</w:t>
      </w:r>
      <w:r>
        <w:t xml:space="preserve"> </w:t>
      </w:r>
      <w:r>
        <w:t xml:space="preserve">but</w:t>
      </w:r>
      <w:r>
        <w:t xml:space="preserve"> </w:t>
      </w:r>
      <w:r>
        <w:t xml:space="preserve">“how long does the runtime have before the current certificate no</w:t>
      </w:r>
      <w:r>
        <w:t xml:space="preserve"> </w:t>
      </w:r>
      <w:r>
        <w:t xml:space="preserve">longer justifies release?”</w:t>
      </w:r>
    </w:p>
    <w:p>
      <w:pPr>
        <w:pStyle w:val="BodyText"/>
      </w:pPr>
      <w:r>
        <w:t xml:space="preserve">Theorem T5 (Certificate Validity Horizon) and Theorem T6 (Certificate Expiration Bound)</w:t>
      </w:r>
      <w:r>
        <w:t xml:space="preserve"> </w:t>
      </w:r>
      <w:r>
        <w:t xml:space="preserve">formalise these temporal semantics. Both are registered in the</w:t>
      </w:r>
      <w:r>
        <w:t xml:space="preserve"> </w:t>
      </w:r>
      <w:r>
        <w:rPr>
          <w:rStyle w:val="VerbatimChar"/>
        </w:rPr>
        <w:t xml:space="preserve">THEOREM_REGISTER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theoretical_guarantees.py</w:t>
      </w:r>
      <w:r>
        <w:t xml:space="preserve">) and enforced at every runtime step: the API</w:t>
      </w:r>
      <w:r>
        <w:t xml:space="preserve"> </w:t>
      </w:r>
      <w:r>
        <w:t xml:space="preserve">router computes the validity horizon </w:t>
      </w:r>
      <m:oMath>
        <m:sSub>
          <m:e>
            <m:r>
              <m:t>τ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the expiry lower bound, appends them to</w:t>
      </w:r>
      <w:r>
        <w:t xml:space="preserve"> </w:t>
      </w:r>
      <w:r>
        <w:t xml:space="preserve">the uncertainty metadata, and fails the guarantee check (</w:t>
      </w:r>
      <m:oMath>
        <m:r>
          <m:rPr>
            <m:nor/>
            <m:scr m:val="monospace"/>
            <m:sty m:val="p"/>
          </m:rPr>
          <m:t>guarantee_passed</m:t>
        </m:r>
        <m:r>
          <m:rPr>
            <m:sty m:val="p"/>
          </m:rPr>
          <m:t>=</m:t>
        </m:r>
        <m:r>
          <m:rPr>
            <m:scr m:val="monospace"/>
            <m:sty m:val="p"/>
          </m:rPr>
          <m:t>F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s</m:t>
        </m:r>
        <m:r>
          <m:rPr>
            <m:scr m:val="monospace"/>
            <m:sty m:val="p"/>
          </m:rPr>
          <m:t>e</m:t>
        </m:r>
      </m:oMath>
      <w:r>
        <w:t xml:space="preserve">) whenever</w:t>
      </w:r>
      <w:r>
        <w:t xml:space="preserve"> </w:t>
      </w:r>
      <m:oMath>
        <m:sSub>
          <m:e>
            <m:r>
              <m:t>τ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120"/>
    <w:bookmarkStart w:id="121" w:name="X4966feadb8184d7e7b6a91127632beb8604f06f"/>
    <w:p>
      <w:pPr>
        <w:pStyle w:val="Heading3"/>
      </w:pPr>
      <w:r>
        <w:t xml:space="preserve">Why temporal safety belongs inside runtime assurance</w:t>
      </w:r>
    </w:p>
    <w:p>
      <w:pPr>
        <w:pStyle w:val="FirstParagraph"/>
      </w:pPr>
      <w:r>
        <w:t xml:space="preserve">This temporal view is one of the places where ORIUS aligns most clearly with classical</w:t>
      </w:r>
      <w:r>
        <w:t xml:space="preserve"> </w:t>
      </w:r>
      <w:r>
        <w:t xml:space="preserve">runtime-assurance intuition. Simplex-style architectures distinguish between high-</w:t>
      </w:r>
      <w:r>
        <w:t xml:space="preserve"> </w:t>
      </w:r>
      <w:r>
        <w:t xml:space="preserve">performance nominal control and a safer supervisory authority that must take over when the</w:t>
      </w:r>
      <w:r>
        <w:t xml:space="preserve"> </w:t>
      </w:r>
      <w:r>
        <w:t xml:space="preserve">nominal contract is no longer justified</w:t>
      </w:r>
      <w:r>
        <w:t xml:space="preserve"> </w:t>
      </w:r>
      <w:r>
        <w:t xml:space="preserve">. ORIUS extends</w:t>
      </w:r>
      <w:r>
        <w:t xml:space="preserve"> </w:t>
      </w:r>
      <w:r>
        <w:t xml:space="preserve">that idea by attaching horizon semantics directly to the certificate object. The runtime is</w:t>
      </w:r>
      <w:r>
        <w:t xml:space="preserve"> </w:t>
      </w:r>
      <w:r>
        <w:t xml:space="preserve">not only deciding whether to intervene. It is also deciding how long the present release</w:t>
      </w:r>
      <w:r>
        <w:t xml:space="preserve"> </w:t>
      </w:r>
      <w:r>
        <w:t xml:space="preserve">claim is allowed to remain live before fallback becomes mandatory.</w:t>
      </w:r>
    </w:p>
    <w:bookmarkEnd w:id="121"/>
    <w:bookmarkStart w:id="123" w:name="expiration-half-life-and-safe-hold"/>
    <w:p>
      <w:pPr>
        <w:pStyle w:val="Heading3"/>
      </w:pPr>
      <w:r>
        <w:t xml:space="preserve">Expiration, half-life, and safe-hold</w:t>
      </w:r>
    </w:p>
    <w:p>
      <w:pPr>
        <w:pStyle w:val="FirstParagraph"/>
      </w:pPr>
      <w:r>
        <w:t xml:space="preserve">The current evidence supports a conservative temporal reading. Horizon and half-life are</w:t>
      </w:r>
      <w:r>
        <w:t xml:space="preserve"> </w:t>
      </w:r>
      <w:r>
        <w:t xml:space="preserve">most strongly defended as bounded expiration and safe-hold semantics under blackout-style</w:t>
      </w:r>
      <w:r>
        <w:t xml:space="preserve"> </w:t>
      </w:r>
      <w:r>
        <w:t xml:space="preserve">degradation. That is the right level of claim: certificate time is measurable and</w:t>
      </w:r>
      <w:r>
        <w:t xml:space="preserve"> </w:t>
      </w:r>
      <w:r>
        <w:t xml:space="preserve">governable, but it is not yet promoted into a universal law of every plant and sensor</w:t>
      </w:r>
      <w:r>
        <w:t xml:space="preserve"> </w:t>
      </w:r>
      <w:r>
        <w:t xml:space="preserve">regime.</w:t>
      </w:r>
    </w:p>
    <w:bookmarkStart w:id="122" w:name="fig:blackout-half-lif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Blackout half-life surface used to motivate certificate expiration, bounded</w:t>
      </w:r>
      <w:r>
        <w:t xml:space="preserve"> </w:t>
      </w:r>
      <w:r>
        <w:t xml:space="preserve">safe-hold, and temporal intervention discipline.</w:t>
      </w:r>
    </w:p>
    <w:bookmarkEnd w:id="122"/>
    <w:p>
      <w:pPr>
        <w:pStyle w:val="BodyText"/>
      </w:pPr>
      <w:r>
        <w:t xml:space="preserve">The half-life framing matters because it gives the runtime a language for degradation that</w:t>
      </w:r>
      <w:r>
        <w:t xml:space="preserve"> </w:t>
      </w:r>
      <w:r>
        <w:t xml:space="preserve">is stronger than an unstructured timeout. A certificate can decay in justification even when</w:t>
      </w:r>
      <w:r>
        <w:t xml:space="preserve"> </w:t>
      </w:r>
      <w:r>
        <w:t xml:space="preserve">the nominal policy remains capable of producing an action. ORIUS uses that decay to decide</w:t>
      </w:r>
      <w:r>
        <w:t xml:space="preserve"> </w:t>
      </w:r>
      <w:r>
        <w:t xml:space="preserve">when safe-hold, curtailment, or reduced-operation behavior should replace ordinary release.</w:t>
      </w:r>
    </w:p>
    <w:bookmarkEnd w:id="123"/>
    <w:bookmarkStart w:id="124" w:name="severe-blackout-protocol"/>
    <w:p>
      <w:pPr>
        <w:pStyle w:val="Heading3"/>
      </w:pPr>
      <w:r>
        <w:t xml:space="preserve">Severe-blackout protocol</w:t>
      </w:r>
    </w:p>
    <w:p>
      <w:pPr>
        <w:pStyle w:val="FirstParagraph"/>
      </w:pPr>
      <w:r>
        <w:t xml:space="preserve">The severe-blackout setting is the cleanest empirical test of temporal semantics because the</w:t>
      </w:r>
      <w:r>
        <w:t xml:space="preserve"> </w:t>
      </w:r>
      <w:r>
        <w:t xml:space="preserve">runtime cannot rely on fresh observation arriving in time to rescue nominal control. The</w:t>
      </w:r>
      <w:r>
        <w:t xml:space="preserve"> </w:t>
      </w:r>
      <w:r>
        <w:t xml:space="preserve">question becomes: can the runtime preserve a governed reduced-operation mode long enough to</w:t>
      </w:r>
      <w:r>
        <w:t xml:space="preserve"> </w:t>
      </w:r>
      <w:r>
        <w:t xml:space="preserve">avoid unsafe release while still remaining operationally legible? That is why the blackout</w:t>
      </w:r>
      <w:r>
        <w:t xml:space="preserve"> </w:t>
      </w:r>
      <w:r>
        <w:t xml:space="preserve">protocol belongs in the main body. It is not a corner-case stress test. It is the clearest</w:t>
      </w:r>
      <w:r>
        <w:t xml:space="preserve"> </w:t>
      </w:r>
      <w:r>
        <w:t xml:space="preserve">demonstration that certificates are temporal objects with behavioral consequences.</w:t>
      </w:r>
    </w:p>
    <w:bookmarkEnd w:id="124"/>
    <w:bookmarkStart w:id="126" w:name="graceful-degradation-policies"/>
    <w:p>
      <w:pPr>
        <w:pStyle w:val="Heading3"/>
      </w:pPr>
      <w:r>
        <w:t xml:space="preserve">Graceful degradation policies</w:t>
      </w:r>
    </w:p>
    <w:p>
      <w:pPr>
        <w:pStyle w:val="FirstParagraph"/>
      </w:pPr>
      <w:r>
        <w:t xml:space="preserve">When no full-quality control action remains justified, ORIUS benchmarks degradation</w:t>
      </w:r>
      <w:r>
        <w:t xml:space="preserve"> </w:t>
      </w:r>
      <w:r>
        <w:t xml:space="preserve">policies explicitly rather than treating them as informal emergency behavior. This is the</w:t>
      </w:r>
      <w:r>
        <w:t xml:space="preserve"> </w:t>
      </w:r>
      <w:r>
        <w:t xml:space="preserve">runtime-assurance connection in practice: the system needs a governed way to do less, safer,</w:t>
      </w:r>
      <w:r>
        <w:t xml:space="preserve"> </w:t>
      </w:r>
      <w:r>
        <w:t xml:space="preserve">and more explainably when observation quality collapses.</w:t>
      </w:r>
    </w:p>
    <w:bookmarkStart w:id="125" w:name="fig:graceful-four-policies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Four-policy graceful degradation comparison. The dissertation uses this family to</w:t>
      </w:r>
      <w:r>
        <w:t xml:space="preserve"> </w:t>
      </w:r>
      <w:r>
        <w:t xml:space="preserve">treat fallback quality as a benchmarked layer instead of an unexamined emergency default.</w:t>
      </w:r>
    </w:p>
    <w:bookmarkEnd w:id="125"/>
    <w:p>
      <w:pPr>
        <w:pStyle w:val="BodyText"/>
      </w:pPr>
      <w:r>
        <w:t xml:space="preserve">Benchmarking degradation policies matters scientifically because a runtime could always buy</w:t>
      </w:r>
      <w:r>
        <w:t xml:space="preserve"> </w:t>
      </w:r>
      <w:r>
        <w:t xml:space="preserve">safety by immediately collapsing to a maximally conservative shutdown or no-op. ORIUS asks a</w:t>
      </w:r>
      <w:r>
        <w:t xml:space="preserve"> </w:t>
      </w:r>
      <w:r>
        <w:t xml:space="preserve">more demanding question: what bounded policy still preserves safety while keeping the system</w:t>
      </w:r>
      <w:r>
        <w:t xml:space="preserve"> </w:t>
      </w:r>
      <w:r>
        <w:t xml:space="preserve">operationally interpretable and certificate-governed?</w:t>
      </w:r>
    </w:p>
    <w:bookmarkEnd w:id="126"/>
    <w:bookmarkStart w:id="127" w:name="temporal-extension"/>
    <w:p>
      <w:pPr>
        <w:pStyle w:val="Heading3"/>
      </w:pPr>
      <w:r>
        <w:t xml:space="preserve">Temporal extension</w:t>
      </w:r>
    </w:p>
    <w:p>
      <w:pPr>
        <w:pStyle w:val="FirstParagraph"/>
      </w:pPr>
      <w:r>
        <w:t xml:space="preserve">This chapter extends the same runtime object introduced earlier rather than adding a separate</w:t>
      </w:r>
      <w:r>
        <w:t xml:space="preserve"> </w:t>
      </w:r>
      <w:r>
        <w:t xml:space="preserve">theory of fallback. Certificate time and graceful degradation become measurable and governable</w:t>
      </w:r>
      <w:r>
        <w:t xml:space="preserve"> </w:t>
      </w:r>
      <w:r>
        <w:t xml:space="preserve">parts of the release object itself. The defended claim remains bounded: time-to-expiration,</w:t>
      </w:r>
      <w:r>
        <w:t xml:space="preserve"> </w:t>
      </w:r>
      <w:r>
        <w:t xml:space="preserve">safe-hold, and fallback quality now belong to the scientific evaluation surface of ORIUS,</w:t>
      </w:r>
      <w:r>
        <w:t xml:space="preserve"> </w:t>
      </w:r>
      <w:r>
        <w:t xml:space="preserve">but no universal optimal degradation policy is claimed here.</w:t>
      </w:r>
    </w:p>
    <w:bookmarkEnd w:id="127"/>
    <w:bookmarkEnd w:id="128"/>
    <w:bookmarkStart w:id="135" w:name="ch:compositional-safety"/>
    <w:p>
      <w:pPr>
        <w:pStyle w:val="Heading2"/>
      </w:pPr>
      <w:r>
        <w:t xml:space="preserve">Compositional Safety</w:t>
      </w:r>
    </w:p>
    <w:bookmarkStart w:id="129" w:name="X066e5849012388ba4e795e599b8bf750b30ef52"/>
    <w:p>
      <w:pPr>
        <w:pStyle w:val="Heading3"/>
      </w:pPr>
      <w:r>
        <w:t xml:space="preserve">Why local safety does not automatically compose</w:t>
      </w:r>
    </w:p>
    <w:p>
      <w:pPr>
        <w:pStyle w:val="FirstParagraph"/>
      </w:pPr>
      <w:r>
        <w:t xml:space="preserve">One of the easiest mistakes in safety argumentation is to assume that individually safe</w:t>
      </w:r>
      <w:r>
        <w:t xml:space="preserve"> </w:t>
      </w:r>
      <w:r>
        <w:t xml:space="preserve">controllers remain jointly safe when they share resources or constraints. ORIUS treats</w:t>
      </w:r>
      <w:r>
        <w:t xml:space="preserve"> </w:t>
      </w:r>
      <w:r>
        <w:t xml:space="preserve">composition as a bounded extension precisely because this implication fails in general.</w:t>
      </w:r>
      <w:r>
        <w:t xml:space="preserve"> </w:t>
      </w:r>
      <w:r>
        <w:t xml:space="preserve">Local certificates can remain valid while shared budgets, timing windows, or coupled plant</w:t>
      </w:r>
      <w:r>
        <w:t xml:space="preserve"> </w:t>
      </w:r>
      <w:r>
        <w:t xml:space="preserve">dynamics still create system-level failure.</w:t>
      </w:r>
    </w:p>
    <w:bookmarkEnd w:id="129"/>
    <w:bookmarkStart w:id="130" w:name="a-simple-counterexample"/>
    <w:p>
      <w:pPr>
        <w:pStyle w:val="Heading3"/>
      </w:pPr>
      <w:r>
        <w:t xml:space="preserve">A simple counterexample</w:t>
      </w:r>
    </w:p>
    <w:p>
      <w:pPr>
        <w:pStyle w:val="FirstParagraph"/>
      </w:pPr>
      <w:r>
        <w:t xml:space="preserve">Consider two locally admissible controllers that each satisfy their own state and action</w:t>
      </w:r>
      <w:r>
        <w:t xml:space="preserve"> </w:t>
      </w:r>
      <w:r>
        <w:t xml:space="preserve">constraints. If both consume a shared feeder budget, corridor occupancy, or actuator</w:t>
      </w:r>
      <w:r>
        <w:t xml:space="preserve"> </w:t>
      </w:r>
      <w:r>
        <w:t xml:space="preserve">authority reserve, their simultaneous release can still violate the system-level constraint</w:t>
      </w:r>
      <w:r>
        <w:t xml:space="preserve"> </w:t>
      </w:r>
      <w:r>
        <w:t xml:space="preserve">even though neither local controller is individually unsafe. This is the compositional</w:t>
      </w:r>
      <w:r>
        <w:t xml:space="preserve"> </w:t>
      </w:r>
      <w:r>
        <w:t xml:space="preserve">version of OASG: local legality can diverge from system-level safety when the shared</w:t>
      </w:r>
      <w:r>
        <w:t xml:space="preserve"> </w:t>
      </w:r>
      <w:r>
        <w:t xml:space="preserve">constraint is not represented in the local release object.</w:t>
      </w:r>
    </w:p>
    <w:bookmarkEnd w:id="130"/>
    <w:bookmarkStart w:id="131" w:name="Xd6912506a1b2851d1ef5ea23fb6adb1173decc8"/>
    <w:p>
      <w:pPr>
        <w:pStyle w:val="Heading3"/>
      </w:pPr>
      <w:r>
        <w:t xml:space="preserve">Shared constraints as the right composition surface</w:t>
      </w:r>
    </w:p>
    <w:p>
      <w:pPr>
        <w:pStyle w:val="FirstParagraph"/>
      </w:pPr>
      <w:r>
        <w:t xml:space="preserve">Composition is therefore framed around shared constraints rather than around an immediate</w:t>
      </w:r>
      <w:r>
        <w:t xml:space="preserve"> </w:t>
      </w:r>
      <w:r>
        <w:t xml:space="preserve">claim of universal multi-agent closure. Shared power budgets, corridor occupancy, common</w:t>
      </w:r>
      <w:r>
        <w:t xml:space="preserve"> </w:t>
      </w:r>
      <w:r>
        <w:t xml:space="preserve">actuator authority, or coupled timing envelopes are the right first-class objects because</w:t>
      </w:r>
      <w:r>
        <w:t xml:space="preserve"> </w:t>
      </w:r>
      <w:r>
        <w:t xml:space="preserve">they say where local certificates stop being sufficient. ORIUS can then lift the</w:t>
      </w:r>
      <w:r>
        <w:t xml:space="preserve"> </w:t>
      </w:r>
      <w:r>
        <w:t xml:space="preserve">certificate object into a negotiated setting without pretending that single-agent repair</w:t>
      </w:r>
      <w:r>
        <w:t xml:space="preserve"> </w:t>
      </w:r>
      <w:r>
        <w:t xml:space="preserve">theorems automatically solve the multi-agent case.</w:t>
      </w:r>
    </w:p>
    <w:bookmarkEnd w:id="131"/>
    <w:bookmarkStart w:id="132" w:name="multi-agent-certificates-and-negotiation"/>
    <w:p>
      <w:pPr>
        <w:pStyle w:val="Heading3"/>
      </w:pPr>
      <w:r>
        <w:t xml:space="preserve">Multi-agent certificates and negotiation</w:t>
      </w:r>
    </w:p>
    <w:p>
      <w:pPr>
        <w:pStyle w:val="FirstParagraph"/>
      </w:pPr>
      <w:r>
        <w:t xml:space="preserve">The composition story in ORIUS is therefore narrow but meaningful. A local certificate says</w:t>
      </w:r>
      <w:r>
        <w:t xml:space="preserve"> </w:t>
      </w:r>
      <w:r>
        <w:t xml:space="preserve">that an action is safe given one agent’s uncertainty set and fallback semantics. A</w:t>
      </w:r>
      <w:r>
        <w:t xml:space="preserve"> </w:t>
      </w:r>
      <w:r>
        <w:t xml:space="preserve">compositional certificate must additionally encode the shared constraint on which multiple</w:t>
      </w:r>
      <w:r>
        <w:t xml:space="preserve"> </w:t>
      </w:r>
      <w:r>
        <w:t xml:space="preserve">agents depend. This turns negotiation and fairness from policy afterthoughts into runtime</w:t>
      </w:r>
      <w:r>
        <w:t xml:space="preserve"> </w:t>
      </w:r>
      <w:r>
        <w:t xml:space="preserve">objects. If the shared constraint cannot be satisfied jointly, the runtime must decide which</w:t>
      </w:r>
      <w:r>
        <w:t xml:space="preserve"> </w:t>
      </w:r>
      <w:r>
        <w:t xml:space="preserve">agents may continue, which must degrade, and which fallbacks remain legitimate.</w:t>
      </w:r>
    </w:p>
    <w:bookmarkEnd w:id="132"/>
    <w:bookmarkStart w:id="133" w:name="X3befda1c212991b071e21579bd5e43a32f3047e"/>
    <w:p>
      <w:pPr>
        <w:pStyle w:val="Heading3"/>
      </w:pPr>
      <w:r>
        <w:t xml:space="preserve">Why composition remains bounded in the dissertation</w:t>
      </w:r>
    </w:p>
    <w:p>
      <w:pPr>
        <w:pStyle w:val="FirstParagraph"/>
      </w:pPr>
      <w:r>
        <w:t xml:space="preserve">Composition matters scientifically because it shows that the ORIUS grammar does not end at</w:t>
      </w:r>
      <w:r>
        <w:t xml:space="preserve"> </w:t>
      </w:r>
      <w:r>
        <w:t xml:space="preserve">single-agent control. At the same time, it remains outside the strongest universal claim.</w:t>
      </w:r>
      <w:r>
        <w:t xml:space="preserve"> </w:t>
      </w:r>
      <w:r>
        <w:t xml:space="preserve">The present dissertation does not defend a composition theorem beyond the active</w:t>
      </w:r>
      <w:r>
        <w:t xml:space="preserve"> </w:t>
      </w:r>
      <w:r>
        <w:t xml:space="preserve">three-domain lane. It shows that shared constraints can be represented through the same</w:t>
      </w:r>
      <w:r>
        <w:t xml:space="preserve"> </w:t>
      </w:r>
      <w:r>
        <w:t xml:space="preserve">runtime object and that local certificates alone are not sufficient once coupling enters</w:t>
      </w:r>
      <w:r>
        <w:t xml:space="preserve"> </w:t>
      </w:r>
      <w:r>
        <w:t xml:space="preserve">the system.</w:t>
      </w:r>
    </w:p>
    <w:bookmarkEnd w:id="133"/>
    <w:bookmarkStart w:id="134" w:name="compositional-takeaway"/>
    <w:p>
      <w:pPr>
        <w:pStyle w:val="Heading3"/>
      </w:pPr>
      <w:r>
        <w:t xml:space="preserve">Compositional takeaway</w:t>
      </w:r>
    </w:p>
    <w:p>
      <w:pPr>
        <w:pStyle w:val="FirstParagraph"/>
      </w:pPr>
      <w:r>
        <w:t xml:space="preserve">What this chapter contributes is a bounded extension, not a new center of gravity for the</w:t>
      </w:r>
      <w:r>
        <w:t xml:space="preserve"> </w:t>
      </w:r>
      <w:r>
        <w:t xml:space="preserve">thesis. ORIUS can lift degraded-observation safety into a shared-constraint setting by</w:t>
      </w:r>
      <w:r>
        <w:t xml:space="preserve"> </w:t>
      </w:r>
      <w:r>
        <w:t xml:space="preserve">making system-level resources explicit in the release object. It does not claim that local</w:t>
      </w:r>
      <w:r>
        <w:t xml:space="preserve"> </w:t>
      </w:r>
      <w:r>
        <w:t xml:space="preserve">safety composes automatically, and it does not claim that every current domain row already</w:t>
      </w:r>
      <w:r>
        <w:t xml:space="preserve"> </w:t>
      </w:r>
      <w:r>
        <w:t xml:space="preserve">clears a defended multi-agent promotion discipline.</w:t>
      </w:r>
    </w:p>
    <w:bookmarkEnd w:id="134"/>
    <w:bookmarkEnd w:id="135"/>
    <w:bookmarkStart w:id="144" w:name="ch:certos-runtime-assurance"/>
    <w:p>
      <w:pPr>
        <w:pStyle w:val="Heading2"/>
      </w:pPr>
      <w:r>
        <w:t xml:space="preserve">CertOS Runtime Assurance</w:t>
      </w:r>
    </w:p>
    <w:bookmarkStart w:id="136" w:name="why-certos-belongs-in-the-main-argument"/>
    <w:p>
      <w:pPr>
        <w:pStyle w:val="Heading3"/>
      </w:pPr>
      <w:r>
        <w:t xml:space="preserve">Why CertOS belongs in the main argument</w:t>
      </w:r>
    </w:p>
    <w:p>
      <w:pPr>
        <w:pStyle w:val="FirstParagraph"/>
      </w:pPr>
      <w:r>
        <w:t xml:space="preserve">CertOS is the part of ORIUS that turns repaired action into a governed runtime object.</w:t>
      </w:r>
      <w:r>
        <w:t xml:space="preserve"> </w:t>
      </w:r>
      <w:r>
        <w:t xml:space="preserve">Without lifecycle state, fallback rules, and an audit chain, certificates would be inert</w:t>
      </w:r>
      <w:r>
        <w:t xml:space="preserve"> </w:t>
      </w:r>
      <w:r>
        <w:t xml:space="preserve">metadata. With CertOS, certificate validity becomes part of the release decision itself:</w:t>
      </w:r>
      <w:r>
        <w:t xml:space="preserve"> </w:t>
      </w:r>
      <w:r>
        <w:t xml:space="preserve">which action was allowed, under which reliability state, for which horizon, and under which</w:t>
      </w:r>
      <w:r>
        <w:t xml:space="preserve"> </w:t>
      </w:r>
      <w:r>
        <w:t xml:space="preserve">fallback if the certificate expires or becomes invalid?</w:t>
      </w:r>
    </w:p>
    <w:p>
      <w:pPr>
        <w:pStyle w:val="BodyText"/>
      </w:pPr>
      <w:r>
        <w:t xml:space="preserve">This chapter therefore does not read as a deployment appendix. It is the point at which the</w:t>
      </w:r>
      <w:r>
        <w:t xml:space="preserve"> </w:t>
      </w:r>
      <w:r>
        <w:t xml:space="preserve">ORIUS kernel acquires operational semantics.</w:t>
      </w:r>
      <w:r>
        <w:t xml:space="preserve"> </w:t>
      </w:r>
      <w:r>
        <w:rPr>
          <w:rStyle w:val="VerbatimChar"/>
        </w:rPr>
        <w:t xml:space="preserve">DomainAdapter</w:t>
      </w:r>
      <w:r>
        <w:t xml:space="preserve"> </w:t>
      </w:r>
      <w:r>
        <w:t xml:space="preserve">defines the local safety</w:t>
      </w:r>
      <w:r>
        <w:t xml:space="preserve"> </w:t>
      </w:r>
      <w:r>
        <w:t xml:space="preserve">predicate and fallback object that CertOS must protect, and the universal benchmark schema</w:t>
      </w:r>
      <w:r>
        <w:t xml:space="preserve"> </w:t>
      </w:r>
      <w:r>
        <w:t xml:space="preserve">defines the replay traces from which certificate validity, latency, and lifecycle behavior</w:t>
      </w:r>
      <w:r>
        <w:t xml:space="preserve"> </w:t>
      </w:r>
      <w:r>
        <w:t xml:space="preserve">are evaluated.</w:t>
      </w:r>
    </w:p>
    <w:bookmarkEnd w:id="136"/>
    <w:bookmarkStart w:id="137" w:name="lifecycle-operations"/>
    <w:p>
      <w:pPr>
        <w:pStyle w:val="Heading3"/>
      </w:pPr>
      <w:r>
        <w:t xml:space="preserve">Lifecycle operations</w:t>
      </w:r>
    </w:p>
    <w:p>
      <w:pPr>
        <w:pStyle w:val="FirstParagraph"/>
      </w:pPr>
      <w:r>
        <w:t xml:space="preserve">CertOS organizes runtime release through a small but strict lifecycle:</w:t>
      </w:r>
    </w:p>
    <w:p>
      <w:pPr>
        <w:numPr>
          <w:ilvl w:val="0"/>
          <w:numId w:val="1015"/>
        </w:numPr>
      </w:pPr>
      <w:r>
        <w:t xml:space="preserve">issue a certificate only after the repaired or fallback action is shown admissible;</w:t>
      </w:r>
    </w:p>
    <w:p>
      <w:pPr>
        <w:numPr>
          <w:ilvl w:val="0"/>
          <w:numId w:val="1015"/>
        </w:numPr>
      </w:pPr>
      <w:r>
        <w:t xml:space="preserve">validate a certificate before each protected release;</w:t>
      </w:r>
    </w:p>
    <w:p>
      <w:pPr>
        <w:numPr>
          <w:ilvl w:val="0"/>
          <w:numId w:val="1015"/>
        </w:numPr>
      </w:pPr>
      <w:r>
        <w:t xml:space="preserve">renew a certificate when fresh evidence preserves the release claim;</w:t>
      </w:r>
    </w:p>
    <w:p>
      <w:pPr>
        <w:numPr>
          <w:ilvl w:val="0"/>
          <w:numId w:val="1015"/>
        </w:numPr>
      </w:pPr>
      <w:r>
        <w:t xml:space="preserve">expire or revoke a certificate when the underlying assumptions no longer hold; and</w:t>
      </w:r>
    </w:p>
    <w:p>
      <w:pPr>
        <w:numPr>
          <w:ilvl w:val="0"/>
          <w:numId w:val="1015"/>
        </w:numPr>
      </w:pPr>
      <w:r>
        <w:t xml:space="preserve">force explicit fallback when no valid certificate remains.</w:t>
      </w:r>
    </w:p>
    <w:p>
      <w:pPr>
        <w:pStyle w:val="FirstParagraph"/>
      </w:pPr>
      <w:r>
        <w:t xml:space="preserve">These operations make ORIUS operationally legible. The runtime is not merely deciding</w:t>
      </w:r>
      <w:r>
        <w:t xml:space="preserve"> </w:t>
      </w:r>
      <w:r>
        <w:t xml:space="preserve">whether an action is numerically acceptable; it is managing the validity of the claim under</w:t>
      </w:r>
      <w:r>
        <w:t xml:space="preserve"> </w:t>
      </w:r>
      <w:r>
        <w:t xml:space="preserve">which release occurs.</w:t>
      </w:r>
    </w:p>
    <w:bookmarkEnd w:id="137"/>
    <w:bookmarkStart w:id="139" w:name="runtime-invariants"/>
    <w:p>
      <w:pPr>
        <w:pStyle w:val="Heading3"/>
      </w:pPr>
      <w:r>
        <w:t xml:space="preserve">Runtime invariants</w:t>
      </w:r>
    </w:p>
    <w:p>
      <w:pPr>
        <w:pStyle w:val="FirstParagraph"/>
      </w:pPr>
      <w:r>
        <w:t xml:space="preserve">The lifecycle logic is narrow and strong. A protected action is never released without a</w:t>
      </w:r>
      <w:r>
        <w:t xml:space="preserve"> </w:t>
      </w:r>
      <w:r>
        <w:t xml:space="preserve">valid certificate or an explicit fallback. Certificate state must be renewable, expirable,</w:t>
      </w:r>
      <w:r>
        <w:t xml:space="preserve"> </w:t>
      </w:r>
      <w:r>
        <w:t xml:space="preserve">revocable, and auditable. Runtime traces must preserve enough information to reconstruct why</w:t>
      </w:r>
      <w:r>
        <w:t xml:space="preserve"> </w:t>
      </w:r>
      <w:r>
        <w:t xml:space="preserve">release was allowed and when the governing assumptions ceased to hold. These are not</w:t>
      </w:r>
      <w:r>
        <w:t xml:space="preserve"> </w:t>
      </w:r>
      <w:r>
        <w:t xml:space="preserve">administrative conveniences. They are the invariants that keep repaired action tied to a</w:t>
      </w:r>
      <w:r>
        <w:t xml:space="preserve"> </w:t>
      </w:r>
      <w:r>
        <w:t xml:space="preserve">reviewable safety argument.</w:t>
      </w:r>
    </w:p>
    <w:bookmarkStart w:id="138" w:name="fig:runtime-governance-matrix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CertOS lifecycle and runtime-governance surface across ORIUS domains. The figure</w:t>
      </w:r>
      <w:r>
        <w:t xml:space="preserve"> </w:t>
      </w:r>
      <w:r>
        <w:t xml:space="preserve">shows how certificate issue, validation, expiry, fallback, and audit continuity are exposed</w:t>
      </w:r>
      <w:r>
        <w:t xml:space="preserve"> </w:t>
      </w:r>
      <w:r>
        <w:t xml:space="preserve">as part of runtime safety rather than as post hoc reporting.</w:t>
      </w:r>
    </w:p>
    <w:bookmarkEnd w:id="138"/>
    <w:bookmarkEnd w:id="139"/>
    <w:bookmarkStart w:id="140" w:name="audit-chain-and-post-hoc-verification"/>
    <w:p>
      <w:pPr>
        <w:pStyle w:val="Heading3"/>
      </w:pPr>
      <w:r>
        <w:t xml:space="preserve">Audit chain and post hoc verification</w:t>
      </w:r>
    </w:p>
    <w:p>
      <w:pPr>
        <w:pStyle w:val="FirstParagraph"/>
      </w:pPr>
      <w:r>
        <w:t xml:space="preserve">The audit chain matters because ORIUS is not only a forward-looking safety layer. It is also</w:t>
      </w:r>
      <w:r>
        <w:t xml:space="preserve"> </w:t>
      </w:r>
      <w:r>
        <w:t xml:space="preserve">a mechanism for reconstructing the justification of past release decisions. Once an unsafe</w:t>
      </w:r>
      <w:r>
        <w:t xml:space="preserve"> </w:t>
      </w:r>
      <w:r>
        <w:t xml:space="preserve">event, intervention, or fallback occurs, the system must be able to explain what the</w:t>
      </w:r>
      <w:r>
        <w:t xml:space="preserve"> </w:t>
      </w:r>
      <w:r>
        <w:t xml:space="preserve">reliability state was, which repair or fallback was chosen, what certificate was valid, and</w:t>
      </w:r>
      <w:r>
        <w:t xml:space="preserve"> </w:t>
      </w:r>
      <w:r>
        <w:t xml:space="preserve">why the runtime believed the action remained admissible. This is why audit completeness is a</w:t>
      </w:r>
      <w:r>
        <w:t xml:space="preserve"> </w:t>
      </w:r>
      <w:r>
        <w:t xml:space="preserve">first-class benchmark metric rather than a logging implementation detail.</w:t>
      </w:r>
    </w:p>
    <w:bookmarkEnd w:id="140"/>
    <w:bookmarkStart w:id="141" w:name="governance-alignment-not-compliance"/>
    <w:p>
      <w:pPr>
        <w:pStyle w:val="Heading3"/>
      </w:pPr>
      <w:r>
        <w:t xml:space="preserve">Governance alignment, not compliance</w:t>
      </w:r>
    </w:p>
    <w:p>
      <w:pPr>
        <w:pStyle w:val="FirstParagraph"/>
      </w:pPr>
      <w:r>
        <w:t xml:space="preserve">CertOS aligns the runtime evidence surface with disciplined safety-argument practice without</w:t>
      </w:r>
      <w:r>
        <w:t xml:space="preserve"> </w:t>
      </w:r>
      <w:r>
        <w:t xml:space="preserve">claiming compliance with external standards. In that limited and precise sense, the</w:t>
      </w:r>
      <w:r>
        <w:t xml:space="preserve"> </w:t>
      </w:r>
      <w:r>
        <w:t xml:space="preserve">governance chapter is legible to readers who care about claim-based safety arguments,</w:t>
      </w:r>
      <w:r>
        <w:t xml:space="preserve"> </w:t>
      </w:r>
      <w:r>
        <w:t xml:space="preserve">lifecycle discipline, and trustworthy AI governance</w:t>
      </w:r>
      <w:r>
        <w:t xml:space="preserve"> </w:t>
      </w:r>
      <w:r>
        <w:t xml:space="preserve">.</w:t>
      </w:r>
    </w:p>
    <w:p>
      <w:pPr>
        <w:pStyle w:val="BodyText"/>
      </w:pPr>
      <w:r>
        <w:t xml:space="preserve">The distinction matters. UL 4600, the NIST AI RMF, ISO 26262, and IEC 61508 are used here</w:t>
      </w:r>
      <w:r>
        <w:t xml:space="preserve"> </w:t>
      </w:r>
      <w:r>
        <w:t xml:space="preserve">as evidence-structure and lifecycle analogs only. They motivate why a runtime safety layer</w:t>
      </w:r>
      <w:r>
        <w:t xml:space="preserve"> </w:t>
      </w:r>
      <w:r>
        <w:t xml:space="preserve">should make claims, assumptions, evidence, lifecycle transitions, and audit continuity</w:t>
      </w:r>
      <w:r>
        <w:t xml:space="preserve"> </w:t>
      </w:r>
      <w:r>
        <w:t xml:space="preserve">explicit. They do not turn the dissertation into a compliance claim, and the manuscript</w:t>
      </w:r>
      <w:r>
        <w:t xml:space="preserve"> </w:t>
      </w:r>
      <w:r>
        <w:t xml:space="preserve">must never be read that way.</w:t>
      </w:r>
    </w:p>
    <w:bookmarkEnd w:id="141"/>
    <w:bookmarkStart w:id="142" w:name="Xa7fbb34f43cc2ccac571a39a0fa6a7e39d19658"/>
    <w:p>
      <w:pPr>
        <w:pStyle w:val="Heading3"/>
      </w:pPr>
      <w:r>
        <w:t xml:space="preserve">Universality and evidence-tiered maturity</w:t>
      </w:r>
    </w:p>
    <w:p>
      <w:pPr>
        <w:pStyle w:val="FirstParagraph"/>
      </w:pPr>
      <w:r>
        <w:t xml:space="preserve">CertOS is universal at the level of release semantics. Every defended ORIUS row needs a</w:t>
      </w:r>
      <w:r>
        <w:t xml:space="preserve"> </w:t>
      </w:r>
      <w:r>
        <w:t xml:space="preserve">certificate object, fallback policy, and audit trace. What is not yet universal is equal</w:t>
      </w:r>
      <w:r>
        <w:t xml:space="preserve"> </w:t>
      </w:r>
      <w:r>
        <w:t xml:space="preserve">deployment maturity across all future domains. Battery provides the deepest defended</w:t>
      </w:r>
      <w:r>
        <w:t xml:space="preserve"> </w:t>
      </w:r>
      <w:r>
        <w:t xml:space="preserve">lifecycle surface. The autonomous-vehicle and healthcare rows show defended bounded</w:t>
      </w:r>
      <w:r>
        <w:t xml:space="preserve"> </w:t>
      </w:r>
      <w:r>
        <w:t xml:space="preserve">runtime surfaces under current artifacts. CertOS therefore supplies one common governance</w:t>
      </w:r>
      <w:r>
        <w:t xml:space="preserve"> </w:t>
      </w:r>
      <w:r>
        <w:t xml:space="preserve">object without pretending that all future deployment surfaces are equally mature today.</w:t>
      </w:r>
    </w:p>
    <w:bookmarkEnd w:id="142"/>
    <w:bookmarkStart w:id="143" w:name="governance-boundary"/>
    <w:p>
      <w:pPr>
        <w:pStyle w:val="Heading3"/>
      </w:pPr>
      <w:r>
        <w:t xml:space="preserve">Governance boundary</w:t>
      </w:r>
    </w:p>
    <w:p>
      <w:pPr>
        <w:pStyle w:val="FirstParagraph"/>
      </w:pPr>
      <w:r>
        <w:t xml:space="preserve">This chapter is one of the places where the non-claim boundary has to remain explicit. ORIUS</w:t>
      </w:r>
      <w:r>
        <w:t xml:space="preserve"> </w:t>
      </w:r>
      <w:r>
        <w:t xml:space="preserve">provides a policy-driven runtime governance layer in which repaired action, fallback, and</w:t>
      </w:r>
      <w:r>
        <w:t xml:space="preserve"> </w:t>
      </w:r>
      <w:r>
        <w:t xml:space="preserve">certificate validity are coupled, auditable, and recoverable after the fact. That claim is</w:t>
      </w:r>
      <w:r>
        <w:t xml:space="preserve"> </w:t>
      </w:r>
      <w:r>
        <w:t xml:space="preserve">scientifically important because a runtime safety layer without release semantics cannot say</w:t>
      </w:r>
      <w:r>
        <w:t xml:space="preserve"> </w:t>
      </w:r>
      <w:r>
        <w:t xml:space="preserve">what action was justified once degraded observation has already entered the control loop. It</w:t>
      </w:r>
      <w:r>
        <w:t xml:space="preserve"> </w:t>
      </w:r>
      <w:r>
        <w:t xml:space="preserve">does not claim formal certification compliance, and it does not claim equal deployment</w:t>
      </w:r>
      <w:r>
        <w:t xml:space="preserve"> </w:t>
      </w:r>
      <w:r>
        <w:t xml:space="preserve">maturity across every current domain row.</w:t>
      </w:r>
    </w:p>
    <w:bookmarkEnd w:id="143"/>
    <w:bookmarkEnd w:id="144"/>
    <w:bookmarkEnd w:id="145"/>
    <w:bookmarkStart w:id="153" w:name="submission-boundary"/>
    <w:p>
      <w:pPr>
        <w:pStyle w:val="Heading1"/>
      </w:pPr>
      <w:r>
        <w:t xml:space="preserve">Submission Boundary</w:t>
      </w:r>
    </w:p>
    <w:bookmarkStart w:id="152" w:name="Xb94fc205779c4d19b361a4a8dbfcdf168f2b0c8"/>
    <w:p>
      <w:pPr>
        <w:pStyle w:val="Heading2"/>
      </w:pPr>
      <w:r>
        <w:t xml:space="preserve">Governance, Reproducibility, Limitations, and Conclusion</w:t>
      </w:r>
    </w:p>
    <w:bookmarkStart w:id="146" w:name="what-is-proved"/>
    <w:p>
      <w:pPr>
        <w:pStyle w:val="Heading3"/>
      </w:pPr>
      <w:r>
        <w:t xml:space="preserve">What is proved</w:t>
      </w:r>
    </w:p>
    <w:p>
      <w:pPr>
        <w:pStyle w:val="FirstParagraph"/>
      </w:pPr>
      <w:r>
        <w:t xml:space="preserve">The dissertation proves a bounded but durable theory claim. Under explicit assumptions,</w:t>
      </w:r>
      <w:r>
        <w:t xml:space="preserve"> </w:t>
      </w:r>
      <w:r>
        <w:t xml:space="preserve">degraded observation can create a gap between observed-state legality and true-state safety;</w:t>
      </w:r>
      <w:r>
        <w:t xml:space="preserve"> </w:t>
      </w:r>
      <w:r>
        <w:t xml:space="preserve">reliability-conditioned uncertainty inflation changes the admissible release set; and</w:t>
      </w:r>
      <w:r>
        <w:t xml:space="preserve"> </w:t>
      </w:r>
      <w:r>
        <w:t xml:space="preserve">repair-or-fallback discipline preserves safety whenever the inflated set and lifecycle</w:t>
      </w:r>
      <w:r>
        <w:t xml:space="preserve"> </w:t>
      </w:r>
      <w:r>
        <w:t xml:space="preserve">semantics remain feasible. Those results live in the theorem chapter and proof appendix and</w:t>
      </w:r>
      <w:r>
        <w:t xml:space="preserve"> </w:t>
      </w:r>
      <w:r>
        <w:t xml:space="preserve">should not be overstated beyond their assumptions.</w:t>
      </w:r>
    </w:p>
    <w:bookmarkEnd w:id="146"/>
    <w:bookmarkStart w:id="147" w:name="what-is-empirically-validated"/>
    <w:p>
      <w:pPr>
        <w:pStyle w:val="Heading3"/>
      </w:pPr>
      <w:r>
        <w:t xml:space="preserve">What is empirically validated</w:t>
      </w:r>
    </w:p>
    <w:p>
      <w:pPr>
        <w:pStyle w:val="FirstParagraph"/>
      </w:pPr>
      <w:r>
        <w:t xml:space="preserve">The empirical surface is strongest at the witness and defended bounded rows. Battery remains</w:t>
      </w:r>
      <w:r>
        <w:t xml:space="preserve"> </w:t>
      </w:r>
      <w:r>
        <w:t xml:space="preserve">the deepest theorem-to-code-to-artifact chain. Healthcare monitoring and the</w:t>
      </w:r>
      <w:r>
        <w:t xml:space="preserve"> </w:t>
      </w:r>
      <w:r>
        <w:t xml:space="preserve">autonomous-vehicle row support defended bounded interpretations under the current replay and</w:t>
      </w:r>
      <w:r>
        <w:t xml:space="preserve"> </w:t>
      </w:r>
      <w:r>
        <w:t xml:space="preserve">governance surfaces.</w:t>
      </w:r>
    </w:p>
    <w:p>
      <w:pPr>
        <w:pStyle w:val="BodyText"/>
      </w:pPr>
      <w:r>
        <w:t xml:space="preserve">Those limits matter because ORIUS is not presented here as a universal optimal controller or</w:t>
      </w:r>
      <w:r>
        <w:t xml:space="preserve"> </w:t>
      </w:r>
      <w:r>
        <w:t xml:space="preserve">as a finished deployment program for every physical-AI setting. It is presented as a runtime</w:t>
      </w:r>
      <w:r>
        <w:t xml:space="preserve"> </w:t>
      </w:r>
      <w:r>
        <w:t xml:space="preserve">safety layer whose strongest current evidence is deep in one witness domain and bounded</w:t>
      </w:r>
      <w:r>
        <w:t xml:space="preserve"> </w:t>
      </w:r>
      <w:r>
        <w:t xml:space="preserve">across two peer rows.</w:t>
      </w:r>
    </w:p>
    <w:bookmarkEnd w:id="147"/>
    <w:bookmarkStart w:id="148" w:name="what-is-out-of-scope"/>
    <w:p>
      <w:pPr>
        <w:pStyle w:val="Heading3"/>
      </w:pPr>
      <w:r>
        <w:t xml:space="preserve">What is out of scope</w:t>
      </w:r>
    </w:p>
    <w:p>
      <w:pPr>
        <w:pStyle w:val="FirstParagraph"/>
      </w:pPr>
      <w:r>
        <w:t xml:space="preserve">The dissertation does not claim:</w:t>
      </w:r>
    </w:p>
    <w:p>
      <w:pPr>
        <w:numPr>
          <w:ilvl w:val="0"/>
          <w:numId w:val="1016"/>
        </w:numPr>
      </w:pPr>
      <w:r>
        <w:t xml:space="preserve">empirical closure beyond the active Battery + AV + Healthcare program;</w:t>
      </w:r>
    </w:p>
    <w:p>
      <w:pPr>
        <w:numPr>
          <w:ilvl w:val="0"/>
          <w:numId w:val="1016"/>
        </w:numPr>
      </w:pPr>
      <w:r>
        <w:t xml:space="preserve">universal statistical calibration under arbitrary shift or adversarial calibration-data poisoning;</w:t>
      </w:r>
    </w:p>
    <w:p>
      <w:pPr>
        <w:numPr>
          <w:ilvl w:val="0"/>
          <w:numId w:val="1016"/>
        </w:numPr>
      </w:pPr>
      <w:r>
        <w:t xml:space="preserve">sub-millisecond inner-loop safety filters (DC³S acts as an outer-loop supervisor at 5–10 Hz, constrained by runtime optimization latency);</w:t>
      </w:r>
    </w:p>
    <w:p>
      <w:pPr>
        <w:numPr>
          <w:ilvl w:val="0"/>
          <w:numId w:val="1016"/>
        </w:numPr>
      </w:pPr>
      <w:r>
        <w:t xml:space="preserve">closed-loop reactive physics for Autonomous Vehicles (the AV evaluation uses open-loop trace surrogate replay to isolate the OASG hazard, bounding it short of a live ROS2/CARLA integration);</w:t>
      </w:r>
    </w:p>
    <w:p>
      <w:pPr>
        <w:numPr>
          <w:ilvl w:val="0"/>
          <w:numId w:val="1016"/>
        </w:numPr>
      </w:pPr>
      <w:r>
        <w:t xml:space="preserve">hardware control-authority preservation (ORIUS assumes actuation mechanisms remain physically viable even when observation degrades);</w:t>
      </w:r>
    </w:p>
    <w:p>
      <w:pPr>
        <w:numPr>
          <w:ilvl w:val="0"/>
          <w:numId w:val="1016"/>
        </w:numPr>
      </w:pPr>
      <w:r>
        <w:t xml:space="preserve">production deployment readiness in every plant family; or</w:t>
      </w:r>
    </w:p>
    <w:p>
      <w:pPr>
        <w:numPr>
          <w:ilvl w:val="0"/>
          <w:numId w:val="1016"/>
        </w:numPr>
      </w:pPr>
      <w:r>
        <w:t xml:space="preserve">formal certification compliance under UL 4600, NIST AI RMF, ISO 26262, or IEC 61508.</w:t>
      </w:r>
    </w:p>
    <w:p>
      <w:pPr>
        <w:pStyle w:val="FirstParagraph"/>
      </w:pPr>
      <w:r>
        <w:t xml:space="preserve">The standards language used in the governance chapter is an evidence-structure alignment and</w:t>
      </w:r>
      <w:r>
        <w:t xml:space="preserve"> </w:t>
      </w:r>
      <w:r>
        <w:t xml:space="preserve">lifecycle-analogy argument only. The deployment language is deliberately bounded by the</w:t>
      </w:r>
      <w:r>
        <w:t xml:space="preserve"> </w:t>
      </w:r>
      <w:r>
        <w:t xml:space="preserve">domain-closure matrix, runtime/governance surfaces, and explicit non-claim statements.</w:t>
      </w:r>
    </w:p>
    <w:bookmarkEnd w:id="148"/>
    <w:bookmarkStart w:id="149" w:name="reproducibility-discipline"/>
    <w:p>
      <w:pPr>
        <w:pStyle w:val="Heading3"/>
      </w:pPr>
      <w:r>
        <w:t xml:space="preserve">Reproducibility discipline</w:t>
      </w:r>
    </w:p>
    <w:p>
      <w:pPr>
        <w:pStyle w:val="FirstParagraph"/>
      </w:pPr>
      <w:r>
        <w:t xml:space="preserve">Every headline claim stays tied to tracked figures, tables, manifests, or claim matrices so</w:t>
      </w:r>
      <w:r>
        <w:t xml:space="preserve"> </w:t>
      </w:r>
      <w:r>
        <w:t xml:space="preserve">that the defended surface remains auditable after the fact. The purpose of that discipline is</w:t>
      </w:r>
      <w:r>
        <w:t xml:space="preserve"> </w:t>
      </w:r>
      <w:r>
        <w:t xml:space="preserve">simple: a universal safety thesis should be inspectable at the level of artifacts, not only</w:t>
      </w:r>
      <w:r>
        <w:t xml:space="preserve"> </w:t>
      </w:r>
      <w:r>
        <w:t xml:space="preserve">persuasive at the level of prose.</w:t>
      </w:r>
    </w:p>
    <w:p>
      <w:pPr>
        <w:pStyle w:val="BodyText"/>
      </w:pPr>
      <w:r>
        <w:t xml:space="preserve">That is why the dissertation remains chapter-first in prose but artifact-first in evidence.</w:t>
      </w:r>
      <w:r>
        <w:t xml:space="preserve"> </w:t>
      </w:r>
      <w:r>
        <w:t xml:space="preserve">The prose chapters explain the argument. The claim validator, publication matrices, release</w:t>
      </w:r>
      <w:r>
        <w:t xml:space="preserve"> </w:t>
      </w:r>
      <w:r>
        <w:t xml:space="preserve">manifests, and replay tables control what the prose is allowed to say. In that exact sense,</w:t>
      </w:r>
      <w:r>
        <w:t xml:space="preserve"> </w:t>
      </w:r>
      <w:r>
        <w:t xml:space="preserve">the dissertation is universal in architecture, tiered in evidence.</w:t>
      </w:r>
    </w:p>
    <w:bookmarkEnd w:id="149"/>
    <w:bookmarkStart w:id="150" w:name="threats-to-validity"/>
    <w:p>
      <w:pPr>
        <w:pStyle w:val="Heading3"/>
      </w:pPr>
      <w:r>
        <w:t xml:space="preserve">Threats to validity</w:t>
      </w:r>
    </w:p>
    <w:p>
      <w:pPr>
        <w:pStyle w:val="FirstParagraph"/>
      </w:pPr>
      <w:r>
        <w:t xml:space="preserve">The largest threats to validity are asymmetry and interpretation. Asymmetry arises because</w:t>
      </w:r>
      <w:r>
        <w:t xml:space="preserve"> </w:t>
      </w:r>
      <w:r>
        <w:t xml:space="preserve">the witness row is much deeper than the other promoted rows. Interpretation risk arises</w:t>
      </w:r>
      <w:r>
        <w:t xml:space="preserve"> </w:t>
      </w:r>
      <w:r>
        <w:t xml:space="preserve">because readers may confuse structural universality with broader empirical closure. For</w:t>
      </w:r>
      <w:r>
        <w:t xml:space="preserve"> </w:t>
      </w:r>
      <w:r>
        <w:t xml:space="preserve">example, while DC³S mathematically proves Feasible Fallback (Theorem 7), if a vehicle’s</w:t>
      </w:r>
      <w:r>
        <w:t xml:space="preserve"> </w:t>
      </w:r>
      <w:r>
        <w:t xml:space="preserve">physical brakes are severed (an actuation failure), no epistemic observation wrapper can save</w:t>
      </w:r>
      <w:r>
        <w:t xml:space="preserve"> </w:t>
      </w:r>
      <w:r>
        <w:t xml:space="preserve">it. Furthermore, the Conformal Coverage guarantees (Theorem 3) implicitly assume the</w:t>
      </w:r>
      <w:r>
        <w:t xml:space="preserve"> </w:t>
      </w:r>
      <w:r>
        <w:t xml:space="preserve">historical calibration dataset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calib</m:t>
            </m:r>
          </m:sub>
        </m:sSub>
      </m:oMath>
      <w:r>
        <w:t xml:space="preserve"> </w:t>
      </w:r>
      <w:r>
        <w:t xml:space="preserve">has not been systemically poisoned. If</w:t>
      </w:r>
      <w:r>
        <w:t xml:space="preserve"> </w:t>
      </w:r>
      <w:r>
        <w:t xml:space="preserve">calibration data inherently contains degraded telemetry, the resulting probability</w:t>
      </w:r>
      <w:r>
        <w:t xml:space="preserve"> </w:t>
      </w:r>
      <w:r>
        <w:t xml:space="preserve">intervals will silently fail to bound the constraint geometry.</w:t>
      </w:r>
    </w:p>
    <w:p>
      <w:pPr>
        <w:pStyle w:val="BodyText"/>
      </w:pPr>
      <w:r>
        <w:t xml:space="preserve">The dissertation addresses the first risk by keeping the witness role explicit and by</w:t>
      </w:r>
      <w:r>
        <w:t xml:space="preserve"> </w:t>
      </w:r>
      <w:r>
        <w:t xml:space="preserve">preserving the domain-closure matrix in the main narrative. It addresses the interpretation</w:t>
      </w:r>
      <w:r>
        <w:t xml:space="preserve"> </w:t>
      </w:r>
      <w:r>
        <w:t xml:space="preserve">risk by strictly scoping the actuation authority boundaries, declaring the AV trace-replay</w:t>
      </w:r>
      <w:r>
        <w:t xml:space="preserve"> </w:t>
      </w:r>
      <w:r>
        <w:t xml:space="preserve">limitations, and separating proved, validated, and roadmap claims at the major boundary</w:t>
      </w:r>
      <w:r>
        <w:t xml:space="preserve"> </w:t>
      </w:r>
      <w:r>
        <w:t xml:space="preserve">chapters.</w:t>
      </w:r>
    </w:p>
    <w:bookmarkEnd w:id="150"/>
    <w:bookmarkStart w:id="151" w:name="conclusion"/>
    <w:p>
      <w:pPr>
        <w:pStyle w:val="Heading3"/>
      </w:pPr>
      <w:r>
        <w:t xml:space="preserve">Conclusion</w:t>
      </w:r>
    </w:p>
    <w:p>
      <w:pPr>
        <w:pStyle w:val="FirstParagraph"/>
      </w:pPr>
      <w:r>
        <w:t xml:space="preserve">The argument of this dissertation can now be stated plainly. Degraded observation is not a</w:t>
      </w:r>
      <w:r>
        <w:t xml:space="preserve"> </w:t>
      </w:r>
      <w:r>
        <w:t xml:space="preserve">peripheral nuisance attached to otherwise reliable autonomy; it is a release-boundary safety</w:t>
      </w:r>
      <w:r>
        <w:t xml:space="preserve"> </w:t>
      </w:r>
      <w:r>
        <w:t xml:space="preserve">problem in its own right. Once observed-state legality and true-state legality can diverge,</w:t>
      </w:r>
      <w:r>
        <w:t xml:space="preserve"> </w:t>
      </w:r>
      <w:r>
        <w:t xml:space="preserve">safe actuation requires more than nominal intelligence. It requires explicit reliability</w:t>
      </w:r>
      <w:r>
        <w:t xml:space="preserve"> </w:t>
      </w:r>
      <w:r>
        <w:t xml:space="preserve">estimation, conservative state widening, repaired action or bounded fallback, and</w:t>
      </w:r>
      <w:r>
        <w:t xml:space="preserve"> </w:t>
      </w:r>
      <w:r>
        <w:t xml:space="preserve">certificate-aware release.</w:t>
      </w:r>
    </w:p>
    <w:p>
      <w:pPr>
        <w:pStyle w:val="BodyText"/>
      </w:pPr>
      <w:r>
        <w:t xml:space="preserve">ORIUS makes that claim operational through three connected surfaces. A</w:t>
      </w:r>
      <w:r>
        <w:t xml:space="preserve"> </w:t>
      </w:r>
      <w:r>
        <w:rPr>
          <w:rStyle w:val="VerbatimChar"/>
        </w:rPr>
        <w:t xml:space="preserve">DomainAdapter</w:t>
      </w:r>
      <w:r>
        <w:t xml:space="preserve"> </w:t>
      </w:r>
      <w:r>
        <w:t xml:space="preserve">exposes the local safety predicate and fallback object. The universal</w:t>
      </w:r>
      <w:r>
        <w:t xml:space="preserve"> </w:t>
      </w:r>
      <w:r>
        <w:t xml:space="preserve">benchmark schema exposes one replay contract for truth, observation, intervention, fallback,</w:t>
      </w:r>
      <w:r>
        <w:t xml:space="preserve"> </w:t>
      </w:r>
      <w:r>
        <w:t xml:space="preserve">certificate validity, and latency. CertOS supplies the lifecycle semantics that determine</w:t>
      </w:r>
      <w:r>
        <w:t xml:space="preserve"> </w:t>
      </w:r>
      <w:r>
        <w:t xml:space="preserve">when repaired action may still be released. Together, those surfaces turn degraded</w:t>
      </w:r>
      <w:r>
        <w:t xml:space="preserve"> </w:t>
      </w:r>
      <w:r>
        <w:t xml:space="preserve">observation from a vague systems concern into a measurable and governable runtime object.</w:t>
      </w:r>
    </w:p>
    <w:p>
      <w:pPr>
        <w:pStyle w:val="BodyText"/>
      </w:pPr>
      <w:r>
        <w:t xml:space="preserve">That is the durable contribution of the thesis. ORIUS does not ask every domain to share a</w:t>
      </w:r>
      <w:r>
        <w:t xml:space="preserve"> </w:t>
      </w:r>
      <w:r>
        <w:t xml:space="preserve">controller, plant model, or optimization objective. It asks every domain to make the</w:t>
      </w:r>
      <w:r>
        <w:t xml:space="preserve"> </w:t>
      </w:r>
      <w:r>
        <w:t xml:space="preserve">release boundary explicit. In doing so, it turns true-state violation, intervention burden,</w:t>
      </w:r>
      <w:r>
        <w:t xml:space="preserve"> </w:t>
      </w:r>
      <w:r>
        <w:t xml:space="preserve">fallback usage, certificate validity, and runtime latency into scientific objects that can</w:t>
      </w:r>
      <w:r>
        <w:t xml:space="preserve"> </w:t>
      </w:r>
      <w:r>
        <w:t xml:space="preserve">be compared across domains without pretending the domains themselves are identical.</w:t>
      </w:r>
    </w:p>
    <w:p>
      <w:pPr>
        <w:pStyle w:val="BodyText"/>
      </w:pPr>
      <w:r>
        <w:t xml:space="preserve">The final thesis claim is therefore ambitious and disciplined at the same time. ORIUS</w:t>
      </w:r>
      <w:r>
        <w:t xml:space="preserve"> </w:t>
      </w:r>
      <w:r>
        <w:t xml:space="preserve">already supports a reusable runtime safety layer for physical AI under degraded observation.</w:t>
      </w:r>
      <w:r>
        <w:t xml:space="preserve"> </w:t>
      </w:r>
      <w:r>
        <w:t xml:space="preserve">Its active repo-tracked program is intentionally limited to Battery, AV, and Healthcare. In</w:t>
      </w:r>
      <w:r>
        <w:t xml:space="preserve"> </w:t>
      </w:r>
      <w:r>
        <w:t xml:space="preserve">that exact sense, structural universality is defended now while the empirical boundary stays</w:t>
      </w:r>
      <w:r>
        <w:t xml:space="preserve"> </w:t>
      </w:r>
      <w:r>
        <w:t xml:space="preserve">explicit. That boundary is not a rhetorical retreat. It is part of what makes the argument</w:t>
      </w:r>
      <w:r>
        <w:t xml:space="preserve"> </w:t>
      </w:r>
      <w:r>
        <w:t xml:space="preserve">credible.</w:t>
      </w:r>
    </w:p>
    <w:bookmarkEnd w:id="151"/>
    <w:bookmarkEnd w:id="152"/>
    <w:bookmarkEnd w:id="153"/>
    <w:bookmarkStart w:id="157" w:name="archival-provenance-index"/>
    <w:p>
      <w:pPr>
        <w:pStyle w:val="Heading1"/>
      </w:pPr>
      <w:r>
        <w:t xml:space="preserve">Archival Provenance Index</w:t>
      </w:r>
    </w:p>
    <w:bookmarkStart w:id="156" w:name="ch:archival-source-register"/>
    <w:p>
      <w:pPr>
        <w:pStyle w:val="Heading2"/>
      </w:pPr>
      <w:r>
        <w:t xml:space="preserve">Archival Source Register</w:t>
      </w:r>
    </w:p>
    <w:p>
      <w:pPr>
        <w:pStyle w:val="FirstParagraph"/>
      </w:pPr>
      <w:r>
        <w:t xml:space="preserve">Earlier drafts of this repository compiled a polished thirteen-chapter</w:t>
      </w:r>
      <w:r>
        <w:t xml:space="preserve"> </w:t>
      </w:r>
      <w:r>
        <w:t xml:space="preserve">submission spine, a battery-era chapter archive, a merged historical narrative,</w:t>
      </w:r>
      <w:r>
        <w:t xml:space="preserve"> </w:t>
      </w:r>
      <w:r>
        <w:t xml:space="preserve">longform extension packets, and standalone proof PDFs into one PDF. That made</w:t>
      </w:r>
      <w:r>
        <w:t xml:space="preserve"> </w:t>
      </w:r>
      <w:r>
        <w:t xml:space="preserve">the document complete as an archive but repetitive as a monograph: the</w:t>
      </w:r>
      <w:r>
        <w:t xml:space="preserve"> </w:t>
      </w:r>
      <w:r>
        <w:t xml:space="preserve">introduction, related work, theorem ladder, universality boundary, proof</w:t>
      </w:r>
      <w:r>
        <w:t xml:space="preserve"> </w:t>
      </w:r>
      <w:r>
        <w:t xml:space="preserve">surface, and conclusion appeared multiple times in different historical voices.</w:t>
      </w:r>
    </w:p>
    <w:p>
      <w:pPr>
        <w:pStyle w:val="BodyText"/>
      </w:pPr>
      <w:r>
        <w:t xml:space="preserve">This senior-review controller keeps the main body as one continuous monograph.</w:t>
      </w:r>
      <w:r>
        <w:t xml:space="preserve"> </w:t>
      </w:r>
      <w:r>
        <w:t xml:space="preserve">Historical sources remain tracked and inspectable, but they are no longer</w:t>
      </w:r>
      <w:r>
        <w:t xml:space="preserve"> </w:t>
      </w:r>
      <w:r>
        <w:t xml:space="preserve">compiled inline as duplicate narrative chapters. When archive material is</w:t>
      </w:r>
      <w:r>
        <w:t xml:space="preserve"> </w:t>
      </w:r>
      <w:r>
        <w:t xml:space="preserve">needed for provenance or review traceability, the source path below is the</w:t>
      </w:r>
      <w:r>
        <w:t xml:space="preserve"> </w:t>
      </w:r>
      <w:r>
        <w:t xml:space="preserve">canonical location.</w:t>
      </w:r>
    </w:p>
    <w:bookmarkStart w:id="154" w:name="tracked-archive-locations"/>
    <w:p>
      <w:pPr>
        <w:pStyle w:val="Heading3"/>
      </w:pPr>
      <w:r>
        <w:t xml:space="preserve">Tracked archive locations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chapters/</w:t>
      </w:r>
      <w:r>
        <w:t xml:space="preserve">: battery-era chapter archive and earlier theorem</w:t>
      </w:r>
      <w:r>
        <w:t xml:space="preserve"> </w:t>
      </w:r>
      <w:r>
        <w:t xml:space="preserve">development.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chapters_merged/</w:t>
      </w:r>
      <w:r>
        <w:t xml:space="preserve">: merged historical narrative draft,</w:t>
      </w:r>
      <w:r>
        <w:t xml:space="preserve"> </w:t>
      </w:r>
      <w:r>
        <w:t xml:space="preserve">including older broader-domain validation text that is not part of the</w:t>
      </w:r>
      <w:r>
        <w:t xml:space="preserve"> </w:t>
      </w:r>
      <w:r>
        <w:t xml:space="preserve">current defended claim surface.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paper/longform/</w:t>
      </w:r>
      <w:r>
        <w:t xml:space="preserve">: longform extension packets for conditional</w:t>
      </w:r>
      <w:r>
        <w:t xml:space="preserve"> </w:t>
      </w:r>
      <w:r>
        <w:t xml:space="preserve">coverage, Byzantine robustness, committee response, portability, and deeper</w:t>
      </w:r>
      <w:r>
        <w:t xml:space="preserve"> </w:t>
      </w:r>
      <w:r>
        <w:t xml:space="preserve">theoretical guarantees.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appendices/app_c_flagship_proofs.pdf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appendices/app_c_all_theorems.pdf</w:t>
      </w:r>
      <w:r>
        <w:t xml:space="preserve">: standalone proof packets.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appendices/</w:t>
      </w:r>
      <w:r>
        <w:t xml:space="preserve">: legacy appendix packets, artifact registers,</w:t>
      </w:r>
      <w:r>
        <w:t xml:space="preserve"> </w:t>
      </w:r>
      <w:r>
        <w:t xml:space="preserve">theorem audits, release manifests, and reproducibility records.</w:t>
      </w:r>
    </w:p>
    <w:bookmarkEnd w:id="154"/>
    <w:bookmarkStart w:id="155" w:name="reader-facing-rule"/>
    <w:p>
      <w:pPr>
        <w:pStyle w:val="Heading3"/>
      </w:pPr>
      <w:r>
        <w:t xml:space="preserve">Reader-facing rule</w:t>
      </w:r>
    </w:p>
    <w:p>
      <w:pPr>
        <w:pStyle w:val="FirstParagraph"/>
      </w:pPr>
      <w:r>
        <w:t xml:space="preserve">The defended scientific flow is the preceding main body plus the curated system</w:t>
      </w:r>
      <w:r>
        <w:t xml:space="preserve"> </w:t>
      </w:r>
      <w:r>
        <w:t xml:space="preserve">appendices that follow. Archive sources are evidence history, not additional</w:t>
      </w:r>
      <w:r>
        <w:t xml:space="preserve"> </w:t>
      </w:r>
      <w:r>
        <w:t xml:space="preserve">main-argument chapters. This prevents older wording from silently restating or</w:t>
      </w:r>
      <w:r>
        <w:t xml:space="preserve"> </w:t>
      </w:r>
      <w:r>
        <w:t xml:space="preserve">overstating the current Battery + AV + Healthcare claim boundary.</w:t>
      </w:r>
    </w:p>
    <w:bookmarkEnd w:id="155"/>
    <w:bookmarkEnd w:id="156"/>
    <w:bookmarkEnd w:id="157"/>
    <w:bookmarkStart w:id="287" w:name="system-appendices"/>
    <w:p>
      <w:pPr>
        <w:pStyle w:val="Heading1"/>
      </w:pPr>
      <w:r>
        <w:t xml:space="preserve">System Appendices</w:t>
      </w:r>
    </w:p>
    <w:bookmarkStart w:id="172" w:name="app:notation"/>
    <w:p>
      <w:pPr>
        <w:pStyle w:val="Heading2"/>
      </w:pPr>
      <w:r>
        <w:t xml:space="preserve">Notation Sheet</w:t>
      </w:r>
    </w:p>
    <w:p>
      <w:pPr>
        <w:pStyle w:val="FirstParagraph"/>
      </w:pPr>
      <w:r>
        <w:t xml:space="preserve">This appendix collects every symbol used in the ORIUS battery-safety</w:t>
      </w:r>
      <w:r>
        <w:t xml:space="preserve"> </w:t>
      </w:r>
      <w:r>
        <w:t xml:space="preserve">framework. Symbols are grouped by role: telemetry and state variables,</w:t>
      </w:r>
      <w:r>
        <w:t xml:space="preserve"> </w:t>
      </w:r>
      <w:r>
        <w:t xml:space="preserve">quality and drift indicators, uncertainty and action objects, battery</w:t>
      </w:r>
      <w:r>
        <w:t xml:space="preserve"> </w:t>
      </w:r>
      <w:r>
        <w:t xml:space="preserve">plant parameters, metrics, and tuning constants.</w:t>
      </w:r>
    </w:p>
    <w:bookmarkStart w:id="159" w:name="telemetry-and-state-variables"/>
    <w:p>
      <w:pPr>
        <w:pStyle w:val="Heading3"/>
      </w:pPr>
      <w:r>
        <w:t xml:space="preserve">Telemetry and State Variables</w:t>
      </w:r>
    </w:p>
    <w:bookmarkStart w:id="158" w:name="tab:notation-state"/>
    <w:p>
      <w:pPr>
        <w:pStyle w:val="TableCaption"/>
      </w:pPr>
      <w:r>
        <w:t xml:space="preserve">Telemetry and state symbols.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lemetry and state symbol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(continued)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Clean (ground-truth) telemetry vector at step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Degraded telemetry vector after dropout, delay, or drift.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Observed state passed to the controller.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True (latent) physical state; not directly accessible.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State estimate reconstructed from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ξ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Observation error: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ϵ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One-step model (dynamics) prediction error.</w:t>
            </w:r>
          </w:p>
        </w:tc>
      </w:tr>
    </w:tbl>
    <w:bookmarkEnd w:id="158"/>
    <w:bookmarkEnd w:id="159"/>
    <w:bookmarkStart w:id="161" w:name="quality-drift-and-sensitivity-indicators"/>
    <w:p>
      <w:pPr>
        <w:pStyle w:val="Heading3"/>
      </w:pPr>
      <w:r>
        <w:t xml:space="preserve">Quality, Drift, and Sensitivity Indicators</w:t>
      </w:r>
    </w:p>
    <w:bookmarkStart w:id="160" w:name="tab:notation-quality"/>
    <w:p>
      <w:pPr>
        <w:pStyle w:val="TableCaption"/>
      </w:pPr>
      <w:r>
        <w:t xml:space="preserve">Quality and detector symbols.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Quality and detector symbol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(continued)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Observation-quality (reliability) score. Aggregates freshness, consistency, and drift evidence.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Drift-detected flag from the Page–Hinkley detector.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Sensitivity / staleness indicator; large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implies stale data.</w:t>
            </w:r>
          </w:p>
        </w:tc>
      </w:tr>
    </w:tbl>
    <w:bookmarkEnd w:id="160"/>
    <w:bookmarkEnd w:id="161"/>
    <w:bookmarkStart w:id="163" w:name="uncertainty-and-action-objects"/>
    <w:p>
      <w:pPr>
        <w:pStyle w:val="Heading3"/>
      </w:pPr>
      <w:r>
        <w:t xml:space="preserve">Uncertainty and Action Objects</w:t>
      </w:r>
    </w:p>
    <w:bookmarkStart w:id="162" w:name="tab:notation-action"/>
    <w:p>
      <w:pPr>
        <w:pStyle w:val="TableCaption"/>
      </w:pPr>
      <w:r>
        <w:t xml:space="preserve">Uncertainty-set and action symbols.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Uncertainty-set and action symbol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(continued)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conformal prediction interval at coverage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Reliability-adaptive conformal interval after RUI inflation.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Uncertainty set for robust dispatch: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Half-width (margin) of the uncertainty set: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ϵ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Candidate action proposed by the base controller.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Repaired action after DC3S safety projection.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Tightened safe-action set under reliability-aware constraints.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ϕ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Safety predicate: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satisfies all constraints.</w:t>
            </w:r>
          </w:p>
        </w:tc>
      </w:tr>
    </w:tbl>
    <w:bookmarkEnd w:id="162"/>
    <w:bookmarkEnd w:id="163"/>
    <w:bookmarkStart w:id="165" w:name="battery-plant-parameters"/>
    <w:p>
      <w:pPr>
        <w:pStyle w:val="Heading3"/>
      </w:pPr>
      <w:r>
        <w:t xml:space="preserve">Battery Plant Parameters</w:t>
      </w:r>
    </w:p>
    <w:bookmarkStart w:id="164" w:name="tab:notation-battery"/>
    <w:p>
      <w:pPr>
        <w:pStyle w:val="TableCaption"/>
      </w:pPr>
      <w:r>
        <w:t xml:space="preserve">Battery plant parameters.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attery plant parameter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State of charge at step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(MWh).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Rated energy capacity (MWh).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charge/discharge power (MW).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ramp rate (MW/step).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η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Charging efficiency.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η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Discharging efficiency.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Dispatch interval length (hours).</w:t>
            </w:r>
          </w:p>
        </w:tc>
      </w:tr>
    </w:tbl>
    <w:bookmarkEnd w:id="164"/>
    <w:bookmarkEnd w:id="165"/>
    <w:bookmarkStart w:id="167" w:name="metrics"/>
    <w:p>
      <w:pPr>
        <w:pStyle w:val="Heading3"/>
      </w:pPr>
      <w:r>
        <w:t xml:space="preserve">Metrics</w:t>
      </w:r>
    </w:p>
    <w:bookmarkStart w:id="166" w:name="tab:notation-metrics"/>
    <w:p>
      <w:pPr>
        <w:pStyle w:val="TableCaption"/>
      </w:pPr>
      <w:r>
        <w:t xml:space="preserve">Evaluation metrics.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valuation metric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True-SOC Violation Rate: fraction of steps 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Intervention Rate: fraction of steps where DC3S repairs the action.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Observed-safe / Actually-unsafe State Gap rate.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Prediction-Interval Coverage Probability.</w:t>
            </w:r>
          </w:p>
        </w:tc>
      </w:tr>
    </w:tbl>
    <w:bookmarkEnd w:id="166"/>
    <w:bookmarkEnd w:id="167"/>
    <w:bookmarkStart w:id="169" w:name="tuning-constants-and-greek-letters"/>
    <w:p>
      <w:pPr>
        <w:pStyle w:val="Heading3"/>
      </w:pPr>
      <w:r>
        <w:t xml:space="preserve">Tuning Constants and Greek Letters</w:t>
      </w:r>
    </w:p>
    <w:bookmarkStart w:id="168" w:name="tab:notation-tuning"/>
    <w:p>
      <w:pPr>
        <w:pStyle w:val="TableCaption"/>
      </w:pPr>
      <w:r>
        <w:t xml:space="preserve">Tuning constants and thresholds.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uning constants and threshold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Conformal miscoverage level (target: 0.10).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κ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Reliability decay rate in the OQE score.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κ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Drift penalty coefficient.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κ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Staleness penalty coefficient.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Quality-score floor to prevent division by zero.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Conformal quantile at step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Small constant in margin denominator: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ϵ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</w:tbl>
    <w:bookmarkEnd w:id="168"/>
    <w:bookmarkEnd w:id="169"/>
    <w:bookmarkStart w:id="171" w:name="set-notation-and-operators"/>
    <w:p>
      <w:pPr>
        <w:pStyle w:val="Heading3"/>
      </w:pPr>
      <w:r>
        <w:t xml:space="preserve">Set Notation and Operators</w:t>
      </w:r>
    </w:p>
    <w:bookmarkStart w:id="170" w:name="tab:notation-ops"/>
    <w:p>
      <w:pPr>
        <w:pStyle w:val="TableCaption"/>
      </w:pPr>
      <w:r>
        <w:t xml:space="preserve">Set notation and mathematical operators.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t notation and mathematical operator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Real numbers; non-negative reals.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script"/>
                  <m:sty m:val="p"/>
                </m:rP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Power- and ramp-feasible action set (before safety tightening).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ℙ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Probability measure.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Expectation operator.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arg min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arg max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Argument of the minimum / maximum.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Indicator function.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Absolute value or set cardinality, depending on context.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Euclidean norm unless otherwise stated.</w:t>
            </w:r>
          </w:p>
        </w:tc>
      </w:tr>
    </w:tbl>
    <w:bookmarkEnd w:id="170"/>
    <w:bookmarkEnd w:id="171"/>
    <w:bookmarkEnd w:id="172"/>
    <w:bookmarkStart w:id="174" w:name="app:assumptions"/>
    <w:p>
      <w:pPr>
        <w:pStyle w:val="Heading2"/>
      </w:pPr>
      <w:r>
        <w:t xml:space="preserve">Assumption Register</w:t>
      </w:r>
    </w:p>
    <w:p>
      <w:pPr>
        <w:pStyle w:val="FirstParagraph"/>
      </w:pPr>
      <w:r>
        <w:t xml:space="preserve">This appendix records the assumptions that delimit the dissertation’s strongest claims. The</w:t>
      </w:r>
      <w:r>
        <w:t xml:space="preserve"> </w:t>
      </w:r>
      <w:r>
        <w:t xml:space="preserve">purpose is not to hide caveats in the back matter. It is to make the theorem and evidence</w:t>
      </w:r>
      <w:r>
        <w:t xml:space="preserve"> </w:t>
      </w:r>
      <w:r>
        <w:t xml:space="preserve">boundary explicit enough that every promoted claim can be traced to the assumptions it</w:t>
      </w:r>
      <w:r>
        <w:t xml:space="preserve"> </w:t>
      </w:r>
      <w:r>
        <w:t xml:space="preserve">needs, the diagnostics that check those assumptions, and the fallback interpretation used</w:t>
      </w:r>
      <w:r>
        <w:t xml:space="preserve"> </w:t>
      </w:r>
      <w:r>
        <w:t xml:space="preserve">when the assumptions become only partially satisfied.</w:t>
      </w:r>
    </w:p>
    <w:bookmarkStart w:id="173" w:name="tab:dissertation-assumptions"/>
    <w:p>
      <w:pPr>
        <w:pStyle w:val="TableCaption"/>
      </w:pPr>
      <w:r>
        <w:t xml:space="preserve">ORIUS dissertation assumption register.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RIUS dissertation assumption register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Diagnostics / 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it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Diagnostics / 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it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 observation error 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Reliability-conditioned uncertainty inflation produces a finite observation-consistent state set.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 summaries, calibration diagnostics, and bounded widening logic in the theorem gate.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Chapters </w:t>
            </w:r>
            <w:hyperlink w:anchor="ch:formal-problem-formulation">
              <w:r>
                <w:rPr>
                  <w:rStyle w:val="Hyperlink"/>
                </w:rPr>
                <w:t xml:space="preserve">3</w:t>
              </w:r>
            </w:hyperlink>
            <w:r>
              <w:t xml:space="preserve">,</w:t>
            </w:r>
            <w:r>
              <w:t xml:space="preserve"> </w:t>
            </w:r>
            <w:hyperlink w:anchor="ch:mathematical-foundations">
              <w:r>
                <w:rPr>
                  <w:rStyle w:val="Hyperlink"/>
                </w:rPr>
                <w:t xml:space="preserve">2</w:t>
              </w:r>
            </w:hyperlink>
            <w:r>
              <w:t xml:space="preserve">, and Appendix </w:t>
            </w:r>
            <w:hyperlink w:anchor="app:benchmark-specs">
              <w:r>
                <w:rPr>
                  <w:rStyle w:val="Hyperlink"/>
                </w:rPr>
                <w:t xml:space="preserve">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Feasible safe repair or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the admissible set collapses, the runtime can still choose a certified fallback action or safe-hold policy.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Repair traces, fallback tables, and CertOS lifecycle surfaces.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Chapters </w:t>
            </w:r>
            <w:hyperlink w:anchor="ch:orius-architecture-dc3s">
              <w:r>
                <w:rPr>
                  <w:rStyle w:val="Hyperlink"/>
                </w:rPr>
                <w:t xml:space="preserve">1</w:t>
              </w:r>
            </w:hyperlink>
            <w:r>
              <w:t xml:space="preserve">,</w:t>
            </w:r>
            <w:r>
              <w:t xml:space="preserve"> </w:t>
            </w:r>
            <w:hyperlink w:anchor="Xf369508cbe938bfd78c380121071766cd683f64">
              <w:r>
                <w:rPr>
                  <w:rStyle w:val="Hyperlink"/>
                </w:rPr>
                <w:t xml:space="preserve">2</w:t>
              </w:r>
            </w:hyperlink>
            <w:r>
              <w:t xml:space="preserve">, and</w:t>
            </w:r>
            <w:r>
              <w:t xml:space="preserve"> </w:t>
            </w:r>
            <w:hyperlink w:anchor="ch:certos-runtime-assurance">
              <w:r>
                <w:rPr>
                  <w:rStyle w:val="Hyperlink"/>
                </w:rPr>
                <w:t xml:space="preserve">4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Causal certificate issuance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Certificates depend only on information available at runtime up to the current step.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Certificate payload inspection, audit chain reconstruction, and lifecycle verification.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Chapters </w:t>
            </w:r>
            <w:hyperlink w:anchor="ch:orius-architecture-dc3s">
              <w:r>
                <w:rPr>
                  <w:rStyle w:val="Hyperlink"/>
                </w:rPr>
                <w:t xml:space="preserve">1</w:t>
              </w:r>
            </w:hyperlink>
            <w:r>
              <w:t xml:space="preserve">,</w:t>
            </w:r>
            <w:r>
              <w:t xml:space="preserve"> </w:t>
            </w:r>
            <w:hyperlink w:anchor="ch:certos-runtime-assurance">
              <w:r>
                <w:rPr>
                  <w:rStyle w:val="Hyperlink"/>
                </w:rPr>
                <w:t xml:space="preserve">4</w:t>
              </w:r>
            </w:hyperlink>
            <w:r>
              <w:t xml:space="preserve">, and Appendix </w:t>
            </w:r>
            <w:hyperlink w:anchor="app:safety-case-bundle-index">
              <w:r>
                <w:rPr>
                  <w:rStyle w:val="Hyperlink"/>
                </w:rPr>
                <w:t xml:space="preserve">5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Dual-trajectory replay fidelity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benchmark exposes both observed and true safety surfaces strongly enough to measure OASG.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Replay manifests, deterministic fault schedules, and domain closure artifacts.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Chapters </w:t>
            </w:r>
            <w:hyperlink w:anchor="ch:benchmark-reproducibility-protocol">
              <w:r>
                <w:rPr>
                  <w:rStyle w:val="Hyperlink"/>
                </w:rPr>
                <w:t xml:space="preserve">3</w:t>
              </w:r>
            </w:hyperlink>
            <w:r>
              <w:t xml:space="preserve">,</w:t>
            </w:r>
            <w:r>
              <w:t xml:space="preserve"> </w:t>
            </w:r>
            <w:hyperlink w:anchor="ch:witness-results-failure-analysis">
              <w:r>
                <w:rPr>
                  <w:rStyle w:val="Hyperlink"/>
                </w:rPr>
                <w:t xml:space="preserve">2</w:t>
              </w:r>
            </w:hyperlink>
            <w:r>
              <w:t xml:space="preserve">, and</w:t>
            </w:r>
            <w:r>
              <w:t xml:space="preserve"> </w:t>
            </w:r>
            <w:hyperlink w:anchor="ch:universal-orius-across-domains">
              <w:r>
                <w:rPr>
                  <w:rStyle w:val="Hyperlink"/>
                </w:rPr>
                <w:t xml:space="preserve">1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faithfulness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domain adapter encodes the relevant safety predicate, fallback semantics, and certificate payload honestly for its plant.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closure matrix, protocol-card review surfaces, and non-claim boundaries for weaker rows.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Chapters </w:t>
            </w:r>
            <w:hyperlink w:anchor="ch:orius-architecture-dc3s">
              <w:r>
                <w:rPr>
                  <w:rStyle w:val="Hyperlink"/>
                </w:rPr>
                <w:t xml:space="preserve">1</w:t>
              </w:r>
            </w:hyperlink>
            <w:r>
              <w:t xml:space="preserve">,</w:t>
            </w:r>
            <w:r>
              <w:t xml:space="preserve"> </w:t>
            </w:r>
            <w:hyperlink w:anchor="ch:universal-orius-across-domains">
              <w:r>
                <w:rPr>
                  <w:rStyle w:val="Hyperlink"/>
                </w:rPr>
                <w:t xml:space="preserve">1</w:t>
              </w:r>
            </w:hyperlink>
            <w:r>
              <w:t xml:space="preserve">, and</w:t>
            </w:r>
            <w:r>
              <w:t xml:space="preserve"> </w:t>
            </w:r>
            <w:hyperlink w:anchor="ch:certos-runtime-assurance">
              <w:r>
                <w:rPr>
                  <w:rStyle w:val="Hyperlink"/>
                </w:rPr>
                <w:t xml:space="preserve">4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Evidence-tier discipline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Architectural universality and empirical parity are not allowed to collapse into one claim.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Parity matrix, submission scorecard, gap matrix, and claim validator.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Chapters </w:t>
            </w:r>
            <w:hyperlink w:anchor="ch:introduction-thesis-claims">
              <w:r>
                <w:rPr>
                  <w:rStyle w:val="Hyperlink"/>
                </w:rPr>
                <w:t xml:space="preserve">1</w:t>
              </w:r>
            </w:hyperlink>
            <w:r>
              <w:t xml:space="preserve">,</w:t>
            </w:r>
            <w:r>
              <w:t xml:space="preserve"> </w:t>
            </w:r>
            <w:hyperlink w:anchor="ch:universal-orius-across-domains">
              <w:r>
                <w:rPr>
                  <w:rStyle w:val="Hyperlink"/>
                </w:rPr>
                <w:t xml:space="preserve">1</w:t>
              </w:r>
            </w:hyperlink>
            <w:r>
              <w:t xml:space="preserve">, and</w:t>
            </w:r>
            <w:r>
              <w:t xml:space="preserve"> </w:t>
            </w:r>
            <w:hyperlink w:anchor="Xb94fc205779c4d19b361a4a8dbfcdf168f2b0c8">
              <w:r>
                <w:rPr>
                  <w:rStyle w:val="Hyperlink"/>
                </w:rPr>
                <w:t xml:space="preserve">1</w:t>
              </w:r>
            </w:hyperlink>
            <w:r>
              <w:t xml:space="preserve">.</w:t>
            </w:r>
          </w:p>
        </w:tc>
      </w:tr>
    </w:tbl>
    <w:bookmarkEnd w:id="173"/>
    <w:p>
      <w:pPr>
        <w:pStyle w:val="BodyText"/>
      </w:pPr>
      <w:r>
        <w:t xml:space="preserve">The dissertation’s formal claims should always be read together with this table. When the</w:t>
      </w:r>
      <w:r>
        <w:t xml:space="preserve"> </w:t>
      </w:r>
      <w:r>
        <w:t xml:space="preserve">evidence surface is weaker than the architectural surface, the text is intentionally written</w:t>
      </w:r>
      <w:r>
        <w:t xml:space="preserve"> </w:t>
      </w:r>
      <w:r>
        <w:t xml:space="preserve">as a bounded semantic or governance statement rather than as a broader future-domain</w:t>
      </w:r>
      <w:r>
        <w:t xml:space="preserve"> </w:t>
      </w:r>
      <w:r>
        <w:t xml:space="preserve">validation claim.</w:t>
      </w:r>
    </w:p>
    <w:bookmarkEnd w:id="174"/>
    <w:bookmarkStart w:id="183" w:name="app:proofs"/>
    <w:p>
      <w:pPr>
        <w:pStyle w:val="Heading2"/>
      </w:pPr>
      <w:r>
        <w:t xml:space="preserve">Proofs</w:t>
      </w:r>
    </w:p>
    <w:p>
      <w:pPr>
        <w:pStyle w:val="FirstParagraph"/>
      </w:pPr>
      <w:r>
        <w:t xml:space="preserve">This appendix records the proof-facing structure of the dissertation. It is not intended to</w:t>
      </w:r>
      <w:r>
        <w:t xml:space="preserve"> </w:t>
      </w:r>
      <w:r>
        <w:t xml:space="preserve">replace the theorem chapter; it is intended to make the proof obligations inspectable and to</w:t>
      </w:r>
      <w:r>
        <w:t xml:space="preserve"> </w:t>
      </w:r>
      <w:r>
        <w:t xml:space="preserve">show which claims are formal, which are empirical, and which rely on shared typed runtime</w:t>
      </w:r>
      <w:r>
        <w:t xml:space="preserve"> </w:t>
      </w:r>
      <w:r>
        <w:t xml:space="preserve">objects.</w:t>
      </w:r>
    </w:p>
    <w:bookmarkStart w:id="176" w:name="proof-map"/>
    <w:p>
      <w:pPr>
        <w:pStyle w:val="Heading3"/>
      </w:pPr>
      <w:r>
        <w:t xml:space="preserve">Proof map</w:t>
      </w:r>
    </w:p>
    <w:bookmarkStart w:id="175" w:name="tab:proof-map"/>
    <w:p>
      <w:pPr>
        <w:pStyle w:val="TableCaption"/>
      </w:pPr>
      <w:r>
        <w:t xml:space="preserve">Theorem-to-proof map for the ORIUS dissertation.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orem-to-proof map for the ORIUS dissertati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Main idea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Depends 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Artifact-facing 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Main idea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Depends 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Artifact-facing 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Theorem </w:t>
            </w:r>
            <w:hyperlink w:anchor="thm:oasg-existence">
              <w:r>
                <w:rPr>
                  <w:rStyle w:val="Hyperlink"/>
                </w:rPr>
                <w:t xml:space="preserve">2.2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If observed legality is not informationally sufficient for true-state safety, then there exists a degraded-observation regime that admits an observed-safe but true-unsafe release.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A1, A4, 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Dual-trajectory replay and the OASG metric family.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Theorem </w:t>
            </w:r>
            <w:hyperlink w:anchor="thm:safety-preservation">
              <w:r>
                <w:rPr>
                  <w:rStyle w:val="Hyperlink"/>
                </w:rPr>
                <w:t xml:space="preserve">2.3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If inflation is conservative and the repair or fallback operator respects the tightened set, the released action preserves the defended safety predicate.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A1, A2, A3, 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Repair traces, fallback logs, and certificate-valid release surfaces.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Theorem </w:t>
            </w:r>
            <w:hyperlink w:anchor="thm:risk-envelope">
              <w:r>
                <w:rPr>
                  <w:rStyle w:val="Hyperlink"/>
                </w:rPr>
                <w:t xml:space="preserve">2.4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As reliability falls, uncertainty inflation and admissible-set tightening contract the release envelope lawfully rather than heuristically.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A1, A3, 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Calibration diagnostics, theorem gate figure, and runtime intervention traces.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Proposition </w:t>
            </w:r>
            <w:hyperlink w:anchor="prop:no-free-safety">
              <w:r>
                <w:rPr>
                  <w:rStyle w:val="Hyperlink"/>
                </w:rPr>
                <w:t xml:space="preserve">2.5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Quality-ignorant release can remain observed-safe while incurring true-state failure.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A1, A4, 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Witness-row violation tables and fault-family replay.</w:t>
            </w:r>
          </w:p>
        </w:tc>
      </w:tr>
    </w:tbl>
    <w:bookmarkEnd w:id="175"/>
    <w:bookmarkEnd w:id="176"/>
    <w:bookmarkStart w:id="181" w:name="proof-sketches"/>
    <w:p>
      <w:pPr>
        <w:pStyle w:val="Heading3"/>
      </w:pPr>
      <w:r>
        <w:t xml:space="preserve">Proof sketches</w:t>
      </w:r>
    </w:p>
    <w:bookmarkStart w:id="177" w:name="oasg-existence."/>
    <w:p>
      <w:pPr>
        <w:pStyle w:val="Heading6"/>
      </w:pPr>
      <w:r>
        <w:t xml:space="preserve">OASG existence.</w:t>
      </w:r>
    </w:p>
    <w:p>
      <w:pPr>
        <w:pStyle w:val="FirstParagraph"/>
      </w:pPr>
      <w:r>
        <w:t xml:space="preserve">The proof proceeds by separating observed-state legality from true-state legality. Once the</w:t>
      </w:r>
      <w:r>
        <w:t xml:space="preserve"> </w:t>
      </w:r>
      <w:r>
        <w:t xml:space="preserve">adapter exposes a true-state violation predicate and the replay harness exposes an observed</w:t>
      </w:r>
      <w:r>
        <w:t xml:space="preserve"> </w:t>
      </w:r>
      <w:r>
        <w:t xml:space="preserve">state that is not informationally sufficient for that predicate, one can construct a</w:t>
      </w:r>
      <w:r>
        <w:t xml:space="preserve"> </w:t>
      </w:r>
      <w:r>
        <w:t xml:space="preserve">degradation regime in which observed legality survives while true-state safety fails. The</w:t>
      </w:r>
      <w:r>
        <w:t xml:space="preserve"> </w:t>
      </w:r>
      <w:r>
        <w:t xml:space="preserve">scientific role of the theorem is not to characterize every such regime exhaustively. It is</w:t>
      </w:r>
      <w:r>
        <w:t xml:space="preserve"> </w:t>
      </w:r>
      <w:r>
        <w:t xml:space="preserve">to show that the gap is structural rather than anecdotal.</w:t>
      </w:r>
    </w:p>
    <w:bookmarkEnd w:id="177"/>
    <w:bookmarkStart w:id="178" w:name="safety-preservation-under-repair."/>
    <w:p>
      <w:pPr>
        <w:pStyle w:val="Heading6"/>
      </w:pPr>
      <w:r>
        <w:t xml:space="preserve">Safety preservation under repair.</w:t>
      </w:r>
    </w:p>
    <w:p>
      <w:pPr>
        <w:pStyle w:val="FirstParagraph"/>
      </w:pPr>
      <w:r>
        <w:t xml:space="preserve">The second theorem uses the conservativeness of the inflated observation-consistent set. If</w:t>
      </w:r>
      <w:r>
        <w:t xml:space="preserve"> </w:t>
      </w:r>
      <w:r>
        <w:t xml:space="preserve">the repair operator only emits actions admissible over that set, or the fallback operator</w:t>
      </w:r>
      <w:r>
        <w:t xml:space="preserve"> </w:t>
      </w:r>
      <w:r>
        <w:t xml:space="preserve">replaces release when such action does not exist, then the released action remains safe for</w:t>
      </w:r>
      <w:r>
        <w:t xml:space="preserve"> </w:t>
      </w:r>
      <w:r>
        <w:t xml:space="preserve">the latent state whenever the inflation really upper-bounds that state. This is the exact</w:t>
      </w:r>
      <w:r>
        <w:t xml:space="preserve"> </w:t>
      </w:r>
      <w:r>
        <w:t xml:space="preserve">point at which fallback becomes part of the proof surface rather than an implementation</w:t>
      </w:r>
      <w:r>
        <w:t xml:space="preserve"> </w:t>
      </w:r>
      <w:r>
        <w:t xml:space="preserve">afterthought.</w:t>
      </w:r>
    </w:p>
    <w:bookmarkEnd w:id="178"/>
    <w:bookmarkStart w:id="179" w:name="degradation-sensitive-risk-envelope."/>
    <w:p>
      <w:pPr>
        <w:pStyle w:val="Heading6"/>
      </w:pPr>
      <w:r>
        <w:t xml:space="preserve">Degradation-sensitive risk envelope.</w:t>
      </w:r>
    </w:p>
    <w:p>
      <w:pPr>
        <w:pStyle w:val="FirstParagraph"/>
      </w:pPr>
      <w:r>
        <w:t xml:space="preserve">The third theorem formalizes the intuition that reduced trust must shrink release freedom.</w:t>
      </w:r>
      <w:r>
        <w:t xml:space="preserve"> </w:t>
      </w:r>
      <w:r>
        <w:t xml:space="preserve">Monotone reliability loss implies monotone widening of the uncertainty set; that widened set</w:t>
      </w:r>
      <w:r>
        <w:t xml:space="preserve"> </w:t>
      </w:r>
      <w:r>
        <w:t xml:space="preserve">then implies monotone tightening of admissible release. The theorem does not say</w:t>
      </w:r>
      <w:r>
        <w:t xml:space="preserve"> </w:t>
      </w:r>
      <w:r>
        <w:t xml:space="preserve">intervention is free. It says intervention pressure is a lawful consequence of degraded</w:t>
      </w:r>
      <w:r>
        <w:t xml:space="preserve"> </w:t>
      </w:r>
      <w:r>
        <w:t xml:space="preserve">observation.</w:t>
      </w:r>
    </w:p>
    <w:bookmarkEnd w:id="179"/>
    <w:bookmarkStart w:id="180" w:name="no-free-safety-proposition."/>
    <w:p>
      <w:pPr>
        <w:pStyle w:val="Heading6"/>
      </w:pPr>
      <w:r>
        <w:t xml:space="preserve">No-free-safety proposition.</w:t>
      </w:r>
    </w:p>
    <w:p>
      <w:pPr>
        <w:pStyle w:val="FirstParagraph"/>
      </w:pPr>
      <w:r>
        <w:t xml:space="preserve">The proposition follows by contradiction against any controller that checks legality only on</w:t>
      </w:r>
      <w:r>
        <w:t xml:space="preserve"> </w:t>
      </w:r>
      <w:r>
        <w:t xml:space="preserve">observed state while ignoring observation degradation. If the degraded observation regime is</w:t>
      </w:r>
      <w:r>
        <w:t xml:space="preserve"> </w:t>
      </w:r>
      <w:r>
        <w:t xml:space="preserve">admissible yet insufficiently informative about the latent state, then there exists a</w:t>
      </w:r>
      <w:r>
        <w:t xml:space="preserve"> </w:t>
      </w:r>
      <w:r>
        <w:t xml:space="preserve">release that remains locally coherent while still violating the true safety predicate.</w:t>
      </w:r>
    </w:p>
    <w:bookmarkEnd w:id="180"/>
    <w:bookmarkEnd w:id="181"/>
    <w:bookmarkStart w:id="182" w:name="interpretation"/>
    <w:p>
      <w:pPr>
        <w:pStyle w:val="Heading3"/>
      </w:pPr>
      <w:r>
        <w:t xml:space="preserve">Interpretation</w:t>
      </w:r>
    </w:p>
    <w:p>
      <w:pPr>
        <w:pStyle w:val="FirstParagraph"/>
      </w:pPr>
      <w:r>
        <w:t xml:space="preserve">These proofs are deliberately modest in scope. They do not prove broader future-domain</w:t>
      </w:r>
      <w:r>
        <w:t xml:space="preserve"> </w:t>
      </w:r>
      <w:r>
        <w:t xml:space="preserve">closure and they do not replace the need for replay, calibration, runtime, and governance artifacts.</w:t>
      </w:r>
      <w:r>
        <w:t xml:space="preserve"> </w:t>
      </w:r>
      <w:r>
        <w:t xml:space="preserve">Their role is to anchor the manuscript’s strongest claims to explicit assumptions and typed</w:t>
      </w:r>
      <w:r>
        <w:t xml:space="preserve"> </w:t>
      </w:r>
      <w:r>
        <w:t xml:space="preserve">objects so that later empirical chapters can be read as validation of the same runtime</w:t>
      </w:r>
      <w:r>
        <w:t xml:space="preserve"> </w:t>
      </w:r>
      <w:r>
        <w:t xml:space="preserve">contract rather than as isolated case studies.</w:t>
      </w:r>
    </w:p>
    <w:bookmarkEnd w:id="182"/>
    <w:bookmarkEnd w:id="183"/>
    <w:bookmarkStart w:id="190" w:name="app:artifact-and-claim-index"/>
    <w:p>
      <w:pPr>
        <w:pStyle w:val="Heading2"/>
      </w:pPr>
      <w:r>
        <w:t xml:space="preserve">Artifact and Claim Index</w:t>
      </w:r>
    </w:p>
    <w:p>
      <w:pPr>
        <w:pStyle w:val="FirstParagraph"/>
      </w:pPr>
      <w:r>
        <w:t xml:space="preserve">This appendix records the canonical bridge from dissertation claims to governed repository</w:t>
      </w:r>
      <w:r>
        <w:t xml:space="preserve"> </w:t>
      </w:r>
      <w:r>
        <w:t xml:space="preserve">surfaces. The prose chapters are curated, but every headline statement is expected to land</w:t>
      </w:r>
      <w:r>
        <w:t xml:space="preserve"> </w:t>
      </w:r>
      <w:r>
        <w:t xml:space="preserve">on a theorem object, publication matrix, replay artifact, or explicit non-claim surface.</w:t>
      </w:r>
    </w:p>
    <w:bookmarkStart w:id="185" w:name="claim-classes-and-governing-surfaces"/>
    <w:p>
      <w:pPr>
        <w:pStyle w:val="Heading3"/>
      </w:pPr>
      <w:r>
        <w:t xml:space="preserve">Claim classes and governing surfaces</w:t>
      </w:r>
    </w:p>
    <w:bookmarkStart w:id="184" w:name="tab:artifact-claim-index"/>
    <w:p>
      <w:pPr>
        <w:pStyle w:val="TableCaption"/>
      </w:pPr>
      <w:r>
        <w:t xml:space="preserve">Claim classes and their governing artifact surfaces.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laim classes and their governing artifact surfac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surface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governs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surface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governs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Typed universal objects, assumption register, proof appendix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Theorems must point to assumptions, typed runtime objects, and the theorem-to-artifact bridge.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Publication matrices, replay tables, domain closure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Claims may advance only when the corresponding replay, calibration, runtime, and governance artifacts exist.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CertOS lifecycle surfaces, runtime/governance matrices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Certificate lifecycle, fallback semantics, and audit continuity remain first-class evidence, not narrative-only claims.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Roadmap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non-claims, parity blockers, promotion obligations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work is useful only when it stays outside headline proof or validation language until artifacts close the gap.</w:t>
            </w:r>
          </w:p>
        </w:tc>
      </w:tr>
    </w:tbl>
    <w:bookmarkEnd w:id="184"/>
    <w:bookmarkEnd w:id="185"/>
    <w:bookmarkStart w:id="187" w:name="headline-claim-families"/>
    <w:p>
      <w:pPr>
        <w:pStyle w:val="Heading3"/>
      </w:pPr>
      <w:r>
        <w:t xml:space="preserve">Headline claim families</w:t>
      </w:r>
    </w:p>
    <w:bookmarkStart w:id="186" w:name="tab:headline-claim-families"/>
    <w:p>
      <w:pPr>
        <w:pStyle w:val="TableCaption"/>
      </w:pPr>
      <w:r>
        <w:t xml:space="preserve">Headline claim families and their canonical evidence surfaces.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adline claim families and their canonical evidence surfac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Chapter anchor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Canonical evidence surfaces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Chapter anchor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Canonical evidence surfaces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Degraded-observation hazard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Chapters </w:t>
            </w:r>
            <w:hyperlink w:anchor="ch:introduction-thesis-claims">
              <w:r>
                <w:rPr>
                  <w:rStyle w:val="Hyperlink"/>
                </w:rPr>
                <w:t xml:space="preserve">1</w:t>
              </w:r>
            </w:hyperlink>
            <w:r>
              <w:t xml:space="preserve">–</w:t>
            </w:r>
            <w:hyperlink w:anchor="ch:formal-problem-formulation">
              <w:r>
                <w:rPr>
                  <w:rStyle w:val="Hyperlink"/>
                </w:rPr>
                <w:t xml:space="preserve">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Typed adapter semantics, dual-trajectory benchmark contract, and OASG-facing replay logic.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Theorem ladder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ch:mathematical-foundations">
              <w:r>
                <w:rPr>
                  <w:rStyle w:val="Hyperlink"/>
                </w:rPr>
                <w:t xml:space="preserve">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Assumption register, proof appendix, theorem dependency table, integrated theorem gate figure.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Witness-domain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Chapters </w:t>
            </w:r>
            <w:hyperlink w:anchor="ch:witness-domain-implementation">
              <w:r>
                <w:rPr>
                  <w:rStyle w:val="Hyperlink"/>
                </w:rPr>
                <w:t xml:space="preserve">1</w:t>
              </w:r>
            </w:hyperlink>
            <w:r>
              <w:t xml:space="preserve">–</w:t>
            </w:r>
            <w:hyperlink w:anchor="ch:witness-results-failure-analysis">
              <w:r>
                <w:rPr>
                  <w:rStyle w:val="Hyperlink"/>
                </w:rPr>
                <w:t xml:space="preserve">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Main results, ablations, grouped coverage tables, learned-reliability surfaces, runtime traces.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Cross-domain universality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ch:universal-orius-across-domains">
              <w:r>
                <w:rPr>
                  <w:rStyle w:val="Hyperlink"/>
                </w:rPr>
                <w:t xml:space="preserve">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Parity matrix, domain closure matrix, cross-domain validation figure, runtime/governance matrices.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Temporal and governance 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Chapters </w:t>
            </w:r>
            <w:hyperlink w:anchor="Xf369508cbe938bfd78c380121071766cd683f64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h:certos-runtime-assurance">
              <w:r>
                <w:rPr>
                  <w:rStyle w:val="Hyperlink"/>
                </w:rPr>
                <w:t xml:space="preserve">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Blackout half-life figure, graceful degradation figure, governance lifecycle matrix, runtime budget matrix.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Exact non-claims and parity blockers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Xb94fc205779c4d19b361a4a8dbfcdf168f2b0c8">
              <w:r>
                <w:rPr>
                  <w:rStyle w:val="Hyperlink"/>
                </w:rPr>
                <w:t xml:space="preserve">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Submission scorecard, deployment validation scope, 93-plus gap matrix, parity matrix.</w:t>
            </w:r>
          </w:p>
        </w:tc>
      </w:tr>
    </w:tbl>
    <w:bookmarkEnd w:id="186"/>
    <w:bookmarkEnd w:id="187"/>
    <w:bookmarkStart w:id="188" w:name="canonical-manuscript-facing-evidence"/>
    <w:p>
      <w:pPr>
        <w:pStyle w:val="Heading3"/>
      </w:pPr>
      <w:r>
        <w:t xml:space="preserve">Canonical manuscript-facing evidence</w:t>
      </w:r>
    </w:p>
    <w:p>
      <w:pPr>
        <w:pStyle w:val="FirstParagraph"/>
      </w:pPr>
      <w:r>
        <w:t xml:space="preserve">The following generated surfaces define the defended manuscript state at any given time:</w:t>
      </w:r>
    </w:p>
    <w:p>
      <w:pPr>
        <w:numPr>
          <w:ilvl w:val="0"/>
          <w:numId w:val="1018"/>
        </w:numPr>
      </w:pPr>
      <w:r>
        <w:rPr>
          <w:rStyle w:val="VerbatimChar"/>
        </w:rPr>
        <w:t xml:space="preserve">reports/publication/orius_equal_domain_parity_matrix.csv</w:t>
      </w:r>
    </w:p>
    <w:p>
      <w:pPr>
        <w:numPr>
          <w:ilvl w:val="0"/>
          <w:numId w:val="1018"/>
        </w:numPr>
      </w:pPr>
      <w:r>
        <w:rPr>
          <w:rStyle w:val="VerbatimChar"/>
        </w:rPr>
        <w:t xml:space="preserve">reports/publication/orius_submission_scorecard.csv</w:t>
      </w:r>
    </w:p>
    <w:p>
      <w:pPr>
        <w:numPr>
          <w:ilvl w:val="0"/>
          <w:numId w:val="1018"/>
        </w:numPr>
      </w:pPr>
      <w:r>
        <w:rPr>
          <w:rStyle w:val="VerbatimChar"/>
        </w:rPr>
        <w:t xml:space="preserve">reports/publication/orius_governance_lifecycle_matrix.csv</w:t>
      </w:r>
    </w:p>
    <w:p>
      <w:pPr>
        <w:numPr>
          <w:ilvl w:val="0"/>
          <w:numId w:val="1018"/>
        </w:numPr>
      </w:pPr>
      <w:r>
        <w:rPr>
          <w:rStyle w:val="VerbatimChar"/>
        </w:rPr>
        <w:t xml:space="preserve">reports/publication/orius_runtime_budget_matrix.csv</w:t>
      </w:r>
    </w:p>
    <w:p>
      <w:pPr>
        <w:numPr>
          <w:ilvl w:val="0"/>
          <w:numId w:val="1018"/>
        </w:numPr>
      </w:pPr>
      <w:r>
        <w:rPr>
          <w:rStyle w:val="VerbatimChar"/>
        </w:rPr>
        <w:t xml:space="preserve">reports/publication/orius_deployment_validation_scope.csv</w:t>
      </w:r>
    </w:p>
    <w:p>
      <w:pPr>
        <w:numPr>
          <w:ilvl w:val="0"/>
          <w:numId w:val="1018"/>
        </w:numPr>
      </w:pPr>
      <w:r>
        <w:rPr>
          <w:rStyle w:val="VerbatimChar"/>
        </w:rPr>
        <w:t xml:space="preserve">reports/publication/orius_93plus_gap_matrix.csv</w:t>
      </w:r>
    </w:p>
    <w:bookmarkEnd w:id="188"/>
    <w:bookmarkStart w:id="189" w:name="interpretation-1"/>
    <w:p>
      <w:pPr>
        <w:pStyle w:val="Heading3"/>
      </w:pPr>
      <w:r>
        <w:t xml:space="preserve">Interpretation</w:t>
      </w:r>
    </w:p>
    <w:p>
      <w:pPr>
        <w:pStyle w:val="FirstParagraph"/>
      </w:pPr>
      <w:r>
        <w:t xml:space="preserve">The canonical readiness summary lives in Chapter </w:t>
      </w:r>
      <w:hyperlink w:anchor="ch:universal-orius-across-domain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because parity promotion is part of the main scientific narrative, not an appendix-only</w:t>
      </w:r>
      <w:r>
        <w:t xml:space="preserve"> </w:t>
      </w:r>
      <w:r>
        <w:t xml:space="preserve">afterthought. This appendix records the governing surfaces that support those statements and</w:t>
      </w:r>
      <w:r>
        <w:t xml:space="preserve"> </w:t>
      </w:r>
      <w:r>
        <w:t xml:space="preserve">keeps exact non-claims visible so the dissertation cannot silently promote a bounded row</w:t>
      </w:r>
      <w:r>
        <w:t xml:space="preserve"> </w:t>
      </w:r>
      <w:r>
        <w:t xml:space="preserve">into a stronger evidence class.</w:t>
      </w:r>
    </w:p>
    <w:bookmarkEnd w:id="189"/>
    <w:bookmarkEnd w:id="190"/>
    <w:bookmarkStart w:id="194" w:name="app:safety-case-bundle-index"/>
    <w:p>
      <w:pPr>
        <w:pStyle w:val="Heading2"/>
      </w:pPr>
      <w:r>
        <w:t xml:space="preserve">Safety-Case Bundle Index</w:t>
      </w:r>
    </w:p>
    <w:p>
      <w:pPr>
        <w:pStyle w:val="FirstParagraph"/>
      </w:pPr>
      <w:r>
        <w:t xml:space="preserve">This appendix maps the dissertation to a safety-case style evidence bundle without making</w:t>
      </w:r>
      <w:r>
        <w:t xml:space="preserve"> </w:t>
      </w:r>
      <w:r>
        <w:t xml:space="preserve">any compliance claim. The goal is simple: a reviewer should be able to see which hazard,</w:t>
      </w:r>
      <w:r>
        <w:t xml:space="preserve"> </w:t>
      </w:r>
      <w:r>
        <w:t xml:space="preserve">which argument, which evidence packet, and which non-claim boundary belong together. The</w:t>
      </w:r>
      <w:r>
        <w:t xml:space="preserve"> </w:t>
      </w:r>
      <w:r>
        <w:t xml:space="preserve">appendix is therefore an evidence-structure aid, not a sector-specific certification claim</w:t>
      </w:r>
      <w:r>
        <w:t xml:space="preserve"> </w:t>
      </w:r>
      <w:r>
        <w:t xml:space="preserve">.</w:t>
      </w:r>
    </w:p>
    <w:bookmarkStart w:id="191" w:name="tab:safety-case-bundle-index"/>
    <w:p>
      <w:pPr>
        <w:pStyle w:val="TableCaption"/>
      </w:pPr>
      <w:r>
        <w:t xml:space="preserve">Safety-case bundle index for the ORIUS dissertation.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afety-case bundle index for the ORIUS dissert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Bundle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Dissertation 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evidence surfaces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Bundle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Dissertation 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evidence surfaces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Hazard 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Defines degraded observation and OASG as the governing safety problem.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Chapters </w:t>
            </w:r>
            <w:hyperlink w:anchor="ch:introduction-thesis-claims">
              <w:r>
                <w:rPr>
                  <w:rStyle w:val="Hyperlink"/>
                </w:rPr>
                <w:t xml:space="preserve">1</w:t>
              </w:r>
            </w:hyperlink>
            <w:r>
              <w:t xml:space="preserve">–</w:t>
            </w:r>
            <w:hyperlink w:anchor="ch:formal-problem-formulation">
              <w:r>
                <w:rPr>
                  <w:rStyle w:val="Hyperlink"/>
                </w:rPr>
                <w:t xml:space="preserve">3</w:t>
              </w:r>
            </w:hyperlink>
            <w:r>
              <w:t xml:space="preserve">, universal claim matrix, assumption register.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Theorem bundle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 what is proved under explicit assumptions.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ch:mathematical-foundations">
              <w:r>
                <w:rPr>
                  <w:rStyle w:val="Hyperlink"/>
                </w:rPr>
                <w:t xml:space="preserve">2</w:t>
              </w:r>
            </w:hyperlink>
            <w:r>
              <w:t xml:space="preserve">, Appendix </w:t>
            </w:r>
            <w:hyperlink w:anchor="app:proofs">
              <w:r>
                <w:rPr>
                  <w:rStyle w:val="Hyperlink"/>
                </w:rPr>
                <w:t xml:space="preserve">3</w:t>
              </w:r>
            </w:hyperlink>
            <w:r>
              <w:t xml:space="preserve">, theorem dependency table, integrated theorem gate figure.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Benchmark bundle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Defines replay, dual trajectories, metrics, and fault families.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ch:benchmark-reproducibility-protocol">
              <w:r>
                <w:rPr>
                  <w:rStyle w:val="Hyperlink"/>
                </w:rPr>
                <w:t xml:space="preserve">3</w:t>
              </w:r>
            </w:hyperlink>
            <w:r>
              <w:t xml:space="preserve">, Appendix </w:t>
            </w:r>
            <w:hyperlink w:anchor="app:benchmark-specs">
              <w:r>
                <w:rPr>
                  <w:rStyle w:val="Hyperlink"/>
                </w:rPr>
                <w:t xml:space="preserve">8</w:t>
              </w:r>
            </w:hyperlink>
            <w:r>
              <w:t xml:space="preserve">, domain closure matrix, submission scorecard.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Witness bundle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the deepest theorem-to-artifact row.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Chapters </w:t>
            </w:r>
            <w:hyperlink w:anchor="ch:witness-domain-implementation">
              <w:r>
                <w:rPr>
                  <w:rStyle w:val="Hyperlink"/>
                </w:rPr>
                <w:t xml:space="preserve">1</w:t>
              </w:r>
            </w:hyperlink>
            <w:r>
              <w:t xml:space="preserve">–</w:t>
            </w:r>
            <w:hyperlink w:anchor="ch:witness-results-failure-analysis">
              <w:r>
                <w:rPr>
                  <w:rStyle w:val="Hyperlink"/>
                </w:rPr>
                <w:t xml:space="preserve">2</w:t>
              </w:r>
            </w:hyperlink>
            <w:r>
              <w:t xml:space="preserve">, battery tables and figures, release manifest.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Cross-domain bundle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structural universality and bounded transfer.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ch:universal-orius-across-domains">
              <w:r>
                <w:rPr>
                  <w:rStyle w:val="Hyperlink"/>
                </w:rPr>
                <w:t xml:space="preserve">1</w:t>
              </w:r>
            </w:hyperlink>
            <w:r>
              <w:t xml:space="preserve">, submission scorecard, runtime/governance matrices.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 bundle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certificate lifecycle, runtime budgets, fallback, and audit continuity.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ch:certos-runtime-assurance">
              <w:r>
                <w:rPr>
                  <w:rStyle w:val="Hyperlink"/>
                </w:rPr>
                <w:t xml:space="preserve">4</w:t>
              </w:r>
            </w:hyperlink>
            <w:r>
              <w:t xml:space="preserve">, governance lifecycle matrix, runtime budget matrix, review-facing governance derivatives.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 bundle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 what remains gated, roadmap, or non-promotional.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 </w:t>
            </w:r>
            <w:hyperlink w:anchor="Xb94fc205779c4d19b361a4a8dbfcdf168f2b0c8">
              <w:r>
                <w:rPr>
                  <w:rStyle w:val="Hyperlink"/>
                </w:rPr>
                <w:t xml:space="preserve">1</w:t>
              </w:r>
            </w:hyperlink>
            <w:r>
              <w:t xml:space="preserve">, deployment validation scope, gap matrix, exact non-claim prose.</w:t>
            </w:r>
          </w:p>
        </w:tc>
      </w:tr>
    </w:tbl>
    <w:bookmarkEnd w:id="191"/>
    <w:bookmarkStart w:id="192" w:name="how-to-read-the-bundle-index"/>
    <w:p>
      <w:pPr>
        <w:pStyle w:val="Heading3"/>
      </w:pPr>
      <w:r>
        <w:t xml:space="preserve">How to read the bundle index</w:t>
      </w:r>
    </w:p>
    <w:p>
      <w:pPr>
        <w:pStyle w:val="FirstParagraph"/>
      </w:pPr>
      <w:r>
        <w:t xml:space="preserve">The bundle index is intentionally orthogonal to the chapter order. A chapter can contribute</w:t>
      </w:r>
      <w:r>
        <w:t xml:space="preserve"> </w:t>
      </w:r>
      <w:r>
        <w:t xml:space="preserve">to more than one bundle, and a bundle can span multiple generated artifacts. That structure</w:t>
      </w:r>
      <w:r>
        <w:t xml:space="preserve"> </w:t>
      </w:r>
      <w:r>
        <w:t xml:space="preserve">mirrors real safety-argument practice more closely than a chapter-by-chapter checklist: one</w:t>
      </w:r>
      <w:r>
        <w:t xml:space="preserve"> </w:t>
      </w:r>
      <w:r>
        <w:t xml:space="preserve">claim family may rely simultaneously on a theorem statement, a replay trace, a runtime</w:t>
      </w:r>
      <w:r>
        <w:t xml:space="preserve"> </w:t>
      </w:r>
      <w:r>
        <w:t xml:space="preserve">lifecycle table, and an explicit non-claim boundary.</w:t>
      </w:r>
    </w:p>
    <w:bookmarkEnd w:id="192"/>
    <w:bookmarkStart w:id="193" w:name="interpretive-boundary"/>
    <w:p>
      <w:pPr>
        <w:pStyle w:val="Heading3"/>
      </w:pPr>
      <w:r>
        <w:t xml:space="preserve">Interpretive boundary</w:t>
      </w:r>
    </w:p>
    <w:p>
      <w:pPr>
        <w:pStyle w:val="FirstParagraph"/>
      </w:pPr>
      <w:r>
        <w:t xml:space="preserve">The dissertation uses this bundle index only as an evidence-structure aid. It aligns the</w:t>
      </w:r>
      <w:r>
        <w:t xml:space="preserve"> </w:t>
      </w:r>
      <w:r>
        <w:t xml:space="preserve">manuscript with disciplined safety-argument practice and lifecycle-oriented risk governance</w:t>
      </w:r>
      <w:r>
        <w:t xml:space="preserve"> </w:t>
      </w:r>
      <w:r>
        <w:t xml:space="preserve">without implying certification or sector-specific regulatory compliance. Its role is to keep</w:t>
      </w:r>
      <w:r>
        <w:t xml:space="preserve"> </w:t>
      </w:r>
      <w:r>
        <w:t xml:space="preserve">the argument inspectable, not to relabel the dissertation as a compliance submission.</w:t>
      </w:r>
    </w:p>
    <w:bookmarkEnd w:id="193"/>
    <w:bookmarkEnd w:id="194"/>
    <w:bookmarkStart w:id="201" w:name="app:extended-results"/>
    <w:p>
      <w:pPr>
        <w:pStyle w:val="Heading2"/>
      </w:pPr>
      <w:r>
        <w:t xml:space="preserve">Extended Battery Result Tables</w:t>
      </w:r>
    </w:p>
    <w:p>
      <w:pPr>
        <w:pStyle w:val="FirstParagraph"/>
      </w:pPr>
      <w:r>
        <w:t xml:space="preserve">This appendix presents the full result tables that support the main-text</w:t>
      </w:r>
      <w:r>
        <w:t xml:space="preserve"> </w:t>
      </w:r>
      <w:r>
        <w:t xml:space="preserve">witness-domain summaries in Chapters </w:t>
      </w:r>
      <w:hyperlink w:anchor="ch:witness-domain-implementation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 </w:t>
      </w:r>
      <w:hyperlink w:anchor="ch:witness-results-failure-analysis">
        <w:r>
          <w:rPr>
            <w:rStyle w:val="Hyperlink"/>
          </w:rPr>
          <w:t xml:space="preserve">2</w:t>
        </w:r>
      </w:hyperlink>
      <w:r>
        <w:t xml:space="preserve">.</w:t>
      </w:r>
      <w:r>
        <w:t xml:space="preserve"> </w:t>
      </w:r>
      <w:r>
        <w:t xml:space="preserve">Every number traces to a locked CSV in</w:t>
      </w:r>
      <w:r>
        <w:t xml:space="preserve"> </w:t>
      </w:r>
      <w:r>
        <w:rPr>
          <w:rStyle w:val="VerbatimChar"/>
        </w:rPr>
        <w:t xml:space="preserve">reports/publication/</w:t>
      </w:r>
      <w:r>
        <w:t xml:space="preserve">.</w:t>
      </w:r>
    </w:p>
    <w:bookmarkStart w:id="195" w:name="extended-controller-comparison"/>
    <w:p>
      <w:pPr>
        <w:pStyle w:val="Heading3"/>
      </w:pPr>
      <w:r>
        <w:t xml:space="preserve">Extended Controller Comparison</w:t>
      </w:r>
    </w:p>
    <w:p>
      <w:pPr>
        <w:pStyle w:val="FirstParagraph"/>
      </w:pPr>
      <w:r>
        <w:t xml:space="preserve">Table </w:t>
      </w:r>
      <w:hyperlink w:anchor="tab:extended-controller">
        <w:r>
          <w:rPr>
            <w:rStyle w:val="Hyperlink"/>
          </w:rPr>
          <w:t xml:space="preserve">[tab:extended-controller]</w:t>
        </w:r>
      </w:hyperlink>
      <w:r>
        <w:t xml:space="preserve"> </w:t>
      </w:r>
      <w:r>
        <w:t xml:space="preserve">reports every metric for all five</w:t>
      </w:r>
      <w:r>
        <w:t xml:space="preserve"> </w:t>
      </w:r>
      <w:r>
        <w:t xml:space="preserve">controllers under the default fault profile (</w:t>
      </w:r>
      <w:r>
        <w:rPr>
          <w:rStyle w:val="VerbatimChar"/>
        </w:rPr>
        <w:t xml:space="preserve">drift_combo</w:t>
      </w:r>
      <w:r>
        <w:t xml:space="preserve">,</w:t>
      </w:r>
      <w:r>
        <w:t xml:space="preserve"> </w:t>
      </w:r>
      <w:r>
        <w:t xml:space="preserve">20 % dropout, DE region).</w:t>
      </w:r>
    </w:p>
    <w:p>
      <w:pPr>
        <w:pStyle w:val="BodyText"/>
      </w:pPr>
      <w:r>
        <w:t xml:space="preserve">Revenue is normalised to the Det. LP baseline. Severity</w:t>
      </w:r>
      <w:r>
        <w:t xml:space="preserve"> </w:t>
      </w:r>
      <m:oMath>
        <m:sSub>
          <m:e>
            <m:r>
              <m:t>p</m:t>
            </m:r>
          </m:e>
          <m:sub>
            <m:r>
              <m:t>95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95th-percentile true-SOC violation magnitude (MWh, normalised by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).</w:t>
      </w:r>
      <w:r>
        <w:t xml:space="preserve"> </w:t>
      </w:r>
      <w:r>
        <w:t xml:space="preserve">Latency is median per-step wall-clock time.</w:t>
      </w:r>
    </w:p>
    <w:bookmarkEnd w:id="195"/>
    <w:bookmarkStart w:id="196" w:name="metric-definitions"/>
    <w:p>
      <w:pPr>
        <w:pStyle w:val="Heading3"/>
      </w:pPr>
      <w:r>
        <w:t xml:space="preserve">Metric Definitions</w:t>
      </w:r>
    </w:p>
    <w:p>
      <w:pPr>
        <w:pStyle w:val="FirstParagraph"/>
      </w:pPr>
      <w:r>
        <w:t xml:space="preserve">For completeness, the extended metrics reported above are:</w:t>
      </w:r>
    </w:p>
    <w:p>
      <w:pPr>
        <w:pStyle w:val="BodyText"/>
      </w:pPr>
      <w:r>
        <w:t xml:space="preserve">True-SOC Violation Rate (Appendix </w:t>
      </w:r>
      <w:hyperlink w:anchor="app:notation">
        <w:r>
          <w:rPr>
            <w:rStyle w:val="Hyperlink"/>
          </w:rPr>
          <w:t xml:space="preserve">1</w:t>
        </w:r>
      </w:hyperlink>
      <w:r>
        <w:t xml:space="preserve">).</w:t>
      </w:r>
    </w:p>
    <w:p>
      <w:pPr>
        <w:pStyle w:val="BodyText"/>
      </w:pPr>
      <w:r>
        <w:t xml:space="preserve">Intervention Rate: fraction of steps where the shield</w:t>
      </w:r>
      <w:r>
        <w:t xml:space="preserve"> </w:t>
      </w:r>
      <w:r>
        <w:t xml:space="preserve">modifies the candidate action.</w:t>
      </w:r>
    </w:p>
    <w:p>
      <w:pPr>
        <w:pStyle w:val="BodyText"/>
      </w:pPr>
      <w:r>
        <w:t xml:space="preserve">Prediction-Interval Coverage Probability of the conformal</w:t>
      </w:r>
      <w:r>
        <w:t xml:space="preserve"> </w:t>
      </w:r>
      <w:r>
        <w:t xml:space="preserve">interval on held-out data.</w:t>
      </w:r>
    </w:p>
    <w:p>
      <w:pPr>
        <w:pStyle w:val="BodyText"/>
      </w:pPr>
      <w:r>
        <w:t xml:space="preserve">95th percentile of the violation severity</w:t>
      </w:r>
      <w:r>
        <w:t xml:space="preserve"> </w:t>
      </w:r>
      <w:r>
        <w:t xml:space="preserve">distribution; zero when TSVR </w:t>
      </w:r>
      <m:oMath>
        <m:r>
          <m:rPr>
            <m:sty m:val="p"/>
          </m:rPr>
          <m:t>=</m:t>
        </m:r>
      </m:oMath>
      <w:r>
        <w:t xml:space="preserve"> 0.</w:t>
      </w:r>
    </w:p>
    <w:p>
      <w:pPr>
        <w:pStyle w:val="BodyText"/>
      </w:pPr>
      <w:r>
        <w:t xml:space="preserve">Normalised arbitrage revenue over the evaluation</w:t>
      </w:r>
      <w:r>
        <w:t xml:space="preserve"> </w:t>
      </w:r>
      <w:r>
        <w:t xml:space="preserve">horizon.</w:t>
      </w:r>
    </w:p>
    <w:p>
      <w:pPr>
        <w:pStyle w:val="BodyText"/>
      </w:pPr>
      <w:r>
        <w:t xml:space="preserve">Median per-step wall-clock time including OQE,</w:t>
      </w:r>
      <w:r>
        <w:t xml:space="preserve"> </w:t>
      </w:r>
      <w:r>
        <w:t xml:space="preserve">uncertainty inflation, shield, and certificate emission.</w:t>
      </w:r>
    </w:p>
    <w:bookmarkEnd w:id="196"/>
    <w:bookmarkStart w:id="197" w:name="regional-impact-breakdown"/>
    <w:p>
      <w:pPr>
        <w:pStyle w:val="Heading3"/>
      </w:pPr>
      <w:r>
        <w:t xml:space="preserve">Regional Impact Breakdown</w:t>
      </w:r>
    </w:p>
    <w:p>
      <w:pPr>
        <w:pStyle w:val="FirstParagraph"/>
      </w:pPr>
      <w:r>
        <w:t xml:space="preserve">Table </w:t>
      </w:r>
      <w:hyperlink w:anchor="tab:regional-impact">
        <w:r>
          <w:rPr>
            <w:rStyle w:val="Hyperlink"/>
          </w:rPr>
          <w:t xml:space="preserve">[tab:regional-impact]</w:t>
        </w:r>
      </w:hyperlink>
      <w:r>
        <w:t xml:space="preserve"> </w:t>
      </w:r>
      <w:r>
        <w:t xml:space="preserve">disaggregates the DC3S results by</w:t>
      </w:r>
      <w:r>
        <w:t xml:space="preserve"> </w:t>
      </w:r>
      <w:r>
        <w:t xml:space="preserve">region (DE = Germany, US = CAISO/ERCOT composite).</w:t>
      </w:r>
    </w:p>
    <w:bookmarkEnd w:id="197"/>
    <w:bookmarkStart w:id="199" w:name="fault-profile-sensitivity"/>
    <w:p>
      <w:pPr>
        <w:pStyle w:val="Heading3"/>
      </w:pPr>
      <w:r>
        <w:t xml:space="preserve">Fault-Profile Sensitivity</w:t>
      </w:r>
    </w:p>
    <w:p>
      <w:pPr>
        <w:pStyle w:val="FirstParagraph"/>
      </w:pPr>
      <w:r>
        <w:t xml:space="preserve">Table </w:t>
      </w:r>
      <w:hyperlink w:anchor="tab:fault-profile-ext">
        <w:r>
          <w:rPr>
            <w:rStyle w:val="Hyperlink"/>
          </w:rPr>
          <w:t xml:space="preserve">6.1</w:t>
        </w:r>
      </w:hyperlink>
      <w:r>
        <w:t xml:space="preserve"> </w:t>
      </w:r>
      <w:r>
        <w:t xml:space="preserve">shows TSVR and IR across fault</w:t>
      </w:r>
      <w:r>
        <w:t xml:space="preserve"> </w:t>
      </w:r>
      <w:r>
        <w:t xml:space="preserve">families at the 20 % dropout level.</w:t>
      </w:r>
    </w:p>
    <w:bookmarkStart w:id="198" w:name="tab:fault-profile-ext"/>
    <w:p>
      <w:pPr>
        <w:pStyle w:val="TableCaption"/>
      </w:pPr>
      <w:r>
        <w:t xml:space="preserve">DC3S + FTIT under individual fault families (DE, 20 % dropout).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fault_performance_table.csv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C3S + FTIT under individual fault families (DE, 20 % dropout). Source: fault_performance_table.csv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Fault family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TSVR (%)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IR (%)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PICP (%)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Sev. </w:t>
            </w:r>
            <m:oMath>
              <m:sSub>
                <m:e>
                  <m:r>
                    <m:t>p</m:t>
                  </m:r>
                </m:e>
                <m:sub>
                  <m:r>
                    <m:t>95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delay_jitter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spike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reorder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drift_combo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bookmarkEnd w:id="198"/>
    <w:bookmarkEnd w:id="199"/>
    <w:bookmarkStart w:id="200" w:name="artifact-provenance"/>
    <w:p>
      <w:pPr>
        <w:pStyle w:val="Heading3"/>
      </w:pPr>
      <w:r>
        <w:t xml:space="preserve">Artifact Provenance</w:t>
      </w:r>
    </w:p>
    <w:p>
      <w:pPr>
        <w:pStyle w:val="FirstParagraph"/>
      </w:pPr>
      <w:r>
        <w:t xml:space="preserve">All figures referenced in the main text trace to locked publication-report</w:t>
      </w:r>
      <w:r>
        <w:t xml:space="preserve"> </w:t>
      </w:r>
      <w:r>
        <w:t xml:space="preserve">artifacts:</w:t>
      </w:r>
    </w:p>
    <w:p>
      <w:pPr>
        <w:numPr>
          <w:ilvl w:val="0"/>
          <w:numId w:val="1019"/>
        </w:numPr>
      </w:pPr>
      <w:r>
        <w:rPr>
          <w:rStyle w:val="VerbatimChar"/>
        </w:rPr>
        <w:t xml:space="preserve">fig_true_soc_violation_vs_dropout.png</w:t>
      </w:r>
      <w:r>
        <w:t xml:space="preserve"> </w:t>
      </w:r>
      <w:r>
        <w:t xml:space="preserve">— TSVR</w:t>
      </w:r>
      <w:r>
        <w:t xml:space="preserve"> </w:t>
      </w:r>
      <w:r>
        <w:t xml:space="preserve">vs. dropout rate.</w:t>
      </w:r>
    </w:p>
    <w:p>
      <w:pPr>
        <w:numPr>
          <w:ilvl w:val="0"/>
          <w:numId w:val="1019"/>
        </w:numPr>
      </w:pPr>
      <w:r>
        <w:rPr>
          <w:rStyle w:val="VerbatimChar"/>
        </w:rPr>
        <w:t xml:space="preserve">fig_true_soc_severity_p95_vs_dropout.png</w:t>
      </w:r>
      <w:r>
        <w:t xml:space="preserve"> </w:t>
      </w:r>
      <w:r>
        <w:t xml:space="preserve">—</w:t>
      </w:r>
      <w:r>
        <w:t xml:space="preserve"> </w:t>
      </w:r>
      <w:r>
        <w:t xml:space="preserve">severity surface.</w:t>
      </w:r>
    </w:p>
    <w:p>
      <w:pPr>
        <w:numPr>
          <w:ilvl w:val="0"/>
          <w:numId w:val="1019"/>
        </w:numPr>
      </w:pPr>
      <w:r>
        <w:rPr>
          <w:rStyle w:val="VerbatimChar"/>
        </w:rPr>
        <w:t xml:space="preserve">fig_calibration_tradeoff.png</w:t>
      </w:r>
      <w:r>
        <w:t xml:space="preserve"> </w:t>
      </w:r>
      <w:r>
        <w:t xml:space="preserve">— coverage–width</w:t>
      </w:r>
      <w:r>
        <w:t xml:space="preserve"> </w:t>
      </w:r>
      <w:r>
        <w:t xml:space="preserve">Pareto front.</w:t>
      </w:r>
    </w:p>
    <w:p>
      <w:pPr>
        <w:numPr>
          <w:ilvl w:val="0"/>
          <w:numId w:val="1019"/>
        </w:numPr>
      </w:pPr>
      <w:r>
        <w:rPr>
          <w:rStyle w:val="VerbatimChar"/>
        </w:rPr>
        <w:t xml:space="preserve">fig_transfer_coverage.png</w:t>
      </w:r>
      <w:r>
        <w:t xml:space="preserve"> </w:t>
      </w:r>
      <w:r>
        <w:t xml:space="preserve">— transfer coverage.</w:t>
      </w:r>
    </w:p>
    <w:p>
      <w:pPr>
        <w:numPr>
          <w:ilvl w:val="0"/>
          <w:numId w:val="1019"/>
        </w:numPr>
      </w:pPr>
      <w:r>
        <w:rPr>
          <w:rStyle w:val="VerbatimChar"/>
        </w:rPr>
        <w:t xml:space="preserve">fig_coverage_width.png</w:t>
      </w:r>
      <w:r>
        <w:t xml:space="preserve"> </w:t>
      </w:r>
      <w:r>
        <w:t xml:space="preserve">— coverage vs. interval</w:t>
      </w:r>
      <w:r>
        <w:t xml:space="preserve"> </w:t>
      </w:r>
      <w:r>
        <w:t xml:space="preserve">width.</w:t>
      </w:r>
    </w:p>
    <w:p>
      <w:pPr>
        <w:numPr>
          <w:ilvl w:val="0"/>
          <w:numId w:val="1019"/>
        </w:numPr>
      </w:pPr>
      <w:r>
        <w:rPr>
          <w:rStyle w:val="VerbatimChar"/>
        </w:rPr>
        <w:t xml:space="preserve">fig_48h_trace_final_de.png</w:t>
      </w:r>
      <w:r>
        <w:t xml:space="preserve"> </w:t>
      </w:r>
      <w:r>
        <w:t xml:space="preserve">— 48 h operational</w:t>
      </w:r>
      <w:r>
        <w:t xml:space="preserve"> </w:t>
      </w:r>
      <w:r>
        <w:t xml:space="preserve">trace (DE).</w:t>
      </w:r>
    </w:p>
    <w:p>
      <w:pPr>
        <w:numPr>
          <w:ilvl w:val="0"/>
          <w:numId w:val="1019"/>
        </w:numPr>
      </w:pPr>
      <w:r>
        <w:rPr>
          <w:rStyle w:val="VerbatimChar"/>
        </w:rPr>
        <w:t xml:space="preserve">fig_48h_trace_final_us.png</w:t>
      </w:r>
      <w:r>
        <w:t xml:space="preserve"> </w:t>
      </w:r>
      <w:r>
        <w:t xml:space="preserve">— 48 h operational</w:t>
      </w:r>
      <w:r>
        <w:t xml:space="preserve"> </w:t>
      </w:r>
      <w:r>
        <w:t xml:space="preserve">trace (US).</w:t>
      </w:r>
    </w:p>
    <w:bookmarkEnd w:id="200"/>
    <w:bookmarkEnd w:id="201"/>
    <w:bookmarkStart w:id="216" w:name="app:reliability-audits"/>
    <w:p>
      <w:pPr>
        <w:pStyle w:val="Heading2"/>
      </w:pPr>
      <w:r>
        <w:t xml:space="preserve">Reliability-Group Coverage Audits</w:t>
      </w:r>
    </w:p>
    <w:p>
      <w:pPr>
        <w:pStyle w:val="FirstParagraph"/>
      </w:pPr>
      <w:r>
        <w:t xml:space="preserve">This appendix documents the stratified coverage audit that verifies</w:t>
      </w:r>
      <w:r>
        <w:t xml:space="preserve"> </w:t>
      </w:r>
      <w:r>
        <w:t xml:space="preserve">the conformal guarantee holds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reliability bin, not</w:t>
      </w:r>
      <w:r>
        <w:t xml:space="preserve"> </w:t>
      </w:r>
      <w:r>
        <w:t xml:space="preserve">only in aggregate. The audit is a key defence against the scenario</w:t>
      </w:r>
      <w:r>
        <w:t xml:space="preserve"> </w:t>
      </w:r>
      <w:r>
        <w:t xml:space="preserve">where aggregate PICP hides systematic under-coverage for low-reliability</w:t>
      </w:r>
      <w:r>
        <w:t xml:space="preserve"> </w:t>
      </w:r>
      <w:r>
        <w:t xml:space="preserve">episodes.</w:t>
      </w:r>
    </w:p>
    <w:bookmarkStart w:id="202" w:name="audit-logic"/>
    <w:p>
      <w:pPr>
        <w:pStyle w:val="Heading3"/>
      </w:pPr>
      <w:r>
        <w:t xml:space="preserve">Audit Logic</w:t>
      </w:r>
    </w:p>
    <w:p>
      <w:pPr>
        <w:pStyle w:val="FirstParagraph"/>
      </w:pPr>
      <w:r>
        <w:t xml:space="preserve">The reliability-bin stratification proceeds as follows:</w:t>
      </w:r>
    </w:p>
    <w:p>
      <w:pPr>
        <w:numPr>
          <w:ilvl w:val="0"/>
          <w:numId w:val="1020"/>
        </w:numPr>
      </w:pPr>
      <w:r>
        <w:t xml:space="preserve">Partition all evaluation steps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bins by their OQE</w:t>
      </w:r>
      <w:r>
        <w:t xml:space="preserve"> </w:t>
      </w:r>
      <w:r>
        <w:t xml:space="preserve">reliability score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</m:oMath>
      <w:r>
        <w:t xml:space="preserve">. Default: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with edges</w:t>
      </w:r>
      <w:r>
        <w:t xml:space="preserve"> </w:t>
      </w:r>
      <m:oMath>
        <m:r>
          <m:rPr>
            <m:sty m:val="p"/>
          </m:rPr>
          <m:t>{</m:t>
        </m:r>
        <m:r>
          <m:t>0.0</m:t>
        </m:r>
        <m:r>
          <m:rPr>
            <m:sty m:val="p"/>
          </m:rPr>
          <m:t>,</m:t>
        </m:r>
        <m:r>
          <m:t> </m:t>
        </m:r>
        <m:r>
          <m:t>0.2</m:t>
        </m:r>
        <m:r>
          <m:rPr>
            <m:sty m:val="p"/>
          </m:rPr>
          <m:t>,</m:t>
        </m:r>
        <m:r>
          <m:t> </m:t>
        </m:r>
        <m:r>
          <m:t>0.4</m:t>
        </m:r>
        <m:r>
          <m:rPr>
            <m:sty m:val="p"/>
          </m:rPr>
          <m:t>,</m:t>
        </m:r>
        <m:r>
          <m:t> </m:t>
        </m:r>
        <m:r>
          <m:t>0.6</m:t>
        </m:r>
        <m:r>
          <m:rPr>
            <m:sty m:val="p"/>
          </m:rPr>
          <m:t>,</m:t>
        </m:r>
        <m:r>
          <m:t> </m:t>
        </m:r>
        <m:r>
          <m:t>0.8</m:t>
        </m:r>
        <m:r>
          <m:rPr>
            <m:sty m:val="p"/>
          </m:rPr>
          <m:t>,</m:t>
        </m:r>
        <m:r>
          <m:t> </m:t>
        </m:r>
        <m:r>
          <m:t>1.0</m:t>
        </m:r>
        <m:r>
          <m:rPr>
            <m:sty m:val="p"/>
          </m:rPr>
          <m:t>}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Within each bin</w:t>
      </w:r>
      <w:r>
        <w:t xml:space="preserve"> </w:t>
      </w:r>
      <m:oMath>
        <m:r>
          <m:t>k</m:t>
        </m:r>
      </m:oMath>
      <w:r>
        <w:t xml:space="preserve">, compute the empirical coverage: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P</m:t>
                  </m:r>
                </m:e>
              </m:acc>
            </m:e>
            <m:sub>
              <m:r>
                <m:t>k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r>
                <m:rPr>
                  <m:sty m:val="b"/>
                </m:rPr>
                <m:t>1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∈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</m:sup>
              </m:sSubSup>
              <m:r>
                <m:t> 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sSub>
          <m:e>
            <m:r>
              <m:t>ℓ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Flag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under-covered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P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−</m:t>
        </m:r>
        <m:sSub>
          <m:e>
            <m:r>
              <m:t>δ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the audit tolerance.</w:t>
      </w:r>
    </w:p>
    <w:p>
      <w:pPr>
        <w:numPr>
          <w:ilvl w:val="0"/>
          <w:numId w:val="1020"/>
        </w:numPr>
      </w:pPr>
      <w:r>
        <w:t xml:space="preserve">The audit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if no bin is flagged.</w:t>
      </w:r>
    </w:p>
    <w:p>
      <w:pPr>
        <w:pStyle w:val="FirstParagraph"/>
      </w:pPr>
      <w:r>
        <w:t xml:space="preserve">The tolerance</w:t>
      </w:r>
      <w:r>
        <w:t xml:space="preserve"> </w:t>
      </w:r>
      <m:oMath>
        <m:sSub>
          <m:e>
            <m:r>
              <m:t>δ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accounts for finite-sample</w:t>
      </w:r>
      <w:r>
        <w:t xml:space="preserve"> </w:t>
      </w:r>
      <w:r>
        <w:t xml:space="preserve">fluctuation in small bins and is calibrated via a Clopper–Pearson</w:t>
      </w:r>
      <w:r>
        <w:t xml:space="preserve"> </w:t>
      </w:r>
      <w:r>
        <w:t xml:space="preserve">binomial interval at the 95 % level.</w:t>
      </w:r>
    </w:p>
    <w:bookmarkEnd w:id="202"/>
    <w:bookmarkStart w:id="204" w:name="illustrative-audit-table"/>
    <w:p>
      <w:pPr>
        <w:pStyle w:val="Heading3"/>
      </w:pPr>
      <w:r>
        <w:t xml:space="preserve">Illustrative Audit Table</w:t>
      </w:r>
    </w:p>
    <w:p>
      <w:pPr>
        <w:pStyle w:val="FirstParagraph"/>
      </w:pPr>
      <w:r>
        <w:t xml:space="preserve">Table </w:t>
      </w:r>
      <w:hyperlink w:anchor="tab:coverage-by-bin">
        <w:r>
          <w:rPr>
            <w:rStyle w:val="Hyperlink"/>
          </w:rPr>
          <w:t xml:space="preserve">7.1</w:t>
        </w:r>
      </w:hyperlink>
      <w:r>
        <w:t xml:space="preserve"> </w:t>
      </w:r>
      <w:r>
        <w:t xml:space="preserve">shows per-bin coverage for DC3S + FTIT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drift_combo</w:t>
      </w:r>
      <w:r>
        <w:t xml:space="preserve"> </w:t>
      </w:r>
      <w:r>
        <w:t xml:space="preserve">at 20 % dropout (DE region).</w:t>
      </w:r>
    </w:p>
    <w:bookmarkStart w:id="203" w:name="tab:coverage-by-bin"/>
    <w:p>
      <w:pPr>
        <w:pStyle w:val="TableCaption"/>
      </w:pPr>
      <w:r>
        <w:t xml:space="preserve">Coverage by reliability bin (DE, drift_combo, 20 % dropout).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cqr_group_coverage.csv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verage by reliability bin (DE, drift_combo, 20 % dropout). Source: cqr_group_coverage.csv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Reliability bin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steps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P</m:t>
                  </m:r>
                </m:e>
              </m:acc>
            </m:oMath>
            <w:r>
              <w:rPr>
                <w:b/>
                <w:bCs/>
              </w:rPr>
              <w:t xml:space="preserve"> (%)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Avg. width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Flag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0.0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0.2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0.2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0.4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0.4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0.8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0.8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1.0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Pass</w:t>
            </w:r>
          </w:p>
        </w:tc>
      </w:tr>
    </w:tbl>
    <w:bookmarkEnd w:id="203"/>
    <w:p>
      <w:pPr>
        <w:pStyle w:val="BodyText"/>
      </w:pPr>
      <w:r>
        <w:t xml:space="preserve">Key observations:</w:t>
      </w:r>
    </w:p>
    <w:p>
      <w:pPr>
        <w:numPr>
          <w:ilvl w:val="0"/>
          <w:numId w:val="1021"/>
        </w:numPr>
      </w:pPr>
      <w:r>
        <w:t xml:space="preserve">Coverage exceeds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target in every bin,</w:t>
      </w:r>
      <w:r>
        <w:t xml:space="preserve"> </w:t>
      </w:r>
      <w:r>
        <w:t xml:space="preserve">including the lowest-reliability bin</w:t>
      </w:r>
      <w:r>
        <w:t xml:space="preserve"> </w:t>
      </w:r>
      <m:oMath>
        <m:r>
          <m:rPr>
            <m:sty m:val="p"/>
          </m:rPr>
          <m:t>[</m:t>
        </m:r>
        <m:r>
          <m:t>0.0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Interval width increases as reliability decreases, confirming</w:t>
      </w:r>
      <w:r>
        <w:t xml:space="preserve"> </w:t>
      </w:r>
      <w:r>
        <w:t xml:space="preserve">that the RUI inflation module widens intervals when quality is</w:t>
      </w:r>
      <w:r>
        <w:t xml:space="preserve"> </w:t>
      </w:r>
      <w:r>
        <w:t xml:space="preserve">poor—the mechanism behind Theorem C.2 (monotone inflation).</w:t>
      </w:r>
    </w:p>
    <w:p>
      <w:pPr>
        <w:numPr>
          <w:ilvl w:val="0"/>
          <w:numId w:val="1021"/>
        </w:numPr>
      </w:pPr>
      <w:r>
        <w:t xml:space="preserve">The lowest-reliability bin has the widest intervals and the</w:t>
      </w:r>
      <w:r>
        <w:t xml:space="preserve"> </w:t>
      </w:r>
      <w:r>
        <w:rPr>
          <w:i/>
          <w:iCs/>
        </w:rPr>
        <w:t xml:space="preserve">highest</w:t>
      </w:r>
      <w:r>
        <w:t xml:space="preserve"> </w:t>
      </w:r>
      <w:r>
        <w:t xml:space="preserve">coverage, verifying that the framework is</w:t>
      </w:r>
      <w:r>
        <w:t xml:space="preserve"> </w:t>
      </w:r>
      <w:r>
        <w:t xml:space="preserve">conservative precisely when uncertainty is greatest.</w:t>
      </w:r>
    </w:p>
    <w:bookmarkEnd w:id="204"/>
    <w:bookmarkStart w:id="209" w:name="coveragewidth-trade-off"/>
    <w:p>
      <w:pPr>
        <w:pStyle w:val="Heading3"/>
      </w:pPr>
      <w:r>
        <w:t xml:space="preserve">Coverage–Width Trade-off</w:t>
      </w:r>
    </w:p>
    <w:p>
      <w:pPr>
        <w:pStyle w:val="FirstParagraph"/>
      </w:pPr>
      <w:r>
        <w:t xml:space="preserve">Figure </w:t>
      </w:r>
      <w:hyperlink w:anchor="fig:coverage-width-audit">
        <w:r>
          <w:rPr>
            <w:rStyle w:val="Hyperlink"/>
          </w:rPr>
          <w:t xml:space="preserve">7.1</w:t>
        </w:r>
      </w:hyperlink>
      <w:r>
        <w:t xml:space="preserve"> </w:t>
      </w:r>
      <w:r>
        <w:t xml:space="preserve">plots empirical coverage against</w:t>
      </w:r>
      <w:r>
        <w:t xml:space="preserve"> </w:t>
      </w:r>
      <w:r>
        <w:t xml:space="preserve">average interval width across reliability bins, illustrating the</w:t>
      </w:r>
      <w:r>
        <w:t xml:space="preserve"> </w:t>
      </w:r>
      <w:r>
        <w:t xml:space="preserve">monotone inflation property.</w:t>
      </w:r>
    </w:p>
    <w:bookmarkStart w:id="208" w:name="fig:coverage-width-audit"/>
    <w:p>
      <w:pPr>
        <w:pStyle w:val="CaptionedFigure"/>
      </w:pPr>
      <w:r>
        <w:drawing>
          <wp:inline>
            <wp:extent cx="4160520" cy="2377440"/>
            <wp:effectExtent b="0" l="0" r="0" t="0"/>
            <wp:docPr descr="" title="" id="206" name="Picture"/>
            <a:graphic>
              <a:graphicData uri="http://schemas.openxmlformats.org/drawingml/2006/picture">
                <pic:pic>
                  <pic:nvPicPr>
                    <pic:cNvPr descr="fig_coverage_width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 vs. interval width by reliability bin. Lower</w:t>
      </w:r>
      <w:r>
        <w:t xml:space="preserve"> </w:t>
      </w:r>
      <w:r>
        <w:t xml:space="preserve">reliability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wider intervals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higher</w:t>
      </w:r>
      <w:r>
        <w:t xml:space="preserve"> </w:t>
      </w:r>
      <w:r>
        <w:t xml:space="preserve">coverage. Source:</w:t>
      </w:r>
      <w:r>
        <w:t xml:space="preserve"> </w:t>
      </w:r>
      <w:r>
        <w:rPr>
          <w:rStyle w:val="VerbatimChar"/>
        </w:rPr>
        <w:t xml:space="preserve">fig_coverage_width.png</w:t>
      </w:r>
      <w:r>
        <w:t xml:space="preserve">.</w:t>
      </w:r>
    </w:p>
    <w:bookmarkEnd w:id="208"/>
    <w:bookmarkEnd w:id="209"/>
    <w:bookmarkStart w:id="214" w:name="cqr-group-coverage-visualisation"/>
    <w:p>
      <w:pPr>
        <w:pStyle w:val="Heading3"/>
      </w:pPr>
      <w:r>
        <w:t xml:space="preserve">CQR Group Coverage Visualisation</w:t>
      </w:r>
    </w:p>
    <w:p>
      <w:pPr>
        <w:pStyle w:val="FirstParagraph"/>
      </w:pPr>
      <w:r>
        <w:t xml:space="preserve">Figure </w:t>
      </w:r>
      <w:hyperlink w:anchor="fig:cqr-group-audit">
        <w:r>
          <w:rPr>
            <w:rStyle w:val="Hyperlink"/>
          </w:rPr>
          <w:t xml:space="preserve">7.2</w:t>
        </w:r>
      </w:hyperlink>
      <w:r>
        <w:t xml:space="preserve"> </w:t>
      </w:r>
      <w:r>
        <w:t xml:space="preserve">visualises the per-group coverage</w:t>
      </w:r>
      <w:r>
        <w:t xml:space="preserve"> </w:t>
      </w:r>
      <w:r>
        <w:t xml:space="preserve">alongside the global target, confirming uniform coverage.</w:t>
      </w:r>
    </w:p>
    <w:bookmarkStart w:id="213" w:name="fig:cqr-group-audit"/>
    <w:p>
      <w:pPr>
        <w:pStyle w:val="CaptionedFigure"/>
      </w:pPr>
      <w:r>
        <w:drawing>
          <wp:inline>
            <wp:extent cx="4160520" cy="2377440"/>
            <wp:effectExtent b="0" l="0" r="0" t="0"/>
            <wp:docPr descr="" title="" id="211" name="Picture"/>
            <a:graphic>
              <a:graphicData uri="http://schemas.openxmlformats.org/drawingml/2006/picture">
                <pic:pic>
                  <pic:nvPicPr>
                    <pic:cNvPr descr="fig_coverage_width_tradeoff.pn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CQR group coverage across reliability bins. All bins exceed</w:t>
      </w:r>
      <w:r>
        <w:t xml:space="preserve"> </w:t>
      </w:r>
      <w:r>
        <w:t xml:space="preserve">the 90 % target (dashed line).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fig_coverage_width_tradeoff.png</w:t>
      </w:r>
      <w:r>
        <w:t xml:space="preserve">.</w:t>
      </w:r>
    </w:p>
    <w:bookmarkEnd w:id="213"/>
    <w:bookmarkEnd w:id="214"/>
    <w:bookmarkStart w:id="215" w:name="audit-protocol"/>
    <w:p>
      <w:pPr>
        <w:pStyle w:val="Heading3"/>
      </w:pPr>
      <w:r>
        <w:t xml:space="preserve">Audit Protocol</w:t>
      </w:r>
    </w:p>
    <w:p>
      <w:pPr>
        <w:pStyle w:val="FirstParagraph"/>
      </w:pPr>
      <w:r>
        <w:t xml:space="preserve">The reliability-group audit procedure:</w:t>
      </w:r>
    </w:p>
    <w:p>
      <w:pPr>
        <w:numPr>
          <w:ilvl w:val="0"/>
          <w:numId w:val="1022"/>
        </w:numPr>
      </w:pPr>
      <w:r>
        <w:t xml:space="preserve">Run the priority-2 artifact generator and produce</w:t>
      </w:r>
      <w:r>
        <w:t xml:space="preserve"> </w:t>
      </w:r>
      <w:r>
        <w:rPr>
          <w:rStyle w:val="VerbatimChar"/>
        </w:rPr>
        <w:t xml:space="preserve">cqr_group_coverage.csv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Verify that no bin is flagged in the output CSV.</w:t>
      </w:r>
    </w:p>
    <w:p>
      <w:pPr>
        <w:numPr>
          <w:ilvl w:val="0"/>
          <w:numId w:val="1022"/>
        </w:numPr>
      </w:pPr>
      <w:r>
        <w:t xml:space="preserve">Cross-check aggregate PICP against</w:t>
      </w:r>
      <w:r>
        <w:t xml:space="preserve"> </w:t>
      </w:r>
      <w:r>
        <w:rPr>
          <w:rStyle w:val="VerbatimChar"/>
        </w:rPr>
        <w:t xml:space="preserve">dc3s_main_table.csv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Record pass/fail in the verification log.</w:t>
      </w:r>
    </w:p>
    <w:bookmarkEnd w:id="215"/>
    <w:bookmarkEnd w:id="216"/>
    <w:bookmarkStart w:id="225" w:name="app:benchmark-specs"/>
    <w:p>
      <w:pPr>
        <w:pStyle w:val="Heading2"/>
      </w:pPr>
      <w:r>
        <w:t xml:space="preserve">Benchmark Specifications</w:t>
      </w:r>
    </w:p>
    <w:p>
      <w:pPr>
        <w:pStyle w:val="FirstParagraph"/>
      </w:pPr>
      <w:bookmarkStart w:id="217" w:name="app:fault-specs"/>
      <w:bookmarkEnd w:id="217"/>
    </w:p>
    <w:p>
      <w:pPr>
        <w:pStyle w:val="BodyText"/>
      </w:pPr>
      <w:r>
        <w:t xml:space="preserve">This appendix records the benchmark-facing specifications that make the dissertation</w:t>
      </w:r>
      <w:r>
        <w:t xml:space="preserve"> </w:t>
      </w:r>
      <w:r>
        <w:t xml:space="preserve">replayable and auditable. ORIUS-Bench is universal at the schema level: every episode</w:t>
      </w:r>
      <w:r>
        <w:t xml:space="preserve"> </w:t>
      </w:r>
      <w:r>
        <w:t xml:space="preserve">tracks candidate action, repaired action, true-state violation, observed-state</w:t>
      </w:r>
      <w:r>
        <w:t xml:space="preserve"> </w:t>
      </w:r>
      <w:r>
        <w:t xml:space="preserve">satisfaction, certificate state, fallback or intervention markers, and runtime cost. The</w:t>
      </w:r>
      <w:r>
        <w:t xml:space="preserve"> </w:t>
      </w:r>
      <w:r>
        <w:t xml:space="preserve">current deepest empirical instantiation remains the battery witness row, so the detailed</w:t>
      </w:r>
      <w:r>
        <w:t xml:space="preserve"> </w:t>
      </w:r>
      <w:r>
        <w:t xml:space="preserve">fault-family table below is still battery-grounded. That grounding is deliberate: it shows</w:t>
      </w:r>
      <w:r>
        <w:t xml:space="preserve"> </w:t>
      </w:r>
      <w:r>
        <w:t xml:space="preserve">the strongest defended fault surface while the benchmark contract itself remains</w:t>
      </w:r>
      <w:r>
        <w:t xml:space="preserve"> </w:t>
      </w:r>
      <w:r>
        <w:t xml:space="preserve">domain-neutral.</w:t>
      </w:r>
    </w:p>
    <w:p>
      <w:pPr>
        <w:pStyle w:val="BodyText"/>
      </w:pPr>
      <w:r>
        <w:t xml:space="preserve">Any remaining battery-shaped compatibility fields in the codebase should therefore be read</w:t>
      </w:r>
      <w:r>
        <w:t xml:space="preserve"> </w:t>
      </w:r>
      <w:r>
        <w:t xml:space="preserve">as legacy support surfaces, not as the dissertation’s definition of the benchmark. The</w:t>
      </w:r>
      <w:r>
        <w:t xml:space="preserve"> </w:t>
      </w:r>
      <w:r>
        <w:t xml:space="preserve">canonical benchmark language is the dual-trajectory, adapter-driven contract described in</w:t>
      </w:r>
      <w:r>
        <w:t xml:space="preserve"> </w:t>
      </w:r>
      <w:r>
        <w:t xml:space="preserve">Chapter </w:t>
      </w:r>
      <w:hyperlink w:anchor="ch:benchmark-reproducibility-protocol">
        <w:r>
          <w:rPr>
            <w:rStyle w:val="Hyperlink"/>
          </w:rPr>
          <w:t xml:space="preserve">3</w:t>
        </w:r>
      </w:hyperlink>
      <w:r>
        <w:t xml:space="preserve">.</w:t>
      </w:r>
    </w:p>
    <w:bookmarkStart w:id="219" w:name="canonical-fault-families"/>
    <w:p>
      <w:pPr>
        <w:pStyle w:val="Heading3"/>
      </w:pPr>
      <w:r>
        <w:t xml:space="preserve">Canonical fault families</w:t>
      </w:r>
    </w:p>
    <w:p>
      <w:pPr>
        <w:pStyle w:val="FirstParagraph"/>
      </w:pPr>
      <w:r>
        <w:t xml:space="preserve">Table </w:t>
      </w:r>
      <w:hyperlink w:anchor="tab:fault-families">
        <w:r>
          <w:rPr>
            <w:rStyle w:val="Hyperlink"/>
          </w:rPr>
          <w:t xml:space="preserve">8.1</w:t>
        </w:r>
      </w:hyperlink>
      <w:r>
        <w:t xml:space="preserve"> </w:t>
      </w:r>
      <w:r>
        <w:t xml:space="preserve">defines each fault family, its</w:t>
      </w:r>
      <w:r>
        <w:t xml:space="preserve"> </w:t>
      </w:r>
      <w:r>
        <w:t xml:space="preserve">configurable parameters, the tested range, and the battery-domain</w:t>
      </w:r>
      <w:r>
        <w:t xml:space="preserve"> </w:t>
      </w:r>
      <w:r>
        <w:t xml:space="preserve">interpretation.</w:t>
      </w:r>
    </w:p>
    <w:bookmarkStart w:id="218" w:name="tab:fault-families"/>
    <w:p>
      <w:pPr>
        <w:pStyle w:val="TableCaption"/>
      </w:pPr>
      <w:r>
        <w:t xml:space="preserve">Witness-domain fault families used to instantiate the universal ORIUS-Bench telemetry-degradation contract.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tness-domain fault families used to instantiate the universal ORIUS-Bench telemetry-degradation contrac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Range 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Battery interpretation</w:t>
            </w:r>
          </w:p>
        </w:tc>
      </w:tr>
      <w:tr>
        <w:tc>
          <w:tcPr>
            <w:gridSpan w:val="4"/>
          </w:tcPr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(continued)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Range 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Battery 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drop_rate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0.10</m:t>
              </m:r>
              <m:r>
                <m:rPr>
                  <m:sty m:val="p"/>
                </m:rPr>
                <m:t>,</m:t>
              </m:r>
              <m:r>
                <m:t>0.15</m:t>
              </m:r>
              <m:r>
                <m:rPr>
                  <m:sty m:val="p"/>
                </m:rPr>
                <m:t>,</m:t>
              </m:r>
              <m:r>
                <m:t>0.20</m:t>
              </m:r>
              <m:r>
                <m:rPr>
                  <m:sty m:val="p"/>
                </m:rPr>
                <m:t>,</m:t>
              </m:r>
              <m:r>
                <m:t>0.25</m:t>
              </m:r>
              <m:r>
                <m:rPr>
                  <m:sty m:val="p"/>
                </m:rPr>
                <m:t>,</m:t>
              </m:r>
              <m:r>
                <m:t>0.30</m:t>
              </m:r>
              <m:r>
                <m:rPr>
                  <m:sty m:val="p"/>
                </m:rPr>
                <m:t>}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Packet loss on the BMS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EMS telemetry link. Dropped readings are replaced by the last received value (zero-order hold).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jitter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delay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(s), jitter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(s)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}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Variable network latency between BMS and the dispatch engine. Delayed packets arrive out of order and are consumed at their arrival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(multiplier)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Transient sensor glitch producing a reading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times the true value. Models ADC saturation or electromagnetic interference on current/voltage sensors.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duration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(steps)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}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Sensor freeze: the telemetry value is held constant for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consecutive steps. Models BMS firmware hang or communication bus lock-up.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 rate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(per step)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0.02</m:t>
              </m:r>
              <m:r>
                <m:rPr>
                  <m:sty m:val="p"/>
                </m:rPr>
                <m:t>,</m:t>
              </m:r>
              <m:r>
                <m:t>0.03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}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Slow, linear bias accumulating as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β</m:t>
              </m:r>
              <m:r>
                <m:t> </m:t>
              </m:r>
              <m:r>
                <m:t>t</m:t>
              </m:r>
            </m:oMath>
            <w:r>
              <w:t xml:space="preserve">. Models sensor calibration drift (e.g. current-sensor offset) or gradual SOH-induced SOC bias.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buffer size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(steps)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Out-of-order packet delivery: readings within a sliding window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steps are randomly permuted. Models multi-path routing or priority-queue inversion on industrial networks.</w:t>
            </w:r>
          </w:p>
        </w:tc>
      </w:tr>
    </w:tbl>
    <w:bookmarkEnd w:id="218"/>
    <w:bookmarkEnd w:id="219"/>
    <w:bookmarkStart w:id="221" w:name="combined-profile-drift_combo"/>
    <w:p>
      <w:pPr>
        <w:pStyle w:val="Heading3"/>
      </w:pPr>
      <w:r>
        <w:t xml:space="preserve">Combined profile:</w:t>
      </w:r>
      <w:r>
        <w:t xml:space="preserve"> </w:t>
      </w:r>
      <w:r>
        <w:rPr>
          <w:rStyle w:val="VerbatimChar"/>
        </w:rPr>
        <w:t xml:space="preserve">drift_combo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drift_combo</w:t>
      </w:r>
      <w:r>
        <w:t xml:space="preserve"> </w:t>
      </w:r>
      <w:r>
        <w:t xml:space="preserve">profile activates the configured fault families</w:t>
      </w:r>
      <w:r>
        <w:t xml:space="preserve"> </w:t>
      </w:r>
      <w:r>
        <w:t xml:space="preserve">simultaneously at their mid-range parameter values with a configurable</w:t>
      </w:r>
      <w:r>
        <w:t xml:space="preserve"> </w:t>
      </w:r>
      <w:r>
        <w:t xml:space="preserve">dropout rate</w:t>
      </w:r>
      <w:r>
        <w:t xml:space="preserve"> </w:t>
      </w:r>
      <m:oMath>
        <m:r>
          <m:t>d</m:t>
        </m:r>
      </m:oMath>
      <w:r>
        <w:t xml:space="preserve">. This is the default stress profile used in the main</w:t>
      </w:r>
      <w:r>
        <w:t xml:space="preserve"> </w:t>
      </w:r>
      <w:r>
        <w:t xml:space="preserve">results of the witness-domain chapter and in the bounded controller-comparison</w:t>
      </w:r>
      <w:r>
        <w:t xml:space="preserve"> </w:t>
      </w:r>
      <w:r>
        <w:t xml:space="preserve">surfaces that accompany the ORIUS publication artifacts.</w:t>
      </w:r>
    </w:p>
    <w:bookmarkStart w:id="220" w:name="tab:drift-combo-defaults"/>
    <w:p>
      <w:pPr>
        <w:pStyle w:val="TableCaption"/>
      </w:pPr>
      <w:r>
        <w:rPr>
          <w:rStyle w:val="VerbatimChar"/>
        </w:rPr>
        <w:t xml:space="preserve">drift_combo</w:t>
      </w:r>
      <w:r>
        <w:t xml:space="preserve"> </w:t>
      </w:r>
      <w:r>
        <w:t xml:space="preserve">default parameter values.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rift_combo default parameter valu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Default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dropout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delay_jitter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3 s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spike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 steps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0.02 /step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reorder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 steps</w:t>
            </w:r>
          </w:p>
        </w:tc>
      </w:tr>
    </w:tbl>
    <w:bookmarkEnd w:id="220"/>
    <w:bookmarkEnd w:id="221"/>
    <w:bookmarkStart w:id="222" w:name="Xbc395a76a74255b0d34ec18016e54b69080e5a2"/>
    <w:p>
      <w:pPr>
        <w:pStyle w:val="Heading3"/>
      </w:pPr>
      <w:r>
        <w:t xml:space="preserve">Replay and fault-injection implementation</w:t>
      </w:r>
    </w:p>
    <w:p>
      <w:pPr>
        <w:pStyle w:val="FirstParagraph"/>
      </w:pPr>
      <w:r>
        <w:t xml:space="preserve">Faults are injected by the CPSBench runner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src/orius/cpsbench_iot/runner.py</w:t>
      </w:r>
      <w:r>
        <w:t xml:space="preserve">) between the plant’s</w:t>
      </w:r>
      <w:r>
        <w:t xml:space="preserve"> </w:t>
      </w:r>
      <w:r>
        <w:t xml:space="preserve">true-state output and the controller’s observation input. The</w:t>
      </w:r>
      <w:r>
        <w:t xml:space="preserve"> </w:t>
      </w:r>
      <w:r>
        <w:t xml:space="preserve">injection pipeline: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Plant emits</w:t>
      </w:r>
      <w:r>
        <w:t xml:space="preserve"> </w:t>
      </w:r>
      <w:r>
        <w:t xml:space="preserve">clean telemetry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Fault layer</w:t>
      </w:r>
      <w:r>
        <w:t xml:space="preserve"> </w:t>
      </w:r>
      <w:r>
        <w:t xml:space="preserve">transforms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according to the</w:t>
      </w:r>
      <w:r>
        <w:t xml:space="preserve"> </w:t>
      </w:r>
      <w:r>
        <w:t xml:space="preserve">active fault families and their parameters.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Controller receives</w:t>
      </w:r>
      <w:r>
        <w:t xml:space="preserve"> </w:t>
      </w:r>
      <w:r>
        <w:t xml:space="preserve">degraded telemetry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as its</w:t>
      </w:r>
      <w:r>
        <w:t xml:space="preserve"> </w:t>
      </w:r>
      <w:r>
        <w:t xml:space="preserve">observation</w:t>
      </w:r>
      <w:r>
        <w:t xml:space="preserve"> </w:t>
      </w:r>
      <m:oMath>
        <m:sSub>
          <m:e>
            <m:r>
              <m:t>o</m:t>
            </m:r>
          </m:e>
          <m:sub>
            <m:r>
              <m:t>t</m:t>
            </m:r>
          </m:sub>
        </m:sSub>
      </m:oMath>
      <w:r>
        <w:t xml:space="preserve">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DC3S OQE</w:t>
      </w:r>
      <w:r>
        <w:t xml:space="preserve"> </w:t>
      </w:r>
      <w:r>
        <w:t xml:space="preserve">computes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(detecting the</w:t>
      </w:r>
      <w:r>
        <w:t xml:space="preserve"> </w:t>
      </w:r>
      <w:r>
        <w:t xml:space="preserve">degradation).</w:t>
      </w:r>
    </w:p>
    <w:p>
      <w:pPr>
        <w:pStyle w:val="FirstParagraph"/>
      </w:pPr>
      <w:r>
        <w:t xml:space="preserve">Fault parameters are set in</w:t>
      </w:r>
      <w:r>
        <w:t xml:space="preserve"> </w:t>
      </w:r>
      <w:r>
        <w:rPr>
          <w:rStyle w:val="VerbatimChar"/>
        </w:rPr>
        <w:t xml:space="preserve">configs/dc3s.yaml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fault_profile</w:t>
      </w:r>
      <w:r>
        <w:t xml:space="preserve"> </w:t>
      </w:r>
      <w:r>
        <w:t xml:space="preserve">key. Each evaluation run logs the active</w:t>
      </w:r>
      <w:r>
        <w:t xml:space="preserve"> </w:t>
      </w:r>
      <w:r>
        <w:t xml:space="preserve">profile and parameter snapshot in the certificate metadata for</w:t>
      </w:r>
      <w:r>
        <w:t xml:space="preserve"> </w:t>
      </w:r>
      <w:r>
        <w:t xml:space="preserve">reproducibility.</w:t>
      </w:r>
    </w:p>
    <w:bookmarkEnd w:id="222"/>
    <w:bookmarkStart w:id="224" w:name="severity-mapping"/>
    <w:p>
      <w:pPr>
        <w:pStyle w:val="Heading3"/>
      </w:pPr>
      <w:r>
        <w:t xml:space="preserve">Severity mapping</w:t>
      </w:r>
    </w:p>
    <w:p>
      <w:pPr>
        <w:pStyle w:val="FirstParagraph"/>
      </w:pPr>
      <w:r>
        <w:t xml:space="preserve">Table </w:t>
      </w:r>
      <w:hyperlink w:anchor="tab:fault-severity">
        <w:r>
          <w:rPr>
            <w:rStyle w:val="Hyperlink"/>
          </w:rPr>
          <w:t xml:space="preserve">8.3</w:t>
        </w:r>
      </w:hyperlink>
      <w:r>
        <w:t xml:space="preserve"> </w:t>
      </w:r>
      <w:r>
        <w:t xml:space="preserve">maps each fault family to its</w:t>
      </w:r>
      <w:r>
        <w:t xml:space="preserve"> </w:t>
      </w:r>
      <w:r>
        <w:t xml:space="preserve">primary impact on DC3S pipeline stages.</w:t>
      </w:r>
    </w:p>
    <w:bookmarkStart w:id="223" w:name="tab:fault-severity"/>
    <w:p>
      <w:pPr>
        <w:pStyle w:val="TableCaption"/>
      </w:pPr>
      <w:r>
        <w:t xml:space="preserve">Fault-to-pipeline severity mapping.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ault-to-pipeline severity mapping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Fault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OQE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RUI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Shield IR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Cert. validity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dropout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↑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↑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↓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delay_jitter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↑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↑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↓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spike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↑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↑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↓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stale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↑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↑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↓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↑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↑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↓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reorder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↓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↑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↑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223"/>
    <w:p>
      <w:pPr>
        <w:pStyle w:val="BodyText"/>
      </w:pPr>
      <m:oMath>
        <m:r>
          <m:rPr>
            <m:sty m:val="p"/>
          </m:rPr>
          <m:t>↓</m:t>
        </m:r>
      </m:oMath>
      <w:r>
        <w:t xml:space="preserve"> </w:t>
      </w:r>
      <w:r>
        <w:t xml:space="preserve">= mild decrease;</w:t>
      </w:r>
      <w:r>
        <w:t xml:space="preserve"> </w:t>
      </w:r>
      <m:oMath>
        <m:r>
          <m:rPr>
            <m:sty m:val="p"/>
          </m:rPr>
          <m:t>↓</m:t>
        </m:r>
        <m:r>
          <m:rPr>
            <m:sty m:val="p"/>
          </m:rPr>
          <m:t>↓</m:t>
        </m:r>
      </m:oMath>
      <w:r>
        <w:t xml:space="preserve"> </w:t>
      </w:r>
      <w:r>
        <w:t xml:space="preserve">= strong decrease;</w:t>
      </w:r>
      <w:r>
        <w:t xml:space="preserve"> </w:t>
      </w:r>
      <m:oMath>
        <m:r>
          <m:rPr>
            <m:sty m:val="p"/>
          </m:rPr>
          <m:t>↑</m:t>
        </m:r>
      </m:oMath>
      <w:r>
        <w:t xml:space="preserve"> </w:t>
      </w:r>
      <w:r>
        <w:t xml:space="preserve">= mild increase;</w:t>
      </w:r>
      <w:r>
        <w:t xml:space="preserve"> </w:t>
      </w:r>
      <m:oMath>
        <m:r>
          <m:rPr>
            <m:sty m:val="p"/>
          </m:rPr>
          <m:t>↑</m:t>
        </m:r>
        <m:r>
          <m:rPr>
            <m:sty m:val="p"/>
          </m:rPr>
          <m:t>↑</m:t>
        </m:r>
      </m:oMath>
      <w:r>
        <w:t xml:space="preserve"> </w:t>
      </w:r>
      <w:r>
        <w:t xml:space="preserve">= strong increase;</w:t>
      </w:r>
      <w:r>
        <w:t xml:space="preserve"> </w:t>
      </w:r>
      <w:r>
        <w:t xml:space="preserve">— = negligible effect.</w:t>
      </w:r>
    </w:p>
    <w:bookmarkEnd w:id="224"/>
    <w:bookmarkEnd w:id="225"/>
    <w:bookmarkStart w:id="231" w:name="app:adapter-interface"/>
    <w:p>
      <w:pPr>
        <w:pStyle w:val="Heading2"/>
      </w:pPr>
      <w:r>
        <w:t xml:space="preserve">Battery Adapter Interface Specification</w:t>
      </w:r>
    </w:p>
    <w:p>
      <w:pPr>
        <w:pStyle w:val="FirstParagraph"/>
      </w:pPr>
      <w:r>
        <w:t xml:space="preserve">This appendix specifies the</w:t>
      </w:r>
      <w:r>
        <w:t xml:space="preserve"> </w:t>
      </w:r>
      <w:r>
        <w:rPr>
          <w:rStyle w:val="VerbatimChar"/>
        </w:rPr>
        <w:t xml:space="preserve">BatteryDomainAdapter</w:t>
      </w:r>
      <w:r>
        <w:t xml:space="preserve"> </w:t>
      </w:r>
      <w:r>
        <w:t xml:space="preserve">interface that</w:t>
      </w:r>
      <w:r>
        <w:t xml:space="preserve"> </w:t>
      </w:r>
      <w:r>
        <w:t xml:space="preserve">bridges the domain-agnostic DC3S pipeline to the battery energy storage</w:t>
      </w:r>
      <w:r>
        <w:t xml:space="preserve"> </w:t>
      </w:r>
      <w:r>
        <w:t xml:space="preserve">domain. Every domain that instantiates ORIUS must implement these six</w:t>
      </w:r>
      <w:r>
        <w:t xml:space="preserve"> </w:t>
      </w:r>
      <w:r>
        <w:t xml:space="preserve">methods; the battery adapter serves as the reference implementation.</w:t>
      </w:r>
    </w:p>
    <w:bookmarkStart w:id="227" w:name="interface-overview"/>
    <w:p>
      <w:pPr>
        <w:pStyle w:val="Heading3"/>
      </w:pPr>
      <w:r>
        <w:t xml:space="preserve">Interface Overview</w:t>
      </w:r>
    </w:p>
    <w:p>
      <w:pPr>
        <w:pStyle w:val="FirstParagraph"/>
      </w:pPr>
      <w:r>
        <w:t xml:space="preserve">The adapter exposes six methods that map one-to-one onto the DC3S</w:t>
      </w:r>
      <w:r>
        <w:t xml:space="preserve"> </w:t>
      </w:r>
      <w:r>
        <w:t xml:space="preserve">pipeline stages: Observe, Qualify, Inflate, Tighten, Repair, Certify.</w:t>
      </w:r>
      <w:r>
        <w:t xml:space="preserve"> </w:t>
      </w:r>
      <w:r>
        <w:t xml:space="preserve">Table </w:t>
      </w:r>
      <w:hyperlink w:anchor="tab:adapter-methods">
        <w:r>
          <w:rPr>
            <w:rStyle w:val="Hyperlink"/>
          </w:rPr>
          <w:t xml:space="preserve">9.1</w:t>
        </w:r>
      </w:hyperlink>
      <w:r>
        <w:t xml:space="preserve"> </w:t>
      </w:r>
      <w:r>
        <w:t xml:space="preserve">summarises each method.</w:t>
      </w:r>
    </w:p>
    <w:bookmarkStart w:id="226" w:name="tab:adapter-methods"/>
    <w:p>
      <w:pPr>
        <w:pStyle w:val="TableCaption"/>
      </w:pPr>
      <w:r>
        <w:rPr>
          <w:rStyle w:val="VerbatimChar"/>
        </w:rPr>
        <w:t xml:space="preserve">BatteryDomainAdapter</w:t>
      </w:r>
      <w:r>
        <w:t xml:space="preserve"> </w:t>
      </w:r>
      <w:r>
        <w:t xml:space="preserve">interface methods.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atteryDomainAdapter interface method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Battery 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ingest_telemetry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BMS packet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Parsed state vector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Extracts SOC, voltage, current, temperature from the degraded telemetry stream.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compute_oqe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o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, history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 score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Aggregates freshness, consistency, and drift evidence into a scalar quality score.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build_uncertainty_set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o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, conformal quantile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Uncertainty set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Constructs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ϵ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tighten_action_set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, plant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action set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Shrinks the power/ramp feasible set by the margin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on each SOC bound.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repair_action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Safe action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Projects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onto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via constrained QP; returns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if already feasible.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emit_certificate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p>
              </m:sSubSup>
            </m:oMath>
            <w:r>
              <w:t xml:space="preserve">, prev. 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Certificate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Emits a hash-chained, per-step certificate with all DC3S fields for audit.</w:t>
            </w:r>
          </w:p>
        </w:tc>
      </w:tr>
    </w:tbl>
    <w:bookmarkEnd w:id="226"/>
    <w:bookmarkEnd w:id="227"/>
    <w:bookmarkStart w:id="228" w:name="method-contracts"/>
    <w:p>
      <w:pPr>
        <w:pStyle w:val="Heading3"/>
      </w:pPr>
      <w:r>
        <w:t xml:space="preserve">Method Contracts</w:t>
      </w:r>
    </w:p>
    <w:p>
      <w:pPr>
        <w:pStyle w:val="FirstParagraph"/>
      </w:pPr>
      <w:r>
        <w:t xml:space="preserve">Each method satisfies the following contracts:</w:t>
      </w:r>
    </w:p>
    <w:p>
      <w:pPr>
        <w:pStyle w:val="BodyText"/>
      </w:pPr>
      <w:r>
        <w:rPr>
          <w:b/>
          <w:bCs/>
        </w:rPr>
        <w:t xml:space="preserve">Pre:</w:t>
      </w:r>
      <w:r>
        <w:t xml:space="preserve"> </w:t>
      </w:r>
      <w:r>
        <w:t xml:space="preserve">raw packet is a byte-stream or structured dict.</w:t>
      </w:r>
      <w:r>
        <w:t xml:space="preserve"> </w:t>
      </w:r>
      <w:r>
        <w:rPr>
          <w:b/>
          <w:bCs/>
        </w:rPr>
        <w:t xml:space="preserve">Post:</w:t>
      </w:r>
      <w:r>
        <w:t xml:space="preserve"> </w:t>
      </w:r>
      <m:oMath>
        <m:sSub>
          <m:e>
            <m:r>
              <m:t>o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all NaN/missing values imputed</w:t>
      </w:r>
      <w:r>
        <w:t xml:space="preserve"> </w:t>
      </w:r>
      <w:r>
        <w:t xml:space="preserve">by zero-order hold.</w:t>
      </w:r>
      <w:r>
        <w:t xml:space="preserve"> </w:t>
      </w:r>
      <w:r>
        <w:rPr>
          <w:b/>
          <w:bCs/>
        </w:rPr>
        <w:t xml:space="preserve">Latency:</w:t>
      </w:r>
      <w:r>
        <w:t xml:space="preserve"> </w:t>
      </w:r>
      <m:oMath>
        <m:r>
          <m:rPr>
            <m:sty m:val="p"/>
          </m:rPr>
          <m:t>&lt;</m:t>
        </m:r>
        <m:r>
          <m:t>0.1</m:t>
        </m:r>
      </m:oMath>
      <w:r>
        <w:t xml:space="preserve"> ms.</w:t>
      </w:r>
    </w:p>
    <w:p>
      <w:pPr>
        <w:pStyle w:val="BodyText"/>
      </w:pPr>
      <w:r>
        <w:rPr>
          <w:b/>
          <w:bCs/>
        </w:rPr>
        <w:t xml:space="preserve">Pre:</w:t>
      </w:r>
      <w:r>
        <w:t xml:space="preserve"> </w:t>
      </w:r>
      <m:oMath>
        <m:sSub>
          <m:e>
            <m:r>
              <m:t>o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well-formed; history buffer has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entry.</w:t>
      </w:r>
      <w:r>
        <w:t xml:space="preserve"> </w:t>
      </w:r>
      <w:r>
        <w:rPr>
          <w:b/>
          <w:bCs/>
        </w:rPr>
        <w:t xml:space="preserve">Post: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sSub>
          <m:e>
            <m:r>
              <m:t>w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,</m:t>
        </m:r>
        <m:r>
          <m:t>1.0</m:t>
        </m:r>
        <m:r>
          <m:rPr>
            <m:sty m:val="p"/>
          </m:rPr>
          <m:t>]</m:t>
        </m:r>
      </m:oMath>
      <w:r>
        <w:t xml:space="preserve">; monotone in data quality.</w:t>
      </w:r>
      <w:r>
        <w:t xml:space="preserve"> </w:t>
      </w:r>
      <w:r>
        <w:rPr>
          <w:b/>
          <w:bCs/>
        </w:rPr>
        <w:t xml:space="preserve">Latency:</w:t>
      </w:r>
      <w:r>
        <w:t xml:space="preserve"> </w:t>
      </w:r>
      <m:oMath>
        <m:r>
          <m:rPr>
            <m:sty m:val="p"/>
          </m:rPr>
          <m:t>&lt;</m:t>
        </m:r>
        <m:r>
          <m:t>0.5</m:t>
        </m:r>
      </m:oMath>
      <w:r>
        <w:t xml:space="preserve"> ms.</w:t>
      </w:r>
    </w:p>
    <w:p>
      <w:pPr>
        <w:pStyle w:val="BodyText"/>
      </w:pPr>
      <w:r>
        <w:rPr>
          <w:b/>
          <w:bCs/>
        </w:rPr>
        <w:t xml:space="preserve">Pre: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t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Post: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a non-empty interval;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.</w:t>
      </w:r>
      <w:r>
        <w:t xml:space="preserve"> </w:t>
      </w:r>
      <w:r>
        <w:rPr>
          <w:b/>
          <w:bCs/>
        </w:rPr>
        <w:t xml:space="preserve">Latency:</w:t>
      </w:r>
      <w:r>
        <w:t xml:space="preserve"> </w:t>
      </w:r>
      <m:oMath>
        <m:r>
          <m:rPr>
            <m:sty m:val="p"/>
          </m:rPr>
          <m:t>&lt;</m:t>
        </m:r>
        <m:r>
          <m:t>0.1</m:t>
        </m:r>
      </m:oMath>
      <w:r>
        <w:t xml:space="preserve"> ms.</w:t>
      </w:r>
    </w:p>
    <w:p>
      <w:pPr>
        <w:pStyle w:val="BodyText"/>
      </w:pPr>
      <w:r>
        <w:rPr>
          <w:b/>
          <w:bCs/>
        </w:rPr>
        <w:t xml:space="preserve">Pre: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non-empty.</w:t>
      </w:r>
      <w:r>
        <w:t xml:space="preserve"> </w:t>
      </w:r>
      <w:r>
        <w:rPr>
          <w:b/>
          <w:bCs/>
        </w:rPr>
        <w:t xml:space="preserve">Post: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⊆</m:t>
        </m:r>
        <m:r>
          <m:rPr>
            <m:scr m:val="script"/>
            <m:sty m:val="p"/>
          </m:rPr>
          <m:t>U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(Assumption A3).</w:t>
      </w:r>
      <w:r>
        <w:t xml:space="preserve"> </w:t>
      </w:r>
      <w:r>
        <w:rPr>
          <w:b/>
          <w:bCs/>
        </w:rPr>
        <w:t xml:space="preserve">Latency:</w:t>
      </w:r>
      <w:r>
        <w:t xml:space="preserve"> </w:t>
      </w:r>
      <m:oMath>
        <m:r>
          <m:rPr>
            <m:sty m:val="p"/>
          </m:rPr>
          <m:t>&lt;</m:t>
        </m:r>
        <m:r>
          <m:t>0.2</m:t>
        </m:r>
      </m:oMath>
      <w:r>
        <w:t xml:space="preserve"> ms.</w:t>
      </w:r>
    </w:p>
    <w:p>
      <w:pPr>
        <w:pStyle w:val="BodyText"/>
      </w:pPr>
      <w:r>
        <w:rPr>
          <w:b/>
          <w:bCs/>
        </w:rPr>
        <w:t xml:space="preserve">Pre: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Post:</w:t>
      </w:r>
      <w:r>
        <w:t xml:space="preserve"> </w:t>
      </w:r>
      <m:oMath>
        <m:sSubSup>
          <m:e>
            <m:r>
              <m:t>a</m:t>
            </m:r>
          </m:e>
          <m:sub>
            <m:r>
              <m:t>t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p>
        </m:sSubSup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A</m:t>
            </m:r>
          </m:e>
          <m:sub>
            <m:r>
              <m:t>t</m:t>
            </m:r>
          </m:sub>
        </m:sSub>
      </m:oMath>
      <w:r>
        <w:t xml:space="preserve">;</w:t>
      </w:r>
      <w:r>
        <w:t xml:space="preserve"> </w:t>
      </w:r>
      <m:oMath>
        <m:r>
          <m:rPr>
            <m:sty m:val="p"/>
          </m:rPr>
          <m:t>∥</m:t>
        </m:r>
        <m:sSubSup>
          <m:e>
            <m:r>
              <m:t>a</m:t>
            </m:r>
          </m:e>
          <m:sub>
            <m:r>
              <m:t>t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p>
        </m:sSubSup>
        <m:r>
          <m:rPr>
            <m:sty m:val="p"/>
          </m:rPr>
          <m:t>−</m:t>
        </m:r>
        <m:sSubSup>
          <m:e>
            <m:r>
              <m:t>a</m:t>
            </m:r>
          </m:e>
          <m:sub>
            <m:r>
              <m:t>t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∥</m:t>
        </m:r>
      </m:oMath>
      <w:r>
        <w:t xml:space="preserve"> </w:t>
      </w:r>
      <w:r>
        <w:t xml:space="preserve">is minimised (projection).</w:t>
      </w:r>
      <w:r>
        <w:t xml:space="preserve"> </w:t>
      </w:r>
      <w:r>
        <w:rPr>
          <w:b/>
          <w:bCs/>
        </w:rPr>
        <w:t xml:space="preserve">Latency:</w:t>
      </w:r>
      <w:r>
        <w:t xml:space="preserve"> </w:t>
      </w:r>
      <m:oMath>
        <m:r>
          <m:rPr>
            <m:sty m:val="p"/>
          </m:rPr>
          <m:t>&lt;</m:t>
        </m:r>
        <m:r>
          <m:t>1.0</m:t>
        </m:r>
      </m:oMath>
      <w:r>
        <w:t xml:space="preserve"> ms.</w:t>
      </w:r>
    </w:p>
    <w:p>
      <w:pPr>
        <w:pStyle w:val="BodyText"/>
      </w:pPr>
      <w:r>
        <w:rPr>
          <w:b/>
          <w:bCs/>
        </w:rPr>
        <w:t xml:space="preserve">Pre:</w:t>
      </w:r>
      <w:r>
        <w:t xml:space="preserve"> </w:t>
      </w:r>
      <w:r>
        <w:t xml:space="preserve">all upstream fields computed.</w:t>
      </w:r>
      <w:r>
        <w:t xml:space="preserve"> </w:t>
      </w:r>
      <w:r>
        <w:rPr>
          <w:b/>
          <w:bCs/>
        </w:rPr>
        <w:t xml:space="preserve">Post:</w:t>
      </w:r>
      <w:r>
        <w:t xml:space="preserve"> </w:t>
      </w:r>
      <w:r>
        <w:t xml:space="preserve">certificate contains fields</w:t>
      </w:r>
      <w:r>
        <w:t xml:space="preserve"> </w:t>
      </w:r>
      <w:r>
        <w:t xml:space="preserve">{</w:t>
      </w:r>
      <w:r>
        <w:rPr>
          <w:rStyle w:val="VerbatimChar"/>
        </w:rPr>
        <w:t xml:space="preserve">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w_t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intervened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prev_hash</w:t>
      </w:r>
      <w:r>
        <w:t xml:space="preserve">}.</w:t>
      </w:r>
      <w:r>
        <w:t xml:space="preserve"> </w:t>
      </w:r>
      <w:r>
        <w:rPr>
          <w:b/>
          <w:bCs/>
        </w:rPr>
        <w:t xml:space="preserve">Latency:</w:t>
      </w:r>
      <w:r>
        <w:t xml:space="preserve"> </w:t>
      </w:r>
      <m:oMath>
        <m:r>
          <m:rPr>
            <m:sty m:val="p"/>
          </m:rPr>
          <m:t>&lt;</m:t>
        </m:r>
        <m:r>
          <m:t>0.3</m:t>
        </m:r>
      </m:oMath>
      <w:r>
        <w:t xml:space="preserve"> ms.</w:t>
      </w:r>
    </w:p>
    <w:bookmarkEnd w:id="228"/>
    <w:bookmarkStart w:id="229" w:name="pipeline-diagram"/>
    <w:p>
      <w:pPr>
        <w:pStyle w:val="Heading3"/>
      </w:pPr>
      <w:r>
        <w:t xml:space="preserve">Pipeline Diagram</w:t>
      </w:r>
    </w:p>
    <w:p>
      <w:pPr>
        <w:pStyle w:val="FirstParagraph"/>
      </w:pPr>
      <w:r>
        <w:t xml:space="preserve">The six methods form a strict sequential pipeline within each dispatch</w:t>
      </w:r>
      <w:r>
        <w:t xml:space="preserve"> </w:t>
      </w:r>
      <w:r>
        <w:t xml:space="preserve">step:</w:t>
      </w:r>
    </w:p>
    <w:bookmarkEnd w:id="229"/>
    <w:bookmarkStart w:id="230" w:name="how-to-implement-a-new-domain-adapter"/>
    <w:p>
      <w:pPr>
        <w:pStyle w:val="Heading3"/>
      </w:pPr>
      <w:r>
        <w:t xml:space="preserve">How to Implement a New Domain Adapter</w:t>
      </w:r>
    </w:p>
    <w:p>
      <w:pPr>
        <w:pStyle w:val="FirstParagraph"/>
      </w:pPr>
      <w:r>
        <w:t xml:space="preserve">To extend ORIUS to a new CPS domain (e.g. HVAC, water treatment):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Subclass</w:t>
      </w:r>
      <w:r>
        <w:t xml:space="preserve"> </w:t>
      </w:r>
      <w:r>
        <w:rPr>
          <w:rStyle w:val="VerbatimChar"/>
        </w:rPr>
        <w:t xml:space="preserve">DomainAdapter</w:t>
      </w:r>
      <w:r>
        <w:t xml:space="preserve"> </w:t>
      </w:r>
      <w:r>
        <w:t xml:space="preserve">and implement the six</w:t>
      </w:r>
      <w:r>
        <w:t xml:space="preserve"> </w:t>
      </w:r>
      <w:r>
        <w:t xml:space="preserve">methods above with domain-specific parsing, quality scoring, and</w:t>
      </w:r>
      <w:r>
        <w:t xml:space="preserve"> </w:t>
      </w:r>
      <w:r>
        <w:t xml:space="preserve">constraint definitions.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Define the safety predicate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new</w:t>
      </w:r>
      <w:r>
        <w:t xml:space="preserve"> </w:t>
      </w:r>
      <w:r>
        <w:t xml:space="preserve">domain (e.g. temperature bounds for HVAC, chemical concentration</w:t>
      </w:r>
      <w:r>
        <w:t xml:space="preserve"> </w:t>
      </w:r>
      <w:r>
        <w:t xml:space="preserve">for water).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Specify plant dynamics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so that</w:t>
      </w:r>
      <w:r>
        <w:t xml:space="preserve"> </w:t>
      </w:r>
      <w:r>
        <w:rPr>
          <w:rStyle w:val="VerbatimChar"/>
        </w:rPr>
        <w:t xml:space="preserve">tighten_action_set</w:t>
      </w:r>
      <w:r>
        <w:t xml:space="preserve"> </w:t>
      </w:r>
      <w:r>
        <w:t xml:space="preserve">can compute forward-reachable states.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Calibrate the conformal module</w:t>
      </w:r>
      <w:r>
        <w:t xml:space="preserve"> </w:t>
      </w:r>
      <w:r>
        <w:t xml:space="preserve">on domain-specific</w:t>
      </w:r>
      <w:r>
        <w:t xml:space="preserve"> </w:t>
      </w:r>
      <w:r>
        <w:t xml:space="preserve">forecast residuals to obtain</w:t>
      </w:r>
      <w:r>
        <w:t xml:space="preserve"> </w:t>
      </w:r>
      <m:oMath>
        <m:sSub>
          <m:e>
            <m:r>
              <m:t>q</m:t>
            </m:r>
          </m:e>
          <m:sub>
            <m:r>
              <m:t>t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Configure</w:t>
      </w:r>
      <w:r>
        <w:t xml:space="preserve"> </w:t>
      </w:r>
      <w:r>
        <w:rPr>
          <w:rStyle w:val="VerbatimChar"/>
        </w:rPr>
        <w:t xml:space="preserve">configs/dc3s.yaml</w:t>
      </w:r>
      <w:r>
        <w:t xml:space="preserve"> </w:t>
      </w:r>
      <w:r>
        <w:t xml:space="preserve">with</w:t>
      </w:r>
      <w:r>
        <w:t xml:space="preserve"> </w:t>
      </w:r>
      <w:r>
        <w:t xml:space="preserve">domain-appropriate thresholds (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m:oMath>
        <m:r>
          <m:t>α</m:t>
        </m:r>
      </m:oMath>
      <w:r>
        <w:t xml:space="preserve">).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Register</w:t>
      </w:r>
      <w:r>
        <w:t xml:space="preserve"> </w:t>
      </w:r>
      <w:r>
        <w:t xml:space="preserve">the adapter in the CPSBench runner so that</w:t>
      </w:r>
      <w:r>
        <w:t xml:space="preserve"> </w:t>
      </w:r>
      <w:r>
        <w:t xml:space="preserve">the evaluation harness discovers it automatically.</w:t>
      </w:r>
    </w:p>
    <w:p>
      <w:pPr>
        <w:pStyle w:val="FirstParagraph"/>
      </w:pPr>
      <w:r>
        <w:t xml:space="preserve">The battery adapter in</w:t>
      </w:r>
      <w:r>
        <w:t xml:space="preserve"> </w:t>
      </w:r>
      <w:r>
        <w:rPr>
          <w:rStyle w:val="VerbatimChar"/>
        </w:rPr>
        <w:t xml:space="preserve">src/orius/dc3s/</w:t>
      </w:r>
      <w:r>
        <w:t xml:space="preserve"> </w:t>
      </w:r>
      <w:r>
        <w:t xml:space="preserve">serves as the canonical reference.</w:t>
      </w:r>
      <w:r>
        <w:t xml:space="preserve"> </w:t>
      </w:r>
      <w:r>
        <w:t xml:space="preserve">All six methods, their unit tests, and integration tests are documented</w:t>
      </w:r>
      <w:r>
        <w:t xml:space="preserve"> </w:t>
      </w:r>
      <w:r>
        <w:t xml:space="preserve">in the code-level API reference</w:t>
      </w:r>
      <w:r>
        <w:t xml:space="preserve"> </w:t>
      </w:r>
      <w:r>
        <w:t xml:space="preserve">(plan document</w:t>
      </w:r>
      <w:r>
        <w:t xml:space="preserve"> </w:t>
      </w:r>
      <w:r>
        <w:rPr>
          <w:rStyle w:val="VerbatimChar"/>
        </w:rPr>
        <w:t xml:space="preserve">orius-plan/04-core-apis.md</w:t>
      </w:r>
      <w:r>
        <w:t xml:space="preserve">).</w:t>
      </w:r>
    </w:p>
    <w:bookmarkEnd w:id="230"/>
    <w:bookmarkEnd w:id="231"/>
    <w:bookmarkStart w:id="236" w:name="app:four-reviewer-audit"/>
    <w:p>
      <w:pPr>
        <w:pStyle w:val="Heading2"/>
      </w:pPr>
      <w:r>
        <w:t xml:space="preserve">Simulated 15-Reviewer Audit Protocol</w:t>
      </w:r>
    </w:p>
    <w:p>
      <w:pPr>
        <w:pStyle w:val="FirstParagraph"/>
      </w:pPr>
      <w:r>
        <w:t xml:space="preserve">This appendix records the canonical simulated review program for the live</w:t>
      </w:r>
      <w:r>
        <w:t xml:space="preserve"> </w:t>
      </w:r>
      <w:r>
        <w:t xml:space="preserve">ORIUS defense package. The review is executed in three waves of five</w:t>
      </w:r>
      <w:r>
        <w:t xml:space="preserve"> </w:t>
      </w:r>
      <w:r>
        <w:t xml:space="preserve">reviewer lenses each. Its job is not to declare theorems</w:t>
      </w:r>
      <w:r>
        <w:t xml:space="preserve"> </w:t>
      </w:r>
      <w:r>
        <w:t xml:space="preserve">“proved”</w:t>
      </w:r>
      <w:r>
        <w:t xml:space="preserve"> </w:t>
      </w:r>
      <w:r>
        <w:t xml:space="preserve">by</w:t>
      </w:r>
      <w:r>
        <w:t xml:space="preserve"> </w:t>
      </w:r>
      <w:r>
        <w:t xml:space="preserve">committee vote; its job is to pressure-test the defended surface against</w:t>
      </w:r>
      <w:r>
        <w:t xml:space="preserve"> </w:t>
      </w:r>
      <w:r>
        <w:t xml:space="preserve">logic drift, code/prose mismatch, scope inflation, and artifact drift.</w:t>
      </w:r>
    </w:p>
    <w:p>
      <w:pPr>
        <w:pStyle w:val="BodyText"/>
      </w:pPr>
      <w:r>
        <w:t xml:space="preserve">The defended package is the active Battery + AV + Healthcare lane plus the</w:t>
      </w:r>
      <w:r>
        <w:t xml:space="preserve"> </w:t>
      </w:r>
      <w:r>
        <w:t xml:space="preserve">registry-canonical theorem-core split: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flagship defended</w:t>
      </w:r>
      <w:r>
        <w:t xml:space="preserve">: T1, T2, T3a, T4, T6, T7, T11, T_trajectory_PAC,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supporting defended</w:t>
      </w:r>
      <w:r>
        <w:t xml:space="preserve">: T3b, T8, T11</w:t>
      </w:r>
      <w:r>
        <w:rPr>
          <w:vertAlign w:val="subscript"/>
        </w:rPr>
        <w:t xml:space="preserve">Byz</w:t>
      </w:r>
      <w:r>
        <w:t xml:space="preserve">, T</w:t>
      </w:r>
      <w:r>
        <w:rPr>
          <w:vertAlign w:val="subscript"/>
        </w:rPr>
        <w:t xml:space="preserve">stale</w:t>
      </w:r>
      <w:r>
        <w:t xml:space="preserve">,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draft / non-defended</w:t>
      </w:r>
      <w:r>
        <w:t xml:space="preserve">: all remaining extension or open theorem surfaces.</w:t>
      </w:r>
    </w:p>
    <w:p>
      <w:pPr>
        <w:pStyle w:val="FirstParagraph"/>
      </w:pPr>
      <w:r>
        <w:t xml:space="preserve">All findings must terminate in exactly one disposition: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fixed in code/tests</w:t>
      </w:r>
      <w:r>
        <w:t xml:space="preserve">: the executable surface was corrected,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narrowed in prose/registers</w:t>
      </w:r>
      <w:r>
        <w:t xml:space="preserve">: the claim was reduced to match repo truth, or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left open as bounded future work</w:t>
      </w:r>
      <w:r>
        <w:t xml:space="preserve">: the claim remains outside the defended surface.</w:t>
      </w:r>
    </w:p>
    <w:bookmarkStart w:id="232" w:name="reviewer-role-matrix"/>
    <w:p>
      <w:pPr>
        <w:pStyle w:val="Heading3"/>
      </w:pPr>
      <w:r>
        <w:t xml:space="preserve">Reviewer-Role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Reviewer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attack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Canonical pressure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Reviewer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attack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Canonical pressure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/ mathematics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hidden assumptions, circular dependence, false converse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T3, T9, T10, extension-law proofs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Statistics /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semantics, grouped-coverage drift, same-data 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conformal, Mondrian, conditional-coverage prose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/ safety filtering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semantics, repair soundness, per-step runtime guarantees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shield, AV fallback, T7/T8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Systems / 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integrity, runtime lifecycle, evidence discipline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Makefile</w:t>
            </w:r>
            <w:r>
              <w:t xml:space="preserve">, review build path, artifact generators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team / 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vacuous success, sanitization, silent theorem-helper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bins, input clamping, half-life surface split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 / OQE skepticism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reliability grounding, law-vs-code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OQE, L1–L4, README and summary prose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Fano/Le Cam misuse, proxy bridges presented as proofs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L1, L2, L3, L4, T_minimax, T_sensor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methods 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 gate vs traceability gate, audited-vs-verified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theorem gate, Appendix 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/ overclaim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defended-domain inflation, readiness inflation, publication rhetoric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abstract, universality chapters, review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Cross-theorem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theorem-law dependency drift, stale inventory surfaces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theorem register, Appendix C, active audit, register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 realism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witness-row assumptions, fallback/slack boundaries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 theorem ladder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 realism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 longitudinal contract vs full-AV wording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 adapter, TTC contract, closure prose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Healthcare / statistical gaps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tier, calibration posture, domain-status honesty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healthcare row and related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Reproducibility /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hash-locking, generated-asset drift, build determinism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publication artifacts and generators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Long-horizon 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survives repo drift in five or ten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theorem-local assumptions, future-work boundaries</w:t>
            </w:r>
          </w:p>
        </w:tc>
      </w:tr>
    </w:tbl>
    <w:bookmarkEnd w:id="232"/>
    <w:bookmarkStart w:id="233" w:name="master-vulnerability-register"/>
    <w:p>
      <w:pPr>
        <w:pStyle w:val="Heading3"/>
      </w:pPr>
      <w:r>
        <w:t xml:space="preserve">Master Vulnerability Register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review-compile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paper-compile</w:t>
            </w:r>
            <w:r>
              <w:t xml:space="preserve"> </w:t>
            </w:r>
            <w:r>
              <w:t xml:space="preserve">failed open on LaTeX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in code/tests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removed fail-open shell prefixes in the canonical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  <w:r>
              <w:t xml:space="preserve"> </w:t>
            </w:r>
            <w:r>
              <w:t xml:space="preserve">build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C claimed a Ville/supermartingale trajectory proof not matched by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in code/tests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narrowed T_trajectory_PAC to the executable Bonferroni/union-bound certificate in code, tests, and Appendix 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integrated theorem gate presented a traceability check as a proof-verification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in code/tests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relabeled the gate as a traceability-release gate and preserved proof rigor in the active audit instead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 extension laws were stronger than the repo can defend 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narrowed in prose/registers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 C, Appendix M, the law helpers, and the active audit now mark them as stylized/proxy surfaces, not closed converses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T_minimax and T_sensor inherited the open L1/L2 bridge but were written as defended converses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in code/tests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theorem helpers now mark the converse gap as open; Appendix C and Appendix M preserve the narrower posture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theorem-law dependency graph and active inventory were stale relative to Appendix 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in code/tests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theorem register, theorem-surface validator, and active audit inventory are synchronized to the live appendix surface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Review-package language overstated publication/thesis readiness while the repo still carried open scope gaps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narrowed in prose/registers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review appendix and generated dossier now describe bounded readiness and explicit dispositions instead of blanket readiness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Domain-evidence rhetoric still drifted beyond the governed three-domain 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narrowed in prose/registers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defense package now treats Battery as witness row and AV plus Healthcare as the only promoted bounded rows in the live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T8/T9/T10/T11 prose was stronger than the executable witnesses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narrowed in prose/registers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 M now reports the promoted T6/T7 rows separately from the remaining scoped / hole / partial surfaces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Several extension helpers were algebraically useful but semantically overstated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in code/tests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helper docstrings, summaries, and register metadata now distinguish executable witness, stylized proxy, and defended theorem surfaces</w:t>
            </w:r>
          </w:p>
        </w:tc>
      </w:tr>
    </w:tbl>
    <w:bookmarkEnd w:id="233"/>
    <w:bookmarkStart w:id="234" w:name="response-concession-matrix"/>
    <w:p>
      <w:pPr>
        <w:pStyle w:val="Heading3"/>
      </w:pPr>
      <w:r>
        <w:t xml:space="preserve">Response / Concession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it means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Examples in this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in code/tests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 semantics, theorem helper, or build path changed and regression tests were 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fail-closed build; traceability-gate relabel; Bonferroni PAC alignment; parent-law drift removal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Narrowed in prose/registers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Manuscript/register language was reduced to match current executable and artifact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 C law/theorem wording; Appendix M audit posture; readiness language in the defense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Bounded future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remains visible only as an explicit open problem, not a defended contribution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converse for L1/L2; sharper minimax lower side; stronger martingale trajectory certificate</w:t>
            </w:r>
          </w:p>
        </w:tc>
      </w:tr>
    </w:tbl>
    <w:bookmarkEnd w:id="234"/>
    <w:bookmarkStart w:id="235" w:name="final-disposition-summary"/>
    <w:p>
      <w:pPr>
        <w:pStyle w:val="Heading3"/>
      </w:pPr>
      <w:r>
        <w:t xml:space="preserve">Final Disposition Summary</w:t>
      </w:r>
    </w:p>
    <w:p>
      <w:pPr>
        <w:pStyle w:val="FirstParagraph"/>
      </w:pPr>
      <w:r>
        <w:t xml:space="preserve">The simulated 15-reviewer audit does not certify that every theorem is</w:t>
      </w:r>
      <w:r>
        <w:t xml:space="preserve"> </w:t>
      </w:r>
      <w:r>
        <w:t xml:space="preserve">fully rigorous. It certifies something narrower and more useful:</w:t>
      </w:r>
    </w:p>
    <w:p>
      <w:pPr>
        <w:numPr>
          <w:ilvl w:val="0"/>
          <w:numId w:val="1027"/>
        </w:numPr>
      </w:pPr>
      <w:r>
        <w:t xml:space="preserve">the canonical defense package is built on the repo-truthful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review-compile</w:t>
      </w:r>
      <w:r>
        <w:t xml:space="preserve">),</w:t>
      </w:r>
    </w:p>
    <w:p>
      <w:pPr>
        <w:numPr>
          <w:ilvl w:val="0"/>
          <w:numId w:val="1027"/>
        </w:numPr>
      </w:pPr>
      <w:r>
        <w:t xml:space="preserve">proof rigor is tracked by the active theorem audit rather than by a</w:t>
      </w:r>
      <w:r>
        <w:t xml:space="preserve"> </w:t>
      </w:r>
      <w:r>
        <w:t xml:space="preserve">traceability gate pretending to be a proof checker,</w:t>
      </w:r>
    </w:p>
    <w:p>
      <w:pPr>
        <w:numPr>
          <w:ilvl w:val="0"/>
          <w:numId w:val="1027"/>
        </w:numPr>
      </w:pPr>
      <w:r>
        <w:t xml:space="preserve">extension laws and depth theorems are included only with their</w:t>
      </w:r>
      <w:r>
        <w:t xml:space="preserve"> </w:t>
      </w:r>
      <w:r>
        <w:t xml:space="preserve">current bounded posture, and</w:t>
      </w:r>
    </w:p>
    <w:p>
      <w:pPr>
        <w:numPr>
          <w:ilvl w:val="0"/>
          <w:numId w:val="1027"/>
        </w:numPr>
      </w:pPr>
      <w:r>
        <w:t xml:space="preserve">any row that still lacks code, tests, register alignment, and proof</w:t>
      </w:r>
      <w:r>
        <w:t xml:space="preserve"> </w:t>
      </w:r>
      <w:r>
        <w:t xml:space="preserve">alignment is explicitly narrowed or left open.</w:t>
      </w:r>
    </w:p>
    <w:p>
      <w:pPr>
        <w:pStyle w:val="FirstParagraph"/>
      </w:pPr>
      <w:r>
        <w:t xml:space="preserve">That is the defended posture of the live repository after hardening: a</w:t>
      </w:r>
      <w:r>
        <w:t xml:space="preserve"> </w:t>
      </w:r>
      <w:r>
        <w:t xml:space="preserve">bounded, auditable theorem-and-artifact surface rather than a rhetorically</w:t>
      </w:r>
      <w:r>
        <w:t xml:space="preserve"> </w:t>
      </w:r>
      <w:r>
        <w:t xml:space="preserve">closed one.</w:t>
      </w:r>
    </w:p>
    <w:bookmarkEnd w:id="235"/>
    <w:bookmarkEnd w:id="236"/>
    <w:bookmarkStart w:id="254" w:name="app:verified-theorems-gap-audit"/>
    <w:p>
      <w:pPr>
        <w:pStyle w:val="Heading2"/>
      </w:pPr>
      <w:r>
        <w:t xml:space="preserve">Audited Theorems and Gap Register</w:t>
      </w:r>
    </w:p>
    <w:p>
      <w:pPr>
        <w:pStyle w:val="FirstParagraph"/>
      </w:pPr>
      <w:r>
        <w:t xml:space="preserve">This appendix is the human-readable companion to the machine-generated</w:t>
      </w:r>
      <w:r>
        <w:t xml:space="preserve"> </w:t>
      </w:r>
      <w:r>
        <w:t xml:space="preserve">active theorem audit in</w:t>
      </w:r>
      <w:r>
        <w:t xml:space="preserve"> </w:t>
      </w:r>
      <w:r>
        <w:rPr>
          <w:rStyle w:val="VerbatimChar"/>
        </w:rPr>
        <w:t xml:space="preserve">reports/publication/active_theorem_audit.*</w:t>
      </w:r>
      <w:r>
        <w:t xml:space="preserve">.</w:t>
      </w:r>
      <w:r>
        <w:t xml:space="preserve"> </w:t>
      </w:r>
      <w:r>
        <w:t xml:space="preserve">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treat the live theorem inventory as one flat ladder.</w:t>
      </w:r>
      <w:r>
        <w:t xml:space="preserve"> </w:t>
      </w:r>
      <w:r>
        <w:t xml:space="preserve">Instead it mirrors the registry-canonical split emitted by</w:t>
      </w:r>
      <w:r>
        <w:t xml:space="preserve"> </w:t>
      </w:r>
      <w:r>
        <w:rPr>
          <w:rStyle w:val="VerbatimChar"/>
        </w:rPr>
        <w:t xml:space="preserve">defended_theorem_core.*</w:t>
      </w:r>
      <w:r>
        <w:t xml:space="preserve">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Flagship defended</w:t>
      </w:r>
      <w:r>
        <w:t xml:space="preserve">: T1, T2, T3a, T4, T6, T7, T11, and T_trajectory_PAC.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Supporting defended</w:t>
      </w:r>
      <w:r>
        <w:t xml:space="preserve">: T3b, T8, T11</w:t>
      </w:r>
      <w:r>
        <w:rPr>
          <w:vertAlign w:val="subscript"/>
        </w:rPr>
        <w:t xml:space="preserve">Byz</w:t>
      </w:r>
      <w:r>
        <w:t xml:space="preserve">, and T</w:t>
      </w:r>
      <w:r>
        <w:rPr>
          <w:vertAlign w:val="subscript"/>
        </w:rPr>
        <w:t xml:space="preserve">stale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Draft / non-defended</w:t>
      </w:r>
      <w:r>
        <w:t xml:space="preserve">: T5, T9, T10, L1–L4,</w:t>
      </w:r>
      <w:r>
        <w:t xml:space="preserve"> </w:t>
      </w:r>
      <w:r>
        <w:t xml:space="preserve">T</w:t>
      </w:r>
      <w:r>
        <w:rPr>
          <w:vertAlign w:val="subscript"/>
        </w:rPr>
        <w:t xml:space="preserve">minimax</w:t>
      </w:r>
      <w:r>
        <w:t xml:space="preserve">, and T</w:t>
      </w:r>
      <w:r>
        <w:rPr>
          <w:vertAlign w:val="subscript"/>
        </w:rPr>
        <w:t xml:space="preserve">sensor</w:t>
      </w:r>
      <w:r>
        <w:t xml:space="preserve">.</w:t>
      </w:r>
    </w:p>
    <w:p>
      <w:pPr>
        <w:pStyle w:val="FirstParagraph"/>
      </w:pPr>
      <w:r>
        <w:t xml:space="preserve">This appendix audits the full live surface, but only the flagship and</w:t>
      </w:r>
      <w:r>
        <w:t xml:space="preserve"> </w:t>
      </w:r>
      <w:r>
        <w:t xml:space="preserve">supporting tiers belong to the defended June core. The draft tier remains</w:t>
      </w:r>
      <w:r>
        <w:t xml:space="preserve"> </w:t>
      </w:r>
      <w:r>
        <w:t xml:space="preserve">visible to prevent hidden drift, not to inflate the headline theorem count.</w:t>
      </w:r>
    </w:p>
    <w:p>
      <w:pPr>
        <w:pStyle w:val="BodyText"/>
      </w:pPr>
      <w:r>
        <w:t xml:space="preserve">The certificate half-life remains a corollary, and safe-budget monotonicity</w:t>
      </w:r>
      <w:r>
        <w:t xml:space="preserve"> </w:t>
      </w:r>
      <w:r>
        <w:t xml:space="preserve">remains a proposition. The tracked integrated theorem surface register still</w:t>
      </w:r>
      <w:r>
        <w:t xml:space="preserve"> </w:t>
      </w:r>
      <w:r>
        <w:t xml:space="preserve">audits the older hard-gated traceability surface, but it is a</w:t>
      </w:r>
      <w:r>
        <w:t xml:space="preserve"> </w:t>
      </w:r>
      <w:r>
        <w:rPr>
          <w:i/>
          <w:iCs/>
        </w:rPr>
        <w:t xml:space="preserve">traceability gate</w:t>
      </w:r>
      <w:r>
        <w:t xml:space="preserve">, not a proof-soundness gate.</w:t>
      </w:r>
    </w:p>
    <w:bookmarkStart w:id="249" w:name="theorem-statements"/>
    <w:p>
      <w:pPr>
        <w:pStyle w:val="Heading3"/>
      </w:pPr>
      <w:r>
        <w:t xml:space="preserve">Theorem Statements</w:t>
      </w:r>
    </w:p>
    <w:bookmarkStart w:id="237" w:name="sec:thm-oasg"/>
    <w:p>
      <w:pPr>
        <w:pStyle w:val="Heading4"/>
      </w:pPr>
      <w:r>
        <w:t xml:space="preserve">Theorem 1: OASG Existence</w:t>
      </w:r>
    </w:p>
    <w:p>
      <w:pPr>
        <w:pStyle w:val="FirstParagraph"/>
      </w:pPr>
      <w:r>
        <w:rPr>
          <w:b/>
          <w:bCs/>
        </w:rPr>
        <w:t xml:space="preserve">Statement.</w:t>
      </w:r>
      <w:r>
        <w:t xml:space="preserve"> </w:t>
      </w:r>
      <w:r>
        <w:t xml:space="preserve">There exist scenarios where an action appears safe in observed state but is unsafe in true physical state. Formally: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episodes with degraded telemetry such that</w:t>
      </w:r>
      <w:r>
        <w:t xml:space="preserve"> </w:t>
      </w:r>
      <m:oMath>
        <m:r>
          <m:rPr>
            <m:nor/>
            <m:sty m:val="p"/>
          </m:rPr>
          <m:t>observed-safe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nor/>
            <m:sty m:val="p"/>
          </m:rPr>
          <m:t>true-safe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rPr>
                <m:nor/>
                <m:sty m:val="p"/>
              </m:rPr>
              <m:t>true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Assumptions.</w:t>
      </w:r>
      <w:r>
        <w:t xml:space="preserve"> </w:t>
      </w:r>
      <w:r>
        <w:t xml:space="preserve">A2 (bounded telemetry error), A4 (known dynamics). Fault injection produces non-trivial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rPr>
                <m:nor/>
                <m:sty m:val="p"/>
              </m:rPr>
              <m:t>true</m:t>
            </m:r>
          </m:sub>
        </m:sSub>
      </m:oMath>
      <w:r>
        <w:t xml:space="preserve"> </w:t>
      </w:r>
      <w:r>
        <w:t xml:space="preserve">separation.</w:t>
      </w:r>
    </w:p>
    <w:p>
      <w:pPr>
        <w:pStyle w:val="BodyText"/>
      </w:pPr>
      <w:r>
        <w:rPr>
          <w:b/>
          <w:bCs/>
        </w:rPr>
        <w:t xml:space="preserve">Proof status.</w:t>
      </w:r>
      <w:r>
        <w:t xml:space="preserve"> </w:t>
      </w:r>
      <w:r>
        <w:t xml:space="preserve">Structural: code explicitly separates observed and true state; empirical: violation rates under dropout/drift exceed nominal.</w:t>
      </w:r>
    </w:p>
    <w:p>
      <w:pPr>
        <w:pStyle w:val="BodyText"/>
      </w:pPr>
      <w:r>
        <w:rPr>
          <w:b/>
          <w:bCs/>
        </w:rPr>
        <w:t xml:space="preserve">Code anchor.</w:t>
      </w:r>
      <w:r>
        <w:t xml:space="preserve"> </w:t>
      </w:r>
      <w:r>
        <w:rPr>
          <w:rStyle w:val="VerbatimChar"/>
        </w:rPr>
        <w:t xml:space="preserve">src/orius/cpsbench_iot/</w:t>
      </w:r>
      <w:r>
        <w:t xml:space="preserve">:</w:t>
      </w:r>
      <w:r>
        <w:t xml:space="preserve"> </w:t>
      </w:r>
      <w:r>
        <w:rPr>
          <w:rStyle w:val="VerbatimChar"/>
        </w:rPr>
        <w:t xml:space="preserve">scenarios.py</w:t>
      </w:r>
      <w:r>
        <w:t xml:space="preserve"> </w:t>
      </w:r>
      <w:r>
        <w:t xml:space="preserve">(fault generation,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true</m:t>
            </m:r>
          </m:sub>
        </m:sSub>
      </m:oMath>
      <w:r>
        <w:t xml:space="preserve">,</w:t>
      </w:r>
      <w:r>
        <w:t xml:space="preserve"> </w:t>
      </w:r>
      <w:r>
        <w:rPr>
          <w:rStyle w:val="VerbatimChar"/>
        </w:rPr>
        <w:t xml:space="preserve">event_log</w:t>
      </w:r>
      <w:r>
        <w:t xml:space="preserve">);</w:t>
      </w:r>
      <w:r>
        <w:t xml:space="preserve"> </w:t>
      </w:r>
      <w:r>
        <w:rPr>
          <w:rStyle w:val="VerbatimChar"/>
        </w:rPr>
        <w:t xml:space="preserve">plant.py</w:t>
      </w:r>
      <w:r>
        <w:t xml:space="preserve"> </w:t>
      </w:r>
      <w:r>
        <w:t xml:space="preserve">(unclamped truth SOC in</w:t>
      </w:r>
      <w:r>
        <w:t xml:space="preserve"> </w:t>
      </w:r>
      <w:r>
        <w:rPr>
          <w:rStyle w:val="VerbatimChar"/>
        </w:rPr>
        <w:t xml:space="preserve">BatteryPlant.step()</w:t>
      </w:r>
      <w:r>
        <w:t xml:space="preserve">);</w:t>
      </w:r>
      <w:r>
        <w:t xml:space="preserve"> </w:t>
      </w:r>
      <w:r>
        <w:rPr>
          <w:rStyle w:val="VerbatimChar"/>
        </w:rPr>
        <w:t xml:space="preserve">runner.py</w:t>
      </w:r>
      <w:r>
        <w:t xml:space="preserve"> </w:t>
      </w:r>
      <w:r>
        <w:t xml:space="preserve">(true-state violation computation).</w:t>
      </w:r>
    </w:p>
    <w:bookmarkEnd w:id="237"/>
    <w:bookmarkStart w:id="238" w:name="sec:thm-safety-preservation"/>
    <w:p>
      <w:pPr>
        <w:pStyle w:val="Heading4"/>
      </w:pPr>
      <w:r>
        <w:t xml:space="preserve">Theorem 2: One-Step Safety Preservation</w:t>
      </w:r>
    </w:p>
    <w:p>
      <w:pPr>
        <w:pStyle w:val="FirstParagraph"/>
      </w:pPr>
      <w:r>
        <w:rPr>
          <w:b/>
          <w:bCs/>
        </w:rPr>
        <w:t xml:space="preserve">Statement.</w:t>
      </w:r>
      <w:r>
        <w:t xml:space="preserve"> </w:t>
      </w:r>
      <w:r>
        <w:t xml:space="preserve">If the repaired action lies inside the tightened safe set</w:t>
      </w:r>
      <w:r>
        <w:t xml:space="preserve"> </w:t>
      </w:r>
      <w:r>
        <w:t xml:space="preserve">and the current state lies inside the inflated certificate, then the next</w:t>
      </w:r>
      <w:r>
        <w:t xml:space="preserve"> </w:t>
      </w:r>
      <w:r>
        <w:t xml:space="preserve">battery state remains safe.</w:t>
      </w:r>
    </w:p>
    <w:p>
      <w:pPr>
        <w:pStyle w:val="BodyText"/>
      </w:pPr>
      <w:r>
        <w:rPr>
          <w:b/>
          <w:bCs/>
        </w:rPr>
        <w:t xml:space="preserve">Assumptions.</w:t>
      </w:r>
      <w:r>
        <w:t xml:space="preserve"> </w:t>
      </w:r>
      <w:r>
        <w:t xml:space="preserve">A1–A5, A7.</w:t>
      </w:r>
    </w:p>
    <w:p>
      <w:pPr>
        <w:pStyle w:val="BodyText"/>
      </w:pPr>
      <w:r>
        <w:rPr>
          <w:b/>
          <w:bCs/>
        </w:rPr>
        <w:t xml:space="preserve">Proof status.</w:t>
      </w:r>
      <w:r>
        <w:t xml:space="preserve"> </w:t>
      </w:r>
      <w:r>
        <w:t xml:space="preserve">Proved as a conditional one-step theorem plus</w:t>
      </w:r>
      <w:r>
        <w:t xml:space="preserve"> </w:t>
      </w:r>
      <w:r>
        <w:t xml:space="preserve">deterministic runtime guarantee checks. Coverage frequency is supplied</w:t>
      </w:r>
      <w:r>
        <w:t xml:space="preserve"> </w:t>
      </w:r>
      <w:r>
        <w:t xml:space="preserve">separately and is not bundled into T2.</w:t>
      </w:r>
    </w:p>
    <w:p>
      <w:pPr>
        <w:pStyle w:val="BodyText"/>
      </w:pPr>
      <w:r>
        <w:rPr>
          <w:b/>
          <w:bCs/>
        </w:rPr>
        <w:t xml:space="preserve">Code anchor.</w:t>
      </w:r>
      <w:r>
        <w:t xml:space="preserve"> </w:t>
      </w:r>
      <w:r>
        <w:rPr>
          <w:rStyle w:val="VerbatimChar"/>
        </w:rPr>
        <w:t xml:space="preserve">src/orius/dc3s/guarantee_checks.py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src/orius/dc3s/shield.py</w:t>
      </w:r>
      <w:r>
        <w:t xml:space="preserve">.</w:t>
      </w:r>
    </w:p>
    <w:bookmarkEnd w:id="238"/>
    <w:bookmarkStart w:id="239" w:name="sec:thm-core-bound"/>
    <w:p>
      <w:pPr>
        <w:pStyle w:val="Heading4"/>
      </w:pPr>
      <w:r>
        <w:t xml:space="preserve">Theorem 3a: ORIUS Core Envelope Derivation</w:t>
      </w:r>
    </w:p>
    <w:p>
      <w:pPr>
        <w:pStyle w:val="FirstParagraph"/>
      </w:pPr>
      <w:r>
        <w:rPr>
          <w:b/>
          <w:bCs/>
        </w:rPr>
        <w:t xml:space="preserve">Statement.</w:t>
      </w:r>
      <w:r>
        <w:t xml:space="preserve"> </w:t>
      </w:r>
      <w:r>
        <w:t xml:space="preserve">The active defended T3a surface is the per-step envelope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ℙ</m:t>
          </m:r>
          <m:r>
            <m:rPr>
              <m:sty m:val="p"/>
            </m:rPr>
            <m:t>[</m:t>
          </m:r>
          <m:sSub>
            <m:e>
              <m: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rPr>
                  <m:scr m:val="script"/>
                  <m:sty m:val="p"/>
                </m:rPr>
                <m:t>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under the explicit battery risk-budget contract and the narrowed</w:t>
      </w:r>
      <w:r>
        <w:t xml:space="preserve"> </w:t>
      </w:r>
      <w:r>
        <w:t xml:space="preserve">reliability-score interpretation.</w:t>
      </w:r>
    </w:p>
    <w:p>
      <w:pPr>
        <w:pStyle w:val="BodyText"/>
      </w:pPr>
      <w:r>
        <w:rPr>
          <w:b/>
          <w:bCs/>
        </w:rPr>
        <w:t xml:space="preserve">Assumptions.</w:t>
      </w:r>
      <w:r>
        <w:t xml:space="preserve"> </w:t>
      </w:r>
      <w:r>
        <w:t xml:space="preserve">A1, A2, A4, A5, A6, A7, A9, plus the theorem-local</w:t>
      </w:r>
      <w:r>
        <w:t xml:space="preserve"> </w:t>
      </w:r>
      <w:r>
        <w:t xml:space="preserve">battery calibration bridge recorded in the active theorem audit.</w:t>
      </w:r>
    </w:p>
    <w:p>
      <w:pPr>
        <w:pStyle w:val="BodyText"/>
      </w:pPr>
      <w:r>
        <w:rPr>
          <w:b/>
          <w:bCs/>
        </w:rPr>
        <w:t xml:space="preserve">Proof status.</w:t>
      </w:r>
      <w:r>
        <w:t xml:space="preserve"> </w:t>
      </w:r>
      <w:r>
        <w:t xml:space="preserve">Paper-rigorous flagship theorem with explicit runtime</w:t>
      </w:r>
      <w:r>
        <w:t xml:space="preserve"> </w:t>
      </w:r>
      <w:r>
        <w:t xml:space="preserve">contract reporting. The code now emits a theorem-contract summary that checks</w:t>
      </w:r>
      <w:r>
        <w:t xml:space="preserve"> </w:t>
      </w:r>
      <w:r>
        <w:t xml:space="preserve">the executable envelope algebra and keeps the calibration bridge explicit as a</w:t>
      </w:r>
      <w:r>
        <w:t xml:space="preserve"> </w:t>
      </w:r>
      <w:r>
        <w:t xml:space="preserve">declared theorem-local contract rather than hiding it inside generic conformal</w:t>
      </w:r>
      <w:r>
        <w:t xml:space="preserve"> </w:t>
      </w:r>
      <w:r>
        <w:t xml:space="preserve">language.</w:t>
      </w:r>
    </w:p>
    <w:p>
      <w:pPr>
        <w:pStyle w:val="BodyText"/>
      </w:pPr>
      <w:r>
        <w:rPr>
          <w:b/>
          <w:bCs/>
        </w:rPr>
        <w:t xml:space="preserve">Code anchor.</w:t>
      </w:r>
      <w:r>
        <w:t xml:space="preserve"> </w:t>
      </w:r>
      <w:r>
        <w:rPr>
          <w:rStyle w:val="VerbatimChar"/>
        </w:rPr>
        <w:t xml:space="preserve">src/orius/universal_theory/risk_bounds.py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build_t3a_contract_summary()</w:t>
      </w:r>
      <w:r>
        <w:t xml:space="preserve">), plus the backward-compatible</w:t>
      </w:r>
      <w:r>
        <w:t xml:space="preserve"> </w:t>
      </w:r>
      <w:r>
        <w:t xml:space="preserve">wrapper</w:t>
      </w:r>
      <w:r>
        <w:t xml:space="preserve"> </w:t>
      </w:r>
      <w:r>
        <w:rPr>
          <w:rStyle w:val="VerbatimChar"/>
        </w:rPr>
        <w:t xml:space="preserve">src/orius/dc3s/coverage_theorem.py</w:t>
      </w:r>
      <w:r>
        <w:t xml:space="preserve">.</w:t>
      </w:r>
    </w:p>
    <w:bookmarkEnd w:id="239"/>
    <w:bookmarkStart w:id="240" w:name="sec:thm-core-bound-aggregation"/>
    <w:p>
      <w:pPr>
        <w:pStyle w:val="Heading4"/>
      </w:pPr>
      <w:r>
        <w:t xml:space="preserve">Corollary 3b: ORIUS Core Aggregation Corollary</w:t>
      </w:r>
    </w:p>
    <w:p>
      <w:pPr>
        <w:pStyle w:val="FirstParagraph"/>
      </w:pPr>
      <w:r>
        <w:rPr>
          <w:b/>
          <w:bCs/>
        </w:rPr>
        <w:t xml:space="preserve">Statement.</w:t>
      </w:r>
      <w:r>
        <w:t xml:space="preserve"> </w:t>
      </w:r>
      <w:r>
        <w:t xml:space="preserve">Aggregating the predictable per-step budget from T3a gives</w:t>
      </w:r>
      <w:r>
        <w:t xml:space="preserve"> </w:t>
      </w:r>
      <w:r>
        <w:t xml:space="preserve">the episode envelope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t>V</m:t>
          </m:r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Assumptions.</w:t>
      </w:r>
      <w:r>
        <w:t xml:space="preserve"> </w:t>
      </w:r>
      <w:r>
        <w:t xml:space="preserve">The assumptions of T3a, plus linearity of expectation.</w:t>
      </w:r>
    </w:p>
    <w:p>
      <w:pPr>
        <w:pStyle w:val="BodyText"/>
      </w:pPr>
      <w:r>
        <w:rPr>
          <w:b/>
          <w:bCs/>
        </w:rPr>
        <w:t xml:space="preserve">Proof status.</w:t>
      </w:r>
      <w:r>
        <w:t xml:space="preserve"> </w:t>
      </w:r>
      <w:r>
        <w:t xml:space="preserve">Supporting defended corollary. Once T3a is fixed, the</w:t>
      </w:r>
      <w:r>
        <w:t xml:space="preserve"> </w:t>
      </w:r>
      <w:r>
        <w:t xml:space="preserve">aggregation is algebraic bookkeeping rather than a new theorem burden.</w:t>
      </w:r>
    </w:p>
    <w:p>
      <w:pPr>
        <w:pStyle w:val="BodyText"/>
      </w:pPr>
      <w:r>
        <w:rPr>
          <w:b/>
          <w:bCs/>
        </w:rPr>
        <w:t xml:space="preserve">Code anchor.</w:t>
      </w:r>
      <w:r>
        <w:t xml:space="preserve"> </w:t>
      </w:r>
      <w:r>
        <w:rPr>
          <w:rStyle w:val="VerbatimChar"/>
        </w:rPr>
        <w:t xml:space="preserve">src/orius/universal_theory/risk_bounds.py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compute_episode_risk_bound()</w:t>
      </w:r>
      <w:r>
        <w:t xml:space="preserve">).</w:t>
      </w:r>
    </w:p>
    <w:bookmarkEnd w:id="240"/>
    <w:bookmarkStart w:id="241" w:name="sec:thm-no-free"/>
    <w:p>
      <w:pPr>
        <w:pStyle w:val="Heading4"/>
      </w:pPr>
      <w:r>
        <w:t xml:space="preserve">Theorem 4: No Free Safety</w:t>
      </w:r>
    </w:p>
    <w:p>
      <w:pPr>
        <w:pStyle w:val="FirstParagraph"/>
      </w:pPr>
      <w:r>
        <w:rPr>
          <w:b/>
          <w:bCs/>
        </w:rPr>
        <w:t xml:space="preserve">Statement.</w:t>
      </w:r>
      <w:r>
        <w:t xml:space="preserve"> </w:t>
      </w:r>
      <w:r>
        <w:t xml:space="preserve">Within the fixed-margin, quality-ignorant controller</w:t>
      </w:r>
      <w:r>
        <w:t xml:space="preserve"> </w:t>
      </w:r>
      <w:r>
        <w:t xml:space="preserve">class, there exists an admissible degraded-observation sequence that produces</w:t>
      </w:r>
      <w:r>
        <w:t xml:space="preserve"> </w:t>
      </w:r>
      <w:r>
        <w:t xml:space="preserve">an observation-action safety gap and hence a true-state violation.</w:t>
      </w:r>
    </w:p>
    <w:p>
      <w:pPr>
        <w:pStyle w:val="BodyText"/>
      </w:pPr>
      <w:r>
        <w:rPr>
          <w:b/>
          <w:bCs/>
        </w:rPr>
        <w:t xml:space="preserve">Assumptions.</w:t>
      </w:r>
      <w:r>
        <w:t xml:space="preserve"> </w:t>
      </w:r>
      <w:r>
        <w:t xml:space="preserve">A3 (feasible safe repair exists), A8 (admissible fallback policy). Quality-ignorant baselines lack reliability-aware inflation.</w:t>
      </w:r>
    </w:p>
    <w:p>
      <w:pPr>
        <w:pStyle w:val="BodyText"/>
      </w:pPr>
      <w:r>
        <w:rPr>
          <w:b/>
          <w:bCs/>
        </w:rPr>
        <w:t xml:space="preserve">Proof status.</w:t>
      </w:r>
      <w:r>
        <w:t xml:space="preserve"> </w:t>
      </w:r>
      <w:r>
        <w:t xml:space="preserve">Constructive witness theorem on the battery reference</w:t>
      </w:r>
      <w:r>
        <w:t xml:space="preserve"> </w:t>
      </w:r>
      <w:r>
        <w:t xml:space="preserve">surface, plus empirical ablation support.</w:t>
      </w:r>
    </w:p>
    <w:p>
      <w:pPr>
        <w:pStyle w:val="BodyText"/>
      </w:pPr>
      <w:r>
        <w:rPr>
          <w:b/>
          <w:bCs/>
        </w:rPr>
        <w:t xml:space="preserve">Code anchor.</w:t>
      </w:r>
      <w:r>
        <w:t xml:space="preserve"> </w:t>
      </w:r>
      <w:r>
        <w:t xml:space="preserve">Supporting evidence in</w:t>
      </w:r>
      <w:r>
        <w:t xml:space="preserve"> </w:t>
      </w:r>
      <w:r>
        <w:rPr>
          <w:rStyle w:val="VerbatimChar"/>
        </w:rPr>
        <w:t xml:space="preserve">baselines.py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scenarios.py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runner.py</w:t>
      </w:r>
      <w:r>
        <w:t xml:space="preserve">.</w:t>
      </w:r>
    </w:p>
    <w:bookmarkEnd w:id="241"/>
    <w:bookmarkStart w:id="242" w:name="sec:thm-cert-horizon"/>
    <w:p>
      <w:pPr>
        <w:pStyle w:val="Heading4"/>
      </w:pPr>
      <w:r>
        <w:t xml:space="preserve">Definition 5: Certificate Validity Horizon</w:t>
      </w:r>
    </w:p>
    <w:p>
      <w:pPr>
        <w:pStyle w:val="FirstParagraph"/>
      </w:pPr>
      <w:r>
        <w:rPr>
          <w:b/>
          <w:bCs/>
        </w:rPr>
        <w:t xml:space="preserve">Statement.</w:t>
      </w:r>
      <w:r>
        <w:t xml:space="preserve"> </w:t>
      </w:r>
      <w:r>
        <w:t xml:space="preserve">T5 is kept as the constructive maximal forward-tube</w:t>
      </w:r>
      <w:r>
        <w:t xml:space="preserve"> </w:t>
      </w:r>
      <w:r>
        <w:t xml:space="preserve">containment definition: the validity horizon is the largest integer horizon</w:t>
      </w:r>
      <w:r>
        <w:t xml:space="preserve"> </w:t>
      </w:r>
      <w:r>
        <w:t xml:space="preserve">whose forward tube remains inside the battery SOC bounds.</w:t>
      </w:r>
    </w:p>
    <w:p>
      <w:pPr>
        <w:pStyle w:val="BodyText"/>
      </w:pPr>
      <w:r>
        <w:rPr>
          <w:b/>
          <w:bCs/>
        </w:rPr>
        <w:t xml:space="preserve">Assumptions.</w:t>
      </w:r>
      <w:r>
        <w:t xml:space="preserve"> </w:t>
      </w:r>
      <w:r>
        <w:t xml:space="preserve">A1, A2, A4–A7.</w:t>
      </w:r>
    </w:p>
    <w:p>
      <w:pPr>
        <w:pStyle w:val="BodyText"/>
      </w:pPr>
      <w:r>
        <w:rPr>
          <w:b/>
          <w:bCs/>
        </w:rPr>
        <w:t xml:space="preserve">Proof status.</w:t>
      </w:r>
      <w:r>
        <w:t xml:space="preserve"> </w:t>
      </w:r>
      <w:r>
        <w:t xml:space="preserve">Explicit definition, not part of the defended theorem</w:t>
      </w:r>
      <w:r>
        <w:t xml:space="preserve"> </w:t>
      </w:r>
      <w:r>
        <w:t xml:space="preserve">count. The helper computes the maximal containment horizon directly and no</w:t>
      </w:r>
      <w:r>
        <w:t xml:space="preserve"> </w:t>
      </w:r>
      <w:r>
        <w:t xml:space="preserve">probabilistic future-step theorem is claimed at this surface.</w:t>
      </w:r>
    </w:p>
    <w:p>
      <w:pPr>
        <w:pStyle w:val="BodyText"/>
      </w:pPr>
      <w:r>
        <w:rPr>
          <w:b/>
          <w:bCs/>
        </w:rPr>
        <w:t xml:space="preserve">Code anchor.</w:t>
      </w:r>
      <w:r>
        <w:t xml:space="preserve"> </w:t>
      </w:r>
      <w:r>
        <w:rPr>
          <w:rStyle w:val="VerbatimChar"/>
        </w:rPr>
        <w:t xml:space="preserve">src/orius/dc3s/temporal_theorems.py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forward_tube()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certificate_validity_horizon()</w:t>
      </w:r>
      <w:r>
        <w:t xml:space="preserve">);</w:t>
      </w:r>
      <w:r>
        <w:t xml:space="preserve"> </w:t>
      </w:r>
      <w:r>
        <w:t xml:space="preserve">registered as T5 in</w:t>
      </w:r>
      <w:r>
        <w:t xml:space="preserve"> </w:t>
      </w:r>
      <w:r>
        <w:rPr>
          <w:rStyle w:val="VerbatimChar"/>
        </w:rPr>
        <w:t xml:space="preserve">THEOREM_REGISTER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src/orius/dc3s/theoretical_guarantees.py</w:t>
      </w:r>
      <w:r>
        <w:t xml:space="preserve">).</w:t>
      </w:r>
      <w:r>
        <w:t xml:space="preserve"> </w:t>
      </w:r>
      <w:r>
        <w:t xml:space="preserve">Runtime expiry logic consumes this quantity, but the active theorem audit does</w:t>
      </w:r>
      <w:r>
        <w:t xml:space="preserve"> </w:t>
      </w:r>
      <w:r>
        <w:t xml:space="preserve">not count T5 as a defended theorem.</w:t>
      </w:r>
    </w:p>
    <w:bookmarkEnd w:id="242"/>
    <w:bookmarkStart w:id="243" w:name="sec:thm-cert-expiration"/>
    <w:p>
      <w:pPr>
        <w:pStyle w:val="Heading4"/>
      </w:pPr>
      <w:r>
        <w:t xml:space="preserve">Theorem 6: Certificate Expiration Bound</w:t>
      </w:r>
    </w:p>
    <w:p>
      <w:pPr>
        <w:pStyle w:val="FirstParagraph"/>
      </w:pPr>
      <w:r>
        <w:rPr>
          <w:b/>
          <w:bCs/>
        </w:rPr>
        <w:t xml:space="preserve">Statement.</w:t>
      </w:r>
      <w:r>
        <w:t xml:space="preserve"> </w:t>
      </w:r>
      <w:r>
        <w:t xml:space="preserve">The battery certificate horizon satisfies the canonical</w:t>
      </w:r>
      <w:r>
        <w:t xml:space="preserve"> </w:t>
      </w:r>
      <w:r>
        <w:t xml:space="preserve">delta-aware lower bound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≥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sSubSup>
                    <m:e>
                      <m:r>
                        <m:t>δ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d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δ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Assumptions.</w:t>
      </w:r>
      <w:r>
        <w:t xml:space="preserve"> </w:t>
      </w:r>
      <w:r>
        <w:t xml:space="preserve">A4–A7.</w:t>
      </w:r>
    </w:p>
    <w:p>
      <w:pPr>
        <w:pStyle w:val="BodyText"/>
      </w:pPr>
      <w:r>
        <w:rPr>
          <w:b/>
          <w:bCs/>
        </w:rPr>
        <w:t xml:space="preserve">Proof status.</w:t>
      </w:r>
      <w:r>
        <w:t xml:space="preserve"> </w:t>
      </w:r>
      <w:r>
        <w:t xml:space="preserve">Flagship defended closed-form theorem with</w:t>
      </w:r>
      <w:r>
        <w:t xml:space="preserve"> </w:t>
      </w:r>
      <w:r>
        <w:t xml:space="preserve">machine-checkable helper linkage. The theorem-facing API requires</w:t>
      </w:r>
      <w:r>
        <w:t xml:space="preserve"> </w:t>
      </w:r>
      <w:r>
        <w:rPr>
          <w:rStyle w:val="VerbatimChar"/>
        </w:rPr>
        <w:t xml:space="preserve">delta</w:t>
      </w:r>
      <w:r>
        <w:t xml:space="preserve"> </w:t>
      </w:r>
      <w:r>
        <w:t xml:space="preserve">explicitly, records the first-passage side conditions, and</w:t>
      </w:r>
      <w:r>
        <w:t xml:space="preserve"> </w:t>
      </w:r>
      <w:r>
        <w:t xml:space="preserve">marks legacy no-</w:t>
      </w:r>
      <w:r>
        <w:rPr>
          <w:rStyle w:val="VerbatimChar"/>
        </w:rPr>
        <w:t xml:space="preserve">delta</w:t>
      </w:r>
      <w:r>
        <w:t xml:space="preserve"> </w:t>
      </w:r>
      <w:r>
        <w:t xml:space="preserve">semantics as non-defended.</w:t>
      </w:r>
    </w:p>
    <w:p>
      <w:pPr>
        <w:pStyle w:val="BodyText"/>
      </w:pPr>
      <w:r>
        <w:rPr>
          <w:b/>
          <w:bCs/>
        </w:rPr>
        <w:t xml:space="preserve">Code anchor.</w:t>
      </w:r>
      <w:r>
        <w:t xml:space="preserve"> </w:t>
      </w:r>
      <w:r>
        <w:rPr>
          <w:rStyle w:val="VerbatimChar"/>
        </w:rPr>
        <w:t xml:space="preserve">src/orius/universal_theory/battery_instantiation.py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certificate_expiration_bound()</w:t>
      </w:r>
      <w:r>
        <w:t xml:space="preserve">), which now emits theorem metadata</w:t>
      </w:r>
      <w:r>
        <w:t xml:space="preserve"> </w:t>
      </w:r>
      <w:r>
        <w:t xml:space="preserve">and a fail-closed T6 contract summary.</w:t>
      </w:r>
    </w:p>
    <w:bookmarkEnd w:id="243"/>
    <w:bookmarkStart w:id="244" w:name="sec:thm-fallback"/>
    <w:p>
      <w:pPr>
        <w:pStyle w:val="Heading4"/>
      </w:pPr>
      <w:r>
        <w:t xml:space="preserve">Theorem 7: Feasible Fallback Existence</w:t>
      </w:r>
    </w:p>
    <w:p>
      <w:pPr>
        <w:pStyle w:val="FirstParagraph"/>
      </w:pPr>
      <w:r>
        <w:rPr>
          <w:b/>
          <w:bCs/>
        </w:rPr>
        <w:t xml:space="preserve">Statement.</w:t>
      </w:r>
      <w:r>
        <w:t xml:space="preserve"> </w:t>
      </w:r>
      <w:r>
        <w:t xml:space="preserve">The defended T7 surface is piecewise: zero dispatch</w:t>
      </w:r>
      <w:r>
        <w:t xml:space="preserve"> </w:t>
      </w:r>
      <w:r>
        <w:t xml:space="preserve">preserves safety on the interior, a boundary-aware safe-landing action</w:t>
      </w:r>
      <w:r>
        <w:t xml:space="preserve"> </w:t>
      </w:r>
      <w:r>
        <w:t xml:space="preserve">preserves safety near the boundary, and the runtime fails closed when neither</w:t>
      </w:r>
      <w:r>
        <w:t xml:space="preserve"> </w:t>
      </w:r>
      <w:r>
        <w:t xml:space="preserve">case can be certified.</w:t>
      </w:r>
    </w:p>
    <w:p>
      <w:pPr>
        <w:pStyle w:val="BodyText"/>
      </w:pPr>
      <w:r>
        <w:rPr>
          <w:b/>
          <w:bCs/>
        </w:rPr>
        <w:t xml:space="preserve">Assumptions.</w:t>
      </w:r>
      <w:r>
        <w:t xml:space="preserve"> </w:t>
      </w:r>
      <w:r>
        <w:t xml:space="preserve">A1, A4, A8.</w:t>
      </w:r>
    </w:p>
    <w:p>
      <w:pPr>
        <w:pStyle w:val="BodyText"/>
      </w:pPr>
      <w:r>
        <w:rPr>
          <w:b/>
          <w:bCs/>
        </w:rPr>
        <w:t xml:space="preserve">Proof status.</w:t>
      </w:r>
      <w:r>
        <w:t xml:space="preserve"> </w:t>
      </w:r>
      <w:r>
        <w:t xml:space="preserve">Flagship defended battery fallback theorem with an</w:t>
      </w:r>
      <w:r>
        <w:t xml:space="preserve"> </w:t>
      </w:r>
      <w:r>
        <w:t xml:space="preserve">explicit piecewise executable witness. The promoted surface is battery-only</w:t>
      </w:r>
      <w:r>
        <w:t xml:space="preserve"> </w:t>
      </w:r>
      <w:r>
        <w:t xml:space="preserve">and does not claim cross-domain transfer on its own.</w:t>
      </w:r>
    </w:p>
    <w:p>
      <w:pPr>
        <w:pStyle w:val="BodyText"/>
      </w:pPr>
      <w:r>
        <w:rPr>
          <w:b/>
          <w:bCs/>
        </w:rPr>
        <w:t xml:space="preserve">Code anchor.</w:t>
      </w:r>
      <w:r>
        <w:t xml:space="preserve"> </w:t>
      </w:r>
      <w:r>
        <w:rPr>
          <w:rStyle w:val="VerbatimChar"/>
        </w:rPr>
        <w:t xml:space="preserve">src/orius/dc3s/temporal_theorems.py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zero_dispatch_fallback()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certify_fallback_existence()</w:t>
      </w:r>
      <w:r>
        <w:t xml:space="preserve">).</w:t>
      </w:r>
    </w:p>
    <w:bookmarkEnd w:id="244"/>
    <w:bookmarkStart w:id="245" w:name="sec:thm-graceful-dominance"/>
    <w:p>
      <w:pPr>
        <w:pStyle w:val="Heading4"/>
      </w:pPr>
      <w:r>
        <w:t xml:space="preserve">Theorem 8: Graceful Degradation Dominance</w:t>
      </w:r>
    </w:p>
    <w:p>
      <w:pPr>
        <w:pStyle w:val="FirstParagraph"/>
      </w:pPr>
      <w:r>
        <w:rPr>
          <w:b/>
          <w:bCs/>
        </w:rPr>
        <w:t xml:space="preserve">Statement.</w:t>
      </w:r>
      <w:r>
        <w:t xml:space="preserve"> </w:t>
      </w:r>
      <w:r>
        <w:t xml:space="preserve">The defended T8 surface is the paired sequence-level</w:t>
      </w:r>
      <w:r>
        <w:t xml:space="preserve"> </w:t>
      </w:r>
      <w:r>
        <w:t xml:space="preserve">comparison: for graceful and uncontrolled violation sequences produced under</w:t>
      </w:r>
      <w:r>
        <w:t xml:space="preserve"> </w:t>
      </w:r>
      <w:r>
        <w:t xml:space="preserve">the same admissible fault trace,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z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</m:sup>
          </m:sSubSup>
          <m:r>
            <m:rPr>
              <m:sty m:val="p"/>
            </m:rPr>
            <m:t>≤</m:t>
          </m:r>
          <m:sSubSup>
            <m:e>
              <m:r>
                <m:t>z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p>
          </m:sSubSup>
          <m:r>
            <m:t> </m:t>
          </m:r>
          <m:r>
            <m:t> </m:t>
          </m:r>
          <m:r>
            <m:rPr>
              <m:sty m:val="p"/>
            </m:rPr>
            <m:t>∀</m:t>
          </m:r>
          <m:r>
            <m:t>t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</m:sup>
          </m:sSup>
          <m:r>
            <m:rPr>
              <m:sty m:val="p"/>
            </m:rPr>
            <m:t>≤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Strict improvement is claimed only when the graceful sequence is strictly</w:t>
      </w:r>
      <w:r>
        <w:t xml:space="preserve"> </w:t>
      </w:r>
      <w:r>
        <w:t xml:space="preserve">smaller on at least one step.</w:t>
      </w:r>
    </w:p>
    <w:p>
      <w:pPr>
        <w:pStyle w:val="BodyText"/>
      </w:pPr>
      <w:r>
        <w:rPr>
          <w:b/>
          <w:bCs/>
        </w:rPr>
        <w:t xml:space="preserve">Assumptions.</w:t>
      </w:r>
      <w:r>
        <w:t xml:space="preserve"> </w:t>
      </w:r>
      <w:r>
        <w:t xml:space="preserve">A1–A5, A8.</w:t>
      </w:r>
    </w:p>
    <w:p>
      <w:pPr>
        <w:pStyle w:val="BodyText"/>
      </w:pPr>
      <w:r>
        <w:rPr>
          <w:b/>
          <w:bCs/>
        </w:rPr>
        <w:t xml:space="preserve">Proof status.</w:t>
      </w:r>
      <w:r>
        <w:t xml:space="preserve"> </w:t>
      </w:r>
      <w:r>
        <w:t xml:space="preserve">Supporting defended comparison theorem at the</w:t>
      </w:r>
      <w:r>
        <w:t xml:space="preserve"> </w:t>
      </w:r>
      <w:r>
        <w:t xml:space="preserve">sequence-comparison level only. The stronger absorbing-landing interpretation</w:t>
      </w:r>
      <w:r>
        <w:t xml:space="preserve"> </w:t>
      </w:r>
      <w:r>
        <w:t xml:space="preserve">remains supporting evidence rather than a promoted theorem.</w:t>
      </w:r>
    </w:p>
    <w:p>
      <w:pPr>
        <w:pStyle w:val="BodyText"/>
      </w:pPr>
      <w:r>
        <w:rPr>
          <w:b/>
          <w:bCs/>
        </w:rPr>
        <w:t xml:space="preserve">Code anchor.</w:t>
      </w:r>
      <w:r>
        <w:t xml:space="preserve"> </w:t>
      </w:r>
      <w:r>
        <w:rPr>
          <w:rStyle w:val="VerbatimChar"/>
        </w:rPr>
        <w:t xml:space="preserve">src/orius/universal_theory/battery_instantiation.py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evaluate_graceful_degradation_dominance()</w:t>
      </w:r>
      <w:r>
        <w:t xml:space="preserve">), with</w:t>
      </w:r>
      <w:r>
        <w:t xml:space="preserve"> </w:t>
      </w:r>
      <w:r>
        <w:rPr>
          <w:rStyle w:val="VerbatimChar"/>
        </w:rPr>
        <w:t xml:space="preserve">safe_landing</w:t>
      </w:r>
      <w:r>
        <w:t xml:space="preserve"> </w:t>
      </w:r>
      <w:r>
        <w:t xml:space="preserve">kept as supporting implementation evidence only.</w:t>
      </w:r>
    </w:p>
    <w:bookmarkEnd w:id="245"/>
    <w:bookmarkStart w:id="246" w:name="sec:thm-universal-impossibility"/>
    <w:p>
      <w:pPr>
        <w:pStyle w:val="Heading4"/>
      </w:pPr>
      <w:r>
        <w:t xml:space="preserve">Theorem 9: Universal Impossibility</w:t>
      </w:r>
    </w:p>
    <w:p>
      <w:pPr>
        <w:pStyle w:val="FirstParagraph"/>
      </w:pPr>
      <w:r>
        <w:rPr>
          <w:b/>
          <w:bCs/>
        </w:rPr>
        <w:t xml:space="preserve">Statement.</w:t>
      </w:r>
      <w:r>
        <w:t xml:space="preserve"> </w:t>
      </w:r>
      <w:r>
        <w:t xml:space="preserve">For any quality-ignorant controller </w:t>
      </w:r>
      <m:oMath>
        <m:r>
          <m:t>π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φ</m:t>
        </m:r>
      </m:oMath>
      <w:r>
        <w:t xml:space="preserve">-mixing fault process with mean degradation rate 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t>c</m:t>
        </m:r>
        <m:r>
          <m:t> </m:t>
        </m:r>
        <m:r>
          <m:t>d</m:t>
        </m:r>
        <m:r>
          <m:t> </m:t>
        </m:r>
        <m:r>
          <m:t>T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Assumptions.</w:t>
      </w:r>
      <w:r>
        <w:t xml:space="preserve"> </w:t>
      </w:r>
      <w:r>
        <w:t xml:space="preserve">A4 (boundary reachability), A6</w:t>
      </w:r>
      <m:oMath>
        <m:r>
          <m:rPr>
            <m:sty m:val="p"/>
          </m:rPr>
          <m:t>′</m:t>
        </m:r>
      </m:oMath>
      <w:r>
        <w:t xml:space="preserve"> </w:t>
      </w:r>
      <w:r>
        <w:t xml:space="preserve">(</w:t>
      </w:r>
      <m:oMath>
        <m:r>
          <m:t>φ</m:t>
        </m:r>
      </m:oMath>
      <w:r>
        <w:t xml:space="preserve">-mixing</w:t>
      </w:r>
      <w:r>
        <w:t xml:space="preserve"> </w:t>
      </w:r>
      <w:r>
        <w:t xml:space="preserve">fault process).</w:t>
      </w:r>
    </w:p>
    <w:p>
      <w:pPr>
        <w:pStyle w:val="BodyText"/>
      </w:pPr>
      <w:r>
        <w:rPr>
          <w:b/>
          <w:bCs/>
        </w:rPr>
        <w:t xml:space="preserve">Proof status.</w:t>
      </w:r>
      <w:r>
        <w:t xml:space="preserve"> </w:t>
      </w:r>
      <w:r>
        <w:t xml:space="preserve">Structural impossibility theorem under explicit</w:t>
      </w:r>
      <w:r>
        <w:t xml:space="preserve"> </w:t>
      </w:r>
      <m:oMath>
        <m:r>
          <m:t>φ</m:t>
        </m:r>
      </m:oMath>
      <w:r>
        <w:t xml:space="preserve">-mixing and boundary-reachability assumptions; battery T4 is the</w:t>
      </w:r>
      <w:r>
        <w:t xml:space="preserve"> </w:t>
      </w:r>
      <w:r>
        <w:t xml:space="preserve">reference witness for the per-window violation probability and the witness</w:t>
      </w:r>
      <w:r>
        <w:t xml:space="preserve"> </w:t>
      </w:r>
      <w:r>
        <w:t xml:space="preserve">constant remains theorem-local.</w:t>
      </w:r>
    </w:p>
    <w:p>
      <w:pPr>
        <w:pStyle w:val="BodyText"/>
      </w:pPr>
      <w:r>
        <w:rPr>
          <w:b/>
          <w:bCs/>
        </w:rPr>
        <w:t xml:space="preserve">Code anchor.</w:t>
      </w:r>
      <w:r>
        <w:t xml:space="preserve"> </w:t>
      </w:r>
      <w:r>
        <w:t xml:space="preserve">No dedicated module; the battery</w:t>
      </w:r>
      <w:r>
        <w:t xml:space="preserve"> </w:t>
      </w:r>
      <w:r>
        <w:rPr>
          <w:rStyle w:val="VerbatimChar"/>
        </w:rPr>
        <w:t xml:space="preserve">cpsbench_iot/runner.py</w:t>
      </w:r>
      <w:r>
        <w:t xml:space="preserve"> </w:t>
      </w:r>
      <w:r>
        <w:t xml:space="preserve">provides the reference witness;</w:t>
      </w:r>
      <w:r>
        <w:t xml:space="preserve"> </w:t>
      </w:r>
      <w:r>
        <w:t xml:space="preserve">the proof is summarized in Section </w:t>
      </w:r>
      <w:hyperlink w:anchor="sec:thm-universal-impossibility">
        <w:r>
          <w:rPr>
            <w:rStyle w:val="Hyperlink"/>
          </w:rPr>
          <w:t xml:space="preserve">11.1.10</w:t>
        </w:r>
      </w:hyperlink>
      <w:r>
        <w:t xml:space="preserve">.</w:t>
      </w:r>
    </w:p>
    <w:bookmarkEnd w:id="246"/>
    <w:bookmarkStart w:id="247" w:name="sec:thm-info-lower-bound"/>
    <w:p>
      <w:pPr>
        <w:pStyle w:val="Heading4"/>
      </w:pPr>
      <w:r>
        <w:t xml:space="preserve">Theorem 10: Boundary-Indistinguishability Lower Bound</w:t>
      </w:r>
    </w:p>
    <w:p>
      <w:pPr>
        <w:pStyle w:val="FirstParagraph"/>
      </w:pPr>
      <w:r>
        <w:rPr>
          <w:b/>
          <w:bCs/>
        </w:rPr>
        <w:t xml:space="preserve">Statement.</w:t>
      </w:r>
      <w:r>
        <w:t xml:space="preserve"> </w:t>
      </w:r>
      <w:r>
        <w:t xml:space="preserve">Under the explicit boundary-mass and</w:t>
      </w:r>
      <w:r>
        <w:t xml:space="preserve"> </w:t>
      </w:r>
      <w:r>
        <w:t xml:space="preserve">indistinguishability hypotheses of T10, every controller </w:t>
      </w:r>
      <m:oMath>
        <m:r>
          <m:t>π</m:t>
        </m:r>
      </m:oMath>
      <w:r>
        <w:t xml:space="preserve"> </w:t>
      </w:r>
      <w:r>
        <w:t xml:space="preserve">satisfies the</w:t>
      </w:r>
      <w:r>
        <w:t xml:space="preserve"> </w:t>
      </w:r>
      <w:r>
        <w:t xml:space="preserve">scoped lower bound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 </m:t>
        </m:r>
        <m:r>
          <m:t>α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Assumptions.</w:t>
      </w:r>
      <w:r>
        <w:t xml:space="preserve"> </w:t>
      </w:r>
      <w:r>
        <w:t xml:space="preserve">A1, A2, A5</w:t>
      </w:r>
      <m:oMath>
        <m:r>
          <m:rPr>
            <m:sty m:val="p"/>
          </m:rPr>
          <m:t>′</m:t>
        </m:r>
      </m:oMath>
      <w:r>
        <w:t xml:space="preserve"> </w:t>
      </w:r>
      <w:r>
        <w:t xml:space="preserve">(calibration regularity), conformal</w:t>
      </w:r>
      <w:r>
        <w:t xml:space="preserve"> </w:t>
      </w:r>
      <w:r>
        <w:t xml:space="preserve">coverage condition.</w:t>
      </w:r>
    </w:p>
    <w:p>
      <w:pPr>
        <w:pStyle w:val="BodyText"/>
      </w:pPr>
      <w:r>
        <w:rPr>
          <w:b/>
          <w:bCs/>
        </w:rPr>
        <w:t xml:space="preserve">Proof status.</w:t>
      </w:r>
      <w:r>
        <w:t xml:space="preserve"> </w:t>
      </w:r>
      <w:r>
        <w:t xml:space="preserve">Narrowed stylized lower-bound surface under extra</w:t>
      </w:r>
      <w:r>
        <w:t xml:space="preserve"> </w:t>
      </w:r>
      <w:r>
        <w:t xml:space="preserve">calibration/indistinguishability assumptions. The active audit records that</w:t>
      </w:r>
      <w:r>
        <w:t xml:space="preserve"> </w:t>
      </w:r>
      <w:r>
        <w:t xml:space="preserve">the one-sided Le Cam step remains open, so the code witness is treated as a</w:t>
      </w:r>
      <w:r>
        <w:t xml:space="preserve"> </w:t>
      </w:r>
      <w:r>
        <w:t xml:space="preserve">scoped lower-bound calculator rather than a sharp frontier theorem.</w:t>
      </w:r>
    </w:p>
    <w:p>
      <w:pPr>
        <w:pStyle w:val="BodyText"/>
      </w:pPr>
      <w:r>
        <w:rPr>
          <w:b/>
          <w:bCs/>
        </w:rPr>
        <w:t xml:space="preserve">Code anchor.</w:t>
      </w:r>
      <w:r>
        <w:t xml:space="preserve"> </w:t>
      </w:r>
      <w:r>
        <w:rPr>
          <w:rStyle w:val="VerbatimChar"/>
        </w:rPr>
        <w:t xml:space="preserve">src/orius/universal/reliability_safety_frontier.py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compute_frontier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is_dc3s_optimal</w:t>
      </w:r>
      <w:r>
        <w:t xml:space="preserve">); 25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tests/test_reliability_frontier.py</w:t>
      </w:r>
      <w:r>
        <w:t xml:space="preserve">.</w:t>
      </w:r>
    </w:p>
    <w:bookmarkEnd w:id="247"/>
    <w:bookmarkStart w:id="248" w:name="sec:thm-universality-completeness"/>
    <w:p>
      <w:pPr>
        <w:pStyle w:val="Heading4"/>
      </w:pPr>
      <w:r>
        <w:t xml:space="preserve">Theorem 11: Typed Structural Transfer</w:t>
      </w:r>
    </w:p>
    <w:p>
      <w:pPr>
        <w:pStyle w:val="FirstParagraph"/>
      </w:pPr>
      <w:r>
        <w:rPr>
          <w:b/>
          <w:bCs/>
        </w:rPr>
        <w:t xml:space="preserve">Statement.</w:t>
      </w:r>
      <w:r>
        <w:t xml:space="preserve"> </w:t>
      </w:r>
      <w:r>
        <w:t xml:space="preserve">Any CPS domain instantiation satisfying the structural</w:t>
      </w:r>
      <w:r>
        <w:t xml:space="preserve"> </w:t>
      </w:r>
      <w:r>
        <w:t xml:space="preserve">transfer obligations of T11—coverage of the observation-consistent state</w:t>
      </w:r>
      <w:r>
        <w:t xml:space="preserve"> </w:t>
      </w:r>
      <w:r>
        <w:t xml:space="preserve">set, soundness of the tightened safe-action set, repair membership, and</w:t>
      </w:r>
      <w:r>
        <w:t xml:space="preserve"> </w:t>
      </w:r>
      <w:r>
        <w:t xml:space="preserve">safe fallback admissibility—inherits the T2–T3 safety-guarantee pattern</w:t>
      </w:r>
      <w:r>
        <w:t xml:space="preserve"> </w:t>
      </w:r>
      <w:r>
        <w:t xml:space="preserve">without new battery-specific algebra.</w:t>
      </w:r>
    </w:p>
    <w:p>
      <w:pPr>
        <w:pStyle w:val="BodyText"/>
      </w:pPr>
      <w:r>
        <w:rPr>
          <w:b/>
          <w:bCs/>
        </w:rPr>
        <w:t xml:space="preserve">Assumptions.</w:t>
      </w:r>
      <w:r>
        <w:t xml:space="preserve"> </w:t>
      </w:r>
      <w:r>
        <w:t xml:space="preserve">The universal adapter contract and the four structural</w:t>
      </w:r>
      <w:r>
        <w:t xml:space="preserve"> </w:t>
      </w:r>
      <w:r>
        <w:t xml:space="preserve">obligations stated in Section </w:t>
      </w:r>
      <w:hyperlink w:anchor="sec:thm-universality-completeness">
        <w:r>
          <w:rPr>
            <w:rStyle w:val="Hyperlink"/>
          </w:rPr>
          <w:t xml:space="preserve">11.1.12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Proof status.</w:t>
      </w:r>
      <w:r>
        <w:t xml:space="preserve"> </w:t>
      </w:r>
      <w:r>
        <w:t xml:space="preserve">Forward one-step transfer theorem. The runtime now</w:t>
      </w:r>
      <w:r>
        <w:t xml:space="preserve"> </w:t>
      </w:r>
      <w:r>
        <w:t xml:space="preserve">builds the four T11 obligation checks directly from typed artifacts, while the</w:t>
      </w:r>
      <w:r>
        <w:t xml:space="preserve"> </w:t>
      </w:r>
      <w:r>
        <w:t xml:space="preserve">converse is tracked separately as a structural failure-mode proposition rather</w:t>
      </w:r>
      <w:r>
        <w:t xml:space="preserve"> </w:t>
      </w:r>
      <w:r>
        <w:t xml:space="preserve">than as part of the defended T11 statement.</w:t>
      </w:r>
    </w:p>
    <w:p>
      <w:pPr>
        <w:pStyle w:val="BodyText"/>
      </w:pPr>
      <w:r>
        <w:rPr>
          <w:b/>
          <w:bCs/>
        </w:rPr>
        <w:t xml:space="preserve">Code anchor.</w:t>
      </w:r>
      <w:r>
        <w:t xml:space="preserve"> </w:t>
      </w:r>
      <w:r>
        <w:rPr>
          <w:rStyle w:val="VerbatimChar"/>
        </w:rPr>
        <w:t xml:space="preserve">src/orius/universal_theory/contracts.py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src/orius/universal_theory/kernel.py</w:t>
      </w:r>
      <w:r>
        <w:t xml:space="preserve">, with a compact reference</w:t>
      </w:r>
      <w:r>
        <w:t xml:space="preserve"> </w:t>
      </w:r>
      <w:r>
        <w:t xml:space="preserve">harness in</w:t>
      </w:r>
      <w:r>
        <w:t xml:space="preserve"> </w:t>
      </w:r>
      <w:r>
        <w:rPr>
          <w:rStyle w:val="VerbatimChar"/>
        </w:rPr>
        <w:t xml:space="preserve">src/orius/universal/contract.py</w:t>
      </w:r>
      <w:r>
        <w:t xml:space="preserve">; focused tests in</w:t>
      </w:r>
      <w:r>
        <w:t xml:space="preserve"> </w:t>
      </w:r>
      <w:r>
        <w:rPr>
          <w:rStyle w:val="VerbatimChar"/>
        </w:rPr>
        <w:t xml:space="preserve">tests/test_universal_contract.py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tests/test_unification.py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tests/test_reliability_frontier.py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tests/test_universal_theory.py</w:t>
      </w:r>
      <w:r>
        <w:t xml:space="preserve">.</w:t>
      </w:r>
    </w:p>
    <w:bookmarkEnd w:id="248"/>
    <w:bookmarkEnd w:id="249"/>
    <w:bookmarkStart w:id="250" w:name="gap-audit-table"/>
    <w:p>
      <w:pPr>
        <w:pStyle w:val="Heading3"/>
      </w:pPr>
      <w:r>
        <w:t xml:space="preserve">Gap Audit Table</w:t>
      </w:r>
    </w:p>
    <w:p>
      <w:pPr>
        <w:pStyle w:val="FirstParagraph"/>
      </w:pPr>
      <w:r>
        <w:t xml:space="preserve">Table </w:t>
      </w:r>
      <w:hyperlink w:anchor="tab:theorem-gap-audit">
        <w:r>
          <w:rPr>
            <w:rStyle w:val="Hyperlink"/>
          </w:rPr>
          <w:t xml:space="preserve">[tab:theorem-gap-audit]</w:t>
        </w:r>
      </w:hyperlink>
      <w:r>
        <w:t xml:space="preserve"> </w:t>
      </w:r>
      <w:r>
        <w:t xml:space="preserve">summarises the active T1–T11 audit surface,</w:t>
      </w:r>
      <w:r>
        <w:t xml:space="preserve"> </w:t>
      </w:r>
      <w:r>
        <w:t xml:space="preserve">with the understanding that only a strict subset belongs to the June defended core.</w:t>
      </w:r>
    </w:p>
    <w:bookmarkEnd w:id="250"/>
    <w:bookmarkStart w:id="251" w:name="remaining-claim-boundary-gaps"/>
    <w:p>
      <w:pPr>
        <w:pStyle w:val="Heading3"/>
      </w:pPr>
      <w:r>
        <w:t xml:space="preserve">Remaining Claim-Boundary Gaps</w:t>
      </w:r>
    </w:p>
    <w:p>
      <w:pPr>
        <w:pStyle w:val="FirstParagraph"/>
      </w:pPr>
      <w:r>
        <w:t xml:space="preserve">The audit above separates proof completeness from promotion completeness.</w:t>
      </w:r>
      <w:r>
        <w:t xml:space="preserve"> </w:t>
      </w:r>
      <w:r>
        <w:t xml:space="preserve">The remaining gaps that still bound the dissertation’s final claim are</w:t>
      </w:r>
      <w:r>
        <w:t xml:space="preserve"> </w:t>
      </w:r>
      <w:r>
        <w:t xml:space="preserve">therefore explicit: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Autonomous vehicles.</w:t>
      </w:r>
      <w:r>
        <w:t xml:space="preserve"> </w:t>
      </w:r>
      <w:r>
        <w:t xml:space="preserve">The current AV row is no longer claimed</w:t>
      </w:r>
      <w:r>
        <w:t xml:space="preserve"> </w:t>
      </w:r>
      <w:r>
        <w:t xml:space="preserve">as full autonomy closure. It is promoted only as a bounded nuPlan replay</w:t>
      </w:r>
      <w:r>
        <w:t xml:space="preserve"> </w:t>
      </w:r>
      <w:r>
        <w:t xml:space="preserve">row under TTC and predictive-entry-barrier semantics. Remaining AV work is</w:t>
      </w:r>
      <w:r>
        <w:t xml:space="preserve"> </w:t>
      </w:r>
      <w:r>
        <w:t xml:space="preserve">closed-loop road deployment evidence, not a contradiction of T1–T11.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Future mobility and flight-style rows.</w:t>
      </w:r>
      <w:r>
        <w:t xml:space="preserve"> </w:t>
      </w:r>
      <w:r>
        <w:t xml:space="preserve">Earlier drafts named</w:t>
      </w:r>
      <w:r>
        <w:t xml:space="preserve"> </w:t>
      </w:r>
      <w:r>
        <w:t xml:space="preserve">additional exploratory rows, but the current monograph does not promote</w:t>
      </w:r>
      <w:r>
        <w:t xml:space="preserve"> </w:t>
      </w:r>
      <w:r>
        <w:t xml:space="preserve">them. They remain planning surfaces until they supply defended replay,</w:t>
      </w:r>
      <w:r>
        <w:t xml:space="preserve"> </w:t>
      </w:r>
      <w:r>
        <w:t xml:space="preserve">runtime, governance, and post-repair evidence under the same gate as the</w:t>
      </w:r>
      <w:r>
        <w:t xml:space="preserve"> </w:t>
      </w:r>
      <w:r>
        <w:t xml:space="preserve">active Battery + AV + Healthcare lane.</w:t>
      </w:r>
    </w:p>
    <w:p>
      <w:pPr>
        <w:pStyle w:val="FirstParagraph"/>
      </w:pPr>
      <w:r>
        <w:t xml:space="preserve">These are the remaining thesis-level gaps after the monograph theorem pass.</w:t>
      </w:r>
      <w:r>
        <w:t xml:space="preserve"> </w:t>
      </w:r>
      <w:r>
        <w:t xml:space="preserve">They do not weaken the battery proof witness; they bound how far the transfer</w:t>
      </w:r>
      <w:r>
        <w:t xml:space="preserve"> </w:t>
      </w:r>
      <w:r>
        <w:t xml:space="preserve">claim is currently allowed to extend.</w:t>
      </w:r>
    </w:p>
    <w:bookmarkEnd w:id="251"/>
    <w:bookmarkStart w:id="252" w:name="locked-empirical-evidence"/>
    <w:p>
      <w:pPr>
        <w:pStyle w:val="Heading3"/>
      </w:pPr>
      <w:r>
        <w:t xml:space="preserve">Locked Empirical Evidence</w:t>
      </w:r>
    </w:p>
    <w:p>
      <w:pPr>
        <w:pStyle w:val="FirstParagraph"/>
      </w:pPr>
      <w:r>
        <w:t xml:space="preserve">Battery theorem verification relies on a mixture of code anchors, tests, and</w:t>
      </w:r>
      <w:r>
        <w:t xml:space="preserve"> </w:t>
      </w:r>
      <w:r>
        <w:t xml:space="preserve">locked outputs in</w:t>
      </w:r>
      <w:r>
        <w:t xml:space="preserve"> </w:t>
      </w:r>
      <w:r>
        <w:rPr>
          <w:rStyle w:val="VerbatimChar"/>
        </w:rPr>
        <w:t xml:space="preserve">reports/publication/</w:t>
      </w:r>
      <w:r>
        <w:t xml:space="preserve">:</w:t>
      </w:r>
    </w:p>
    <w:p>
      <w:pPr>
        <w:numPr>
          <w:ilvl w:val="0"/>
          <w:numId w:val="1030"/>
        </w:numPr>
      </w:pPr>
      <w:r>
        <w:rPr>
          <w:rStyle w:val="VerbatimChar"/>
        </w:rPr>
        <w:t xml:space="preserve">dc3s_main_table_ci.csv</w:t>
      </w:r>
      <w:r>
        <w:t xml:space="preserve">: violation rates, PICP, scenario breakdown</w:t>
      </w:r>
    </w:p>
    <w:p>
      <w:pPr>
        <w:numPr>
          <w:ilvl w:val="0"/>
          <w:numId w:val="1030"/>
        </w:numPr>
      </w:pPr>
      <w:r>
        <w:rPr>
          <w:rStyle w:val="VerbatimChar"/>
        </w:rPr>
        <w:t xml:space="preserve">reliability_group_coverage_phase3.csv</w:t>
      </w:r>
      <w:r>
        <w:t xml:space="preserve">: coverage by reliability bin</w:t>
      </w:r>
    </w:p>
    <w:p>
      <w:pPr>
        <w:numPr>
          <w:ilvl w:val="0"/>
          <w:numId w:val="1030"/>
        </w:numPr>
      </w:pPr>
      <w:r>
        <w:rPr>
          <w:rStyle w:val="VerbatimChar"/>
        </w:rPr>
        <w:t xml:space="preserve">blackout_study.csv</w:t>
      </w:r>
      <w:r>
        <w:t xml:space="preserve">: certificate-safe-hold evidence for the temporal extension</w:t>
      </w:r>
    </w:p>
    <w:p>
      <w:pPr>
        <w:numPr>
          <w:ilvl w:val="0"/>
          <w:numId w:val="1030"/>
        </w:numPr>
      </w:pPr>
      <w:r>
        <w:rPr>
          <w:rStyle w:val="VerbatimChar"/>
        </w:rPr>
        <w:t xml:space="preserve">graceful_degradation_trace.csv</w:t>
      </w:r>
      <w:r>
        <w:t xml:space="preserve">: behavioral evidence for the landing controller</w:t>
      </w:r>
    </w:p>
    <w:p>
      <w:pPr>
        <w:numPr>
          <w:ilvl w:val="0"/>
          <w:numId w:val="1030"/>
        </w:numPr>
      </w:pPr>
      <w:r>
        <w:rPr>
          <w:rStyle w:val="VerbatimChar"/>
        </w:rPr>
        <w:t xml:space="preserve">claim_evidence_matrix.csv</w:t>
      </w:r>
      <w:r>
        <w:t xml:space="preserve">: claim-to-evidence linkage</w:t>
      </w:r>
    </w:p>
    <w:p>
      <w:pPr>
        <w:pStyle w:val="FirstParagraph"/>
      </w:pPr>
      <w:r>
        <w:t xml:space="preserve">The theorem-to-evidence map is maintained in</w:t>
      </w:r>
      <w:r>
        <w:t xml:space="preserve"> </w:t>
      </w:r>
      <w:r>
        <w:rPr>
          <w:rStyle w:val="VerbatimChar"/>
        </w:rPr>
        <w:t xml:space="preserve">orius-plan/theorem_to_evidence_map.md</w:t>
      </w:r>
      <w:r>
        <w:t xml:space="preserve">.</w:t>
      </w:r>
    </w:p>
    <w:bookmarkEnd w:id="252"/>
    <w:bookmarkStart w:id="253" w:name="integrated-release-gate-status"/>
    <w:p>
      <w:pPr>
        <w:pStyle w:val="Heading3"/>
      </w:pPr>
      <w:r>
        <w:t xml:space="preserve">Integrated Release-Gate Status</w:t>
      </w:r>
    </w:p>
    <w:p>
      <w:pPr>
        <w:pStyle w:val="FirstParagraph"/>
      </w:pPr>
      <w:r>
        <w:t xml:space="preserve">The flagship T1–T8 ladder above remains the governance-critical proof spine,</w:t>
      </w:r>
      <w:r>
        <w:t xml:space="preserve"> </w:t>
      </w:r>
      <w:r>
        <w:t xml:space="preserve">and the broader defended theorem program now extends through T11. The</w:t>
      </w:r>
      <w:r>
        <w:t xml:space="preserve"> </w:t>
      </w:r>
      <w:r>
        <w:t xml:space="preserve">generated summary below reports the older hard-gated release status for the 10</w:t>
      </w:r>
      <w:r>
        <w:t xml:space="preserve"> </w:t>
      </w:r>
      <w:r>
        <w:t xml:space="preserve">source-backed theorem claims in the precursor plus reference ladder together</w:t>
      </w:r>
      <w:r>
        <w:t xml:space="preserve"> </w:t>
      </w:r>
      <w:r>
        <w:t xml:space="preserve">with the 8 Appendix C theorem restatements. The larger T1–T11 program is</w:t>
      </w:r>
      <w:r>
        <w:t xml:space="preserve"> </w:t>
      </w:r>
      <w:r>
        <w:t xml:space="preserve">kept aligned by the theorem-surface validator and the appendix proof crosswalk</w:t>
      </w:r>
      <w:r>
        <w:t xml:space="preserve"> </w:t>
      </w:r>
      <w:r>
        <w:t xml:space="preserve">rather than by that legacy 18-row gate alone.</w:t>
      </w:r>
    </w:p>
    <w:bookmarkEnd w:id="253"/>
    <w:bookmarkEnd w:id="254"/>
    <w:bookmarkStart w:id="256" w:name="app:locked-hash-registry"/>
    <w:p>
      <w:pPr>
        <w:pStyle w:val="Heading2"/>
      </w:pPr>
      <w:r>
        <w:t xml:space="preserve">Locked Artifact Hash Registry</w:t>
      </w:r>
    </w:p>
    <w:p>
      <w:pPr>
        <w:pStyle w:val="FirstParagraph"/>
      </w:pPr>
      <w:r>
        <w:t xml:space="preserve">This appendix replaces the earlier draft hash registry with concrete locked</w:t>
      </w:r>
      <w:r>
        <w:t xml:space="preserve"> </w:t>
      </w:r>
      <w:r>
        <w:t xml:space="preserve">entries drawn from</w:t>
      </w:r>
      <w:r>
        <w:t xml:space="preserve"> </w:t>
      </w:r>
      <w:r>
        <w:t xml:space="preserve">. The goal is</w:t>
      </w:r>
      <w:r>
        <w:t xml:space="preserve"> </w:t>
      </w:r>
      <w:r>
        <w:t xml:space="preserve">not to list every temporary file in the repository. The goal is to record</w:t>
      </w:r>
      <w:r>
        <w:t xml:space="preserve"> </w:t>
      </w:r>
      <w:r>
        <w:t xml:space="preserve">the canonical final-package artifacts whose hashes anchor the thesis claim</w:t>
      </w:r>
      <w:r>
        <w:t xml:space="preserve"> </w:t>
      </w:r>
      <w:r>
        <w:t xml:space="preserve">surface.</w:t>
      </w:r>
    </w:p>
    <w:bookmarkStart w:id="255" w:name="tab:locked-hash-registry"/>
    <w:p>
      <w:pPr>
        <w:pStyle w:val="TableCaption"/>
      </w:pPr>
      <w:r>
        <w:t xml:space="preserve">Locked artifact hash registry from the final full-thesis package.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ocked artifact hash registry from the final full-thesis packag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Artifact 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SHA-256 prefix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Bytes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Table  — continued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Artifact 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SHA-256 prefix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Bytes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Continued on next page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7002cbaa77e8dfe0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14971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a8d12550ed3ae633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f5b89bafecac6d3f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73e8e9c4ea0593d0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bcfa0eee34e71792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96fbd6dfcf857cb1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cd35353971342fdf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e429255befdc88e2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1891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cc1e470c6df2d5b9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ba5652d3b071a742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4275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6dd383794d60f42d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dad786d86aee0f58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b1be66a9a03710e4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9e5c2c3fe41f4e96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28714d964c28fa9f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b0b55b82c4de4ee2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e85963b5f28afeb0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3f537daaf1b838c4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d11d439c0475e305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4c890c0003c634fa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4341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21a273a8aa25debd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3796137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44b918fed0c5166d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03e64f759a95e277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2171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ec9d073108b836ee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c994d26b52c7dd34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e3bc745701ebc6c4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9486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ba69366033e80aa4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</w:t>
            </w:r>
          </w:p>
        </w:tc>
      </w:tr>
    </w:tbl>
    <w:bookmarkEnd w:id="255"/>
    <w:p>
      <w:pPr>
        <w:pStyle w:val="BodyText"/>
      </w:pPr>
      <w:r>
        <w:t xml:space="preserve">The registry above is intentionally concrete. It gives the defense package</w:t>
      </w:r>
      <w:r>
        <w:t xml:space="preserve"> </w:t>
      </w:r>
      <w:r>
        <w:t xml:space="preserve">a stable hash anchor for the highest-value battery artifacts rather than a</w:t>
      </w:r>
      <w:r>
        <w:t xml:space="preserve"> </w:t>
      </w:r>
      <w:r>
        <w:t xml:space="preserve">promise that such a registry will be added later.</w:t>
      </w:r>
    </w:p>
    <w:bookmarkEnd w:id="256"/>
    <w:bookmarkStart w:id="264" w:name="app:claim-evidence-registers"/>
    <w:p>
      <w:pPr>
        <w:pStyle w:val="Heading2"/>
      </w:pPr>
      <w:r>
        <w:t xml:space="preserve">Claim-to-Evidence and Coverage Registers</w:t>
      </w:r>
    </w:p>
    <w:p>
      <w:pPr>
        <w:pStyle w:val="FirstParagraph"/>
      </w:pPr>
      <w:r>
        <w:t xml:space="preserve">This appendix consolidates the governance registers that keep defended ORIUS</w:t>
      </w:r>
      <w:r>
        <w:t xml:space="preserve"> </w:t>
      </w:r>
      <w:r>
        <w:t xml:space="preserve">claims attached to code, scripts, and artifacts. In the current defense posture</w:t>
      </w:r>
      <w:r>
        <w:t xml:space="preserve"> </w:t>
      </w:r>
      <w:r>
        <w:t xml:space="preserve">the machine-readable authorities are the active theorem audit</w:t>
      </w:r>
      <w:r>
        <w:t xml:space="preserve"> </w:t>
      </w:r>
      <w:r>
        <w:t xml:space="preserve">() and strict defended-core</w:t>
      </w:r>
      <w:r>
        <w:t xml:space="preserve"> </w:t>
      </w:r>
      <w:r>
        <w:t xml:space="preserve">outputs (). The tables below</w:t>
      </w:r>
      <w:r>
        <w:t xml:space="preserve"> </w:t>
      </w:r>
      <w:r>
        <w:t xml:space="preserve">are the readable companion layer used in the monograph and review dossier.</w:t>
      </w:r>
    </w:p>
    <w:bookmarkStart w:id="258" w:name="primary-claim-matrix"/>
    <w:p>
      <w:pPr>
        <w:pStyle w:val="Heading3"/>
      </w:pPr>
      <w:r>
        <w:t xml:space="preserve">Primary Claim Matrix</w:t>
      </w:r>
    </w:p>
    <w:bookmarkStart w:id="257" w:name="tab:claim-evidence-matrix"/>
    <w:p>
      <w:pPr>
        <w:pStyle w:val="TableCaption"/>
      </w:pPr>
      <w:r>
        <w:t xml:space="preserve">Primary claim-to-evidence matrix from the locked publication</w:t>
      </w:r>
      <w:r>
        <w:t xml:space="preserve"> </w:t>
      </w:r>
      <w:r>
        <w:t xml:space="preserve">register.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imary claim-to-evidence matrix from the locked publication register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Table  — continued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Continued on next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central_claim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unsafe vs. dc3s safe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csv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theorem_t1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oasg existence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code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flagship defended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theorem_t2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one-step safety preservation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code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flagship defended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theorem_t3a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per-step ORIUS core envelope derivation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code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flagship defended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theorem_t3b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episode ORIUS core aggregation corollary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code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 defended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theorem_t4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free safety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code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flagship defended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theorem_t5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certificate validity horizon definition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code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/ non-defended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theorem_t6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certificate expiration bound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code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flagship defended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theorem_t7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feasible fallback existence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code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flagship defended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theorem_t8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graceful degradation dominance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code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 defended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theorem_t11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typed structural transfer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code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flagship defended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theorem_t11_byz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Byzantine-tolerant OQE bound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code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 defended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theorem_t_stale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stale-decay graceful degradation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code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 defended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theorem_t_minimax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 OASG minimax tradeoff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code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extension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theorem_t_sensor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quality converse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code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extension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theorem_t_pac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 trajectory safety certificate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code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flagship defended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defended_theorem_core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registry-canonical theorem core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generated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active_theorem_audit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active theorem inventory with rigor ratings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generated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priority1_fault_table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performance table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artifact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priority1_trace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48h operational trace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artifact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priority1_latency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latency p99 table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artifact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priority1_hil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hil summary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artifact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priority2_surfaces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hyperparameter surfaces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artifact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priority2_half_life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blackout half-life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artifact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priority2_graceful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graceful degradation trace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artifact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priority3_leaderboard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 leaderboard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artifact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priority3_fleet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fleet composition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artifact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priority3_probing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 active probing audit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artifact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priority3_aging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aging proxy calibration outputs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artifact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</w:tr>
    </w:tbl>
    <w:bookmarkEnd w:id="257"/>
    <w:bookmarkEnd w:id="258"/>
    <w:bookmarkStart w:id="260" w:name="theorem-and-chapter-register"/>
    <w:p>
      <w:pPr>
        <w:pStyle w:val="Heading3"/>
      </w:pPr>
      <w:r>
        <w:t xml:space="preserve">Theorem and Chapter Register</w:t>
      </w:r>
    </w:p>
    <w:p>
      <w:pPr>
        <w:pStyle w:val="FirstParagraph"/>
      </w:pPr>
      <w:r>
        <w:t xml:space="preserve">This register intentionally tracks the registry-canonical defended core plus the</w:t>
      </w:r>
      <w:r>
        <w:t xml:space="preserve"> </w:t>
      </w:r>
      <w:r>
        <w:t xml:space="preserve">small set of visible draft extensions that remain on the active theorem audit</w:t>
      </w:r>
      <w:r>
        <w:t xml:space="preserve"> </w:t>
      </w:r>
      <w:r>
        <w:t xml:space="preserve">surface. The authority for defended status is</w:t>
      </w:r>
      <w:r>
        <w:t xml:space="preserve"> </w:t>
      </w:r>
      <w:r>
        <w:t xml:space="preserve">; this appendix is the</w:t>
      </w:r>
      <w:r>
        <w:t xml:space="preserve"> </w:t>
      </w:r>
      <w:r>
        <w:t xml:space="preserve">human-readable companion. The larger integrated surface, including</w:t>
      </w:r>
      <w:r>
        <w:t xml:space="preserve"> </w:t>
      </w:r>
      <w:r>
        <w:t xml:space="preserve">definitions, corollaries, and appendix restatements, remains audited in the</w:t>
      </w:r>
      <w:r>
        <w:t xml:space="preserve"> </w:t>
      </w:r>
      <w:r>
        <w:t xml:space="preserve">tracked integrated theorem surface register.</w:t>
      </w:r>
    </w:p>
    <w:bookmarkStart w:id="259" w:name="tab:battery-claim-register"/>
    <w:p>
      <w:pPr>
        <w:pStyle w:val="TableCaption"/>
      </w:pPr>
      <w:r>
        <w:t xml:space="preserve">Registry-canonical defended-core theorem and chapter evidence register</w:t>
      </w:r>
      <w:r>
        <w:t xml:space="preserve"> </w:t>
      </w:r>
      <w:r>
        <w:t xml:space="preserve">for the ORIUS defense package.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ry-canonical defended-core theorem and chapter evidence register for the ORIUS defense package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 or 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Artifact 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gridSpan w:val="6"/>
          </w:tcPr>
          <w:p>
            <w:pPr>
              <w:pStyle w:val="Compact"/>
              <w:jc w:val="center"/>
            </w:pPr>
            <w:r>
              <w:t xml:space="preserve">Table  — continued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 or 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Artifact 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gridSpan w:val="6"/>
          </w:tcPr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Continued on next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THM_T1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flagship defended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THM_T2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flagship defended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THM_T3A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flagship defended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COR_T3B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supporting defended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THM_T4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flagship defended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DEF_T5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draft / non-defended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THM_T6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flagship defended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THM_T7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flagship defended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THM_T8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supporting defended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THM_T11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flagship defended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</w:t>
            </w:r>
            <w:r>
              <w:rPr>
                <w:vertAlign w:val="subscript"/>
              </w:rPr>
              <w:t xml:space="preserve">Byz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THM_T11_BYZ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App. C (Proof C.18)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 defended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  <w:r>
              <w:rPr>
                <w:vertAlign w:val="subscript"/>
              </w:rPr>
              <w:t xml:space="preserve">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THM_T_STALE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App. C (Proof C.19)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 defended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  <w:r>
              <w:rPr>
                <w:vertAlign w:val="subscript"/>
              </w:rPr>
              <w:t xml:space="preserve">minimax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THM_T_MINIMAX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App. C (Proof C.20)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extension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  <w:r>
              <w:rPr>
                <w:vertAlign w:val="subscript"/>
              </w:rP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THM_T_SENSOR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App. C (Proof C.21)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extension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  <w:r>
              <w:rPr>
                <w:vertAlign w:val="subscript"/>
              </w:rPr>
              <w:t xml:space="preserve">PAC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THM_T_PAC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App. C (Proof C.22)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flagship defended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A1–A13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ASM_REGISTER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TRACE_48H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FIG_TRACE_48H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FIG_HIL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FIG_BLACKOUT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TBL_PROBING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</w:tr>
    </w:tbl>
    <w:bookmarkEnd w:id="259"/>
    <w:bookmarkEnd w:id="260"/>
    <w:bookmarkStart w:id="262" w:name="chapter-coverage-register"/>
    <w:p>
      <w:pPr>
        <w:pStyle w:val="Heading3"/>
      </w:pPr>
      <w:r>
        <w:t xml:space="preserve">Chapter Coverage Register</w:t>
      </w:r>
    </w:p>
    <w:bookmarkStart w:id="261" w:name="tab:chapter-coverage-register"/>
    <w:p>
      <w:pPr>
        <w:pStyle w:val="TableCaption"/>
      </w:pPr>
      <w:r>
        <w:t xml:space="preserve">Chapter coverage register from the thesis coverage audit.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hapter coverage register from the thesis coverage audi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Chapter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artifact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Table  — continued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Chapter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artifact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gridSpan w:val="4"/>
          </w:tcPr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Continued on next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partial empirical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partial proxy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locked 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</w:tr>
    </w:tbl>
    <w:bookmarkEnd w:id="261"/>
    <w:bookmarkEnd w:id="262"/>
    <w:bookmarkStart w:id="263" w:name="full-claimevidence-matrix"/>
    <w:p>
      <w:pPr>
        <w:pStyle w:val="Heading3"/>
      </w:pPr>
      <w:r>
        <w:t xml:space="preserve">Full Claim–Evidence Matrix</w:t>
      </w:r>
    </w:p>
    <w:p>
      <w:pPr>
        <w:pStyle w:val="FirstParagraph"/>
      </w:pPr>
      <w:r>
        <w:t xml:space="preserve">Table </w:t>
      </w:r>
      <w:hyperlink w:anchor="tab:claim_evidence">
        <w:r>
          <w:rPr>
            <w:rStyle w:val="Hyperlink"/>
          </w:rPr>
          <w:t xml:space="preserve">[tab:claim_evidence]</w:t>
        </w:r>
      </w:hyperlink>
      <w:r>
        <w:t xml:space="preserve"> </w:t>
      </w:r>
      <w:r>
        <w:t xml:space="preserve">provides the generated claim–evidence matrix</w:t>
      </w:r>
      <w:r>
        <w:t xml:space="preserve"> </w:t>
      </w:r>
      <w:r>
        <w:t xml:space="preserve">from . The theorem rows</w:t>
      </w:r>
      <w:r>
        <w:t xml:space="preserve"> </w:t>
      </w:r>
      <w:r>
        <w:t xml:space="preserve">are interpreted through the strict defended-core split, so</w:t>
      </w:r>
      <w:r>
        <w:t xml:space="preserve"> </w:t>
      </w:r>
      <w:r>
        <w:t xml:space="preserve">“implemented”</w:t>
      </w:r>
      <w:r>
        <w:t xml:space="preserve"> </w:t>
      </w:r>
      <w:r>
        <w:t xml:space="preserve">in</w:t>
      </w:r>
      <w:r>
        <w:t xml:space="preserve"> </w:t>
      </w:r>
      <w:r>
        <w:t xml:space="preserve">the raw matrix is not itself a proof-status label. Defended status lives in</w:t>
      </w:r>
      <w:r>
        <w:t xml:space="preserve"> </w:t>
      </w:r>
      <w:r>
        <w:t xml:space="preserve">the active theorem audit and defended-core register; this matrix records where</w:t>
      </w:r>
      <w:r>
        <w:t xml:space="preserve"> </w:t>
      </w:r>
      <w:r>
        <w:t xml:space="preserve">the underlying code and artifacts live.</w:t>
      </w:r>
    </w:p>
    <w:p>
      <w:pPr>
        <w:pStyle w:val="BodyText"/>
      </w:pPr>
      <w:r>
        <w:t xml:space="preserve">Taken together, these registers are the defense-facing answer to the</w:t>
      </w:r>
      <w:r>
        <w:t xml:space="preserve"> </w:t>
      </w:r>
      <w:r>
        <w:t xml:space="preserve">question</w:t>
      </w:r>
      <w:r>
        <w:t xml:space="preserve"> </w:t>
      </w:r>
      <w:r>
        <w:t xml:space="preserve">“where does this claim live in code and artifacts?”</w:t>
      </w:r>
      <w:r>
        <w:t xml:space="preserve"> </w:t>
      </w:r>
      <w:r>
        <w:t xml:space="preserve">They make</w:t>
      </w:r>
      <w:r>
        <w:t xml:space="preserve"> </w:t>
      </w:r>
      <w:r>
        <w:t xml:space="preserve">the thesis longer, but more importantly they make it harder to bluff.</w:t>
      </w:r>
    </w:p>
    <w:bookmarkEnd w:id="263"/>
    <w:bookmarkEnd w:id="264"/>
    <w:bookmarkStart w:id="277" w:name="app:certos-artifact-audit"/>
    <w:p>
      <w:pPr>
        <w:pStyle w:val="Heading2"/>
      </w:pPr>
      <w:r>
        <w:t xml:space="preserve">CertOS Artifact Audit</w:t>
      </w:r>
    </w:p>
    <w:p>
      <w:pPr>
        <w:pStyle w:val="FirstParagraph"/>
      </w:pPr>
      <w:r>
        <w:t xml:space="preserve">This appendix records the bounded runtime evidence promoted into</w:t>
      </w:r>
      <w:r>
        <w:t xml:space="preserve"> </w:t>
      </w:r>
      <w:r>
        <w:t xml:space="preserve">Chapter </w:t>
      </w:r>
      <w:hyperlink w:anchor="ch:certos-runtime-assurance">
        <w:r>
          <w:rPr>
            <w:rStyle w:val="Hyperlink"/>
          </w:rPr>
          <w:t xml:space="preserve">4</w:t>
        </w:r>
      </w:hyperlink>
      <w:r>
        <w:t xml:space="preserve">. The runtime chapter itself carries the</w:t>
      </w:r>
      <w:r>
        <w:t xml:space="preserve"> </w:t>
      </w:r>
      <w:r>
        <w:t xml:space="preserve">main story. The present appendix preserves the implementation-facing tables</w:t>
      </w:r>
      <w:r>
        <w:t xml:space="preserve"> </w:t>
      </w:r>
      <w:r>
        <w:t xml:space="preserve">that a committee or reviewer may reasonably ask for once the runtime is part</w:t>
      </w:r>
      <w:r>
        <w:t xml:space="preserve"> </w:t>
      </w:r>
      <w:r>
        <w:t xml:space="preserve">of the defense package.</w:t>
      </w:r>
    </w:p>
    <w:bookmarkStart w:id="266" w:name="artifact-bundle"/>
    <w:p>
      <w:pPr>
        <w:pStyle w:val="Heading3"/>
      </w:pPr>
      <w:r>
        <w:t xml:space="preserve">Artifact Bundle</w:t>
      </w:r>
    </w:p>
    <w:bookmarkStart w:id="265" w:name="tab:certos-artifact-bundle"/>
    <w:p>
      <w:pPr>
        <w:pStyle w:val="TableCaption"/>
      </w:pPr>
      <w:r>
        <w:t xml:space="preserve">CertOS artifact bundle and its role in the thesis.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rtOS artifact bundle and its role in the thesi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Stepwise battery runtime trace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 counts by lifecycle phase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 latency and throughput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Audit-chain completeness check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 note after fallback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 non-battery lifecycle toy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 invariant test surface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 lifecycle operation stream</w:t>
            </w:r>
          </w:p>
        </w:tc>
      </w:tr>
    </w:tbl>
    <w:bookmarkEnd w:id="265"/>
    <w:bookmarkEnd w:id="266"/>
    <w:bookmarkStart w:id="268" w:name="lifecycle-counts-by-status"/>
    <w:p>
      <w:pPr>
        <w:pStyle w:val="Heading3"/>
      </w:pPr>
      <w:r>
        <w:t xml:space="preserve">Lifecycle Counts by Status</w:t>
      </w:r>
    </w:p>
    <w:bookmarkStart w:id="267" w:name="tab:certos-status-counts"/>
    <w:p>
      <w:pPr>
        <w:pStyle w:val="TableCaption"/>
      </w:pPr>
      <w:r>
        <w:t xml:space="preserve">Status counts derived from the locked CertOS summary artifact.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tus counts derived from the locked CertOS summary artifact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 bucket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steps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entries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runtime interventions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</w:tr>
    </w:tbl>
    <w:bookmarkEnd w:id="267"/>
    <w:p>
      <w:pPr>
        <w:pStyle w:val="BodyText"/>
      </w:pPr>
      <w:r>
        <w:t xml:space="preserve">The lifecycle counts matter because they make the runtime story concrete.</w:t>
      </w:r>
      <w:r>
        <w:t xml:space="preserve"> </w:t>
      </w:r>
      <w:r>
        <w:t xml:space="preserve">The battery runtime spends roughly half of the governed demo in ordinary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 </w:t>
      </w:r>
      <w:r>
        <w:t xml:space="preserve">operation, moves through a smaller degraded regime when the</w:t>
      </w:r>
      <w:r>
        <w:t xml:space="preserve"> </w:t>
      </w:r>
      <w:r>
        <w:t xml:space="preserve">certificate horizon narrows, and explicitly falls back when the horizon is</w:t>
      </w:r>
      <w:r>
        <w:t xml:space="preserve"> </w:t>
      </w:r>
      <w:r>
        <w:t xml:space="preserve">exhausted. That is the empirical meaning of the runtime chapter’s bounded</w:t>
      </w:r>
      <w:r>
        <w:t xml:space="preserve"> </w:t>
      </w:r>
      <w:r>
        <w:t xml:space="preserve">claim.</w:t>
      </w:r>
    </w:p>
    <w:bookmarkEnd w:id="268"/>
    <w:bookmarkStart w:id="270" w:name="certificate-field-schema"/>
    <w:p>
      <w:pPr>
        <w:pStyle w:val="Heading3"/>
      </w:pPr>
      <w:r>
        <w:t xml:space="preserve">Certificate Field Schema</w:t>
      </w:r>
    </w:p>
    <w:p>
      <w:pPr>
        <w:pStyle w:val="FirstParagraph"/>
      </w:pPr>
      <w:r>
        <w:t xml:space="preserve">The certificate engine stores only a small number of fields, but those</w:t>
      </w:r>
      <w:r>
        <w:t xml:space="preserve"> </w:t>
      </w:r>
      <w:r>
        <w:t xml:space="preserve">fields are enough to reconstruct the runtime decision trail. The runtime</w:t>
      </w:r>
      <w:r>
        <w:t xml:space="preserve"> </w:t>
      </w:r>
      <w:r>
        <w:t xml:space="preserve">then augments the certificate with a previous-hash link and a current</w:t>
      </w:r>
      <w:r>
        <w:t xml:space="preserve"> </w:t>
      </w:r>
      <w:r>
        <w:t xml:space="preserve">certificate hash.</w:t>
      </w:r>
    </w:p>
    <w:bookmarkStart w:id="269" w:name="tab:certos-certificate-schema"/>
    <w:p>
      <w:pPr>
        <w:pStyle w:val="TableCaption"/>
      </w:pPr>
      <w:r>
        <w:t xml:space="preserve">Certificate and runtime-state fields used by CertOS.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rtificate and runtime-state fields used by CertO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Lifecycle operation that created the certificate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proposed_action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before runtime filtering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safe_action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released after runtime filtering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validity_horizon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Remaining certified horizon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degraded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revoked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prev_hash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/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Previous certificate hash in the ledger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cert_hash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certificate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 step index in the governed demo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fallback_active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Whether fallback action is currently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audit entries emitted so far</w:t>
            </w:r>
          </w:p>
        </w:tc>
      </w:tr>
    </w:tbl>
    <w:bookmarkEnd w:id="269"/>
    <w:bookmarkEnd w:id="270"/>
    <w:bookmarkStart w:id="272" w:name="audit-ledger-record-format"/>
    <w:p>
      <w:pPr>
        <w:pStyle w:val="Heading3"/>
      </w:pPr>
      <w:r>
        <w:t xml:space="preserve">Audit Ledger Record Format</w:t>
      </w:r>
    </w:p>
    <w:bookmarkStart w:id="271" w:name="tab:certos-audit-ledger-schema"/>
    <w:p>
      <w:pPr>
        <w:pStyle w:val="TableCaption"/>
      </w:pPr>
      <w:r>
        <w:t xml:space="preserve">Audit ledger record fields from the CertOS audit-ledger module.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udit ledger record fields from the CertOS audit-ledger modul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Lifecycle operation appended to the ledger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 step where the event occurred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cert_hash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/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 anchor for the relevant certificate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metadata such as recovery details</w:t>
            </w:r>
          </w:p>
        </w:tc>
      </w:tr>
    </w:tbl>
    <w:bookmarkEnd w:id="271"/>
    <w:p>
      <w:pPr>
        <w:pStyle w:val="BodyText"/>
      </w:pPr>
      <w:r>
        <w:t xml:space="preserve">The ledger is intentionally austere. It is not a full event-sourcing</w:t>
      </w:r>
      <w:r>
        <w:t xml:space="preserve"> </w:t>
      </w:r>
      <w:r>
        <w:t xml:space="preserve">platform. It is an append-only trail sufficient to prove that lifecycle</w:t>
      </w:r>
      <w:r>
        <w:t xml:space="preserve"> </w:t>
      </w:r>
      <w:r>
        <w:t xml:space="preserve">events happened, in order, and with the expected linkage to certificate</w:t>
      </w:r>
      <w:r>
        <w:t xml:space="preserve"> </w:t>
      </w:r>
      <w:r>
        <w:t xml:space="preserve">records.</w:t>
      </w:r>
    </w:p>
    <w:bookmarkEnd w:id="272"/>
    <w:bookmarkStart w:id="274" w:name="latency-and-recovery-audit"/>
    <w:p>
      <w:pPr>
        <w:pStyle w:val="Heading3"/>
      </w:pPr>
      <w:r>
        <w:t xml:space="preserve">Latency and Recovery Audit</w:t>
      </w:r>
    </w:p>
    <w:bookmarkStart w:id="273" w:name="tab:certos-latency-recovery"/>
    <w:p>
      <w:pPr>
        <w:pStyle w:val="TableCaption"/>
      </w:pPr>
      <w:r>
        <w:t xml:space="preserve">Latency and recovery audit from the CertOS runtime artifacts.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atency and recovery audit from the CertOS runtime artifact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Runtime step latency (ms)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Runtime throughput (steps/s)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1691.70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completeness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 transitions noted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</w:tr>
    </w:tbl>
    <w:bookmarkEnd w:id="273"/>
    <w:p>
      <w:pPr>
        <w:pStyle w:val="BodyText"/>
      </w:pPr>
      <w:r>
        <w:t xml:space="preserve">The recovery note is qualitative rather than mathematical: the runtime</w:t>
      </w:r>
      <w:r>
        <w:t xml:space="preserve"> </w:t>
      </w:r>
      <w:r>
        <w:t xml:space="preserve">artifact records that transitions from fallback back to valid execution were</w:t>
      </w:r>
      <w:r>
        <w:t xml:space="preserve"> </w:t>
      </w:r>
      <w:r>
        <w:t xml:space="preserve">observed. This is enough for a bounded systems chapter. It is not enough</w:t>
      </w:r>
      <w:r>
        <w:t xml:space="preserve"> </w:t>
      </w:r>
      <w:r>
        <w:t xml:space="preserve">to claim optimal recovery or universal recovery guarantees.</w:t>
      </w:r>
    </w:p>
    <w:bookmarkEnd w:id="274"/>
    <w:bookmarkStart w:id="276" w:name="bounded-second-domain-runtime-surface"/>
    <w:p>
      <w:pPr>
        <w:pStyle w:val="Heading3"/>
      </w:pPr>
      <w:r>
        <w:t xml:space="preserve">Bounded Second-Domain Runtime Surface</w:t>
      </w:r>
    </w:p>
    <w:bookmarkStart w:id="275" w:name="tab:certos-toy-domain"/>
    <w:p>
      <w:pPr>
        <w:pStyle w:val="TableCaption"/>
      </w:pPr>
      <w:r>
        <w:t xml:space="preserve">Vehicle-shaped CertOS toy artifact.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ehicle-shaped CertOS toy artifact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vehicle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Fallback steps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entries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bookmarkEnd w:id="275"/>
    <w:p>
      <w:pPr>
        <w:pStyle w:val="BodyText"/>
      </w:pPr>
      <w:r>
        <w:t xml:space="preserve">This toy artifact earns its place in the appendix because it helps defend a</w:t>
      </w:r>
      <w:r>
        <w:t xml:space="preserve"> </w:t>
      </w:r>
      <w:r>
        <w:t xml:space="preserve">very narrow point: the runtime lifecycle is adapter-shaped rather than</w:t>
      </w:r>
      <w:r>
        <w:t xml:space="preserve"> </w:t>
      </w:r>
      <w:r>
        <w:t xml:space="preserve">battery-field hard coded. It does not widen the thesis proof boundary.</w:t>
      </w:r>
    </w:p>
    <w:bookmarkEnd w:id="276"/>
    <w:bookmarkEnd w:id="277"/>
    <w:bookmarkStart w:id="279" w:name="app:certos-lifecycle-log"/>
    <w:p>
      <w:pPr>
        <w:pStyle w:val="Heading2"/>
      </w:pPr>
      <w:r>
        <w:t xml:space="preserve">Full CertOS Lifecycle Log</w:t>
      </w:r>
    </w:p>
    <w:p>
      <w:pPr>
        <w:pStyle w:val="FirstParagraph"/>
      </w:pPr>
      <w:r>
        <w:t xml:space="preserve">This appendix reproduces the governed battery runtime log from</w:t>
      </w:r>
      <w:r>
        <w:t xml:space="preserve"> </w:t>
      </w:r>
      <w:r>
        <w:t xml:space="preserve">. The main text only needs a few</w:t>
      </w:r>
      <w:r>
        <w:t xml:space="preserve"> </w:t>
      </w:r>
      <w:r>
        <w:t xml:space="preserve">representative rows; the full trace belongs here so that the transition from</w:t>
      </w:r>
      <w:r>
        <w:t xml:space="preserve"> </w:t>
      </w:r>
      <w:r>
        <w:t xml:space="preserve">valid to degraded to fallback execution can be inspected directly.</w:t>
      </w:r>
    </w:p>
    <w:bookmarkStart w:id="278" w:name="tab:certos-full-log"/>
    <w:p>
      <w:pPr>
        <w:pStyle w:val="TableCaption"/>
      </w:pPr>
      <w:r>
        <w:t xml:space="preserve">Full 96-step CertOS lifecycle log.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ull 96-step CertOS lifecycle log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Step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Discharge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Fallback</w:t>
            </w:r>
          </w:p>
        </w:tc>
      </w:tr>
      <w:tr>
        <w:tc>
          <w:tcPr>
            <w:gridSpan w:val="6"/>
          </w:tcPr>
          <w:p>
            <w:pPr>
              <w:pStyle w:val="Compact"/>
              <w:jc w:val="center"/>
            </w:pPr>
            <w:r>
              <w:t xml:space="preserve">Table  — continued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Step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Discharge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Fallback</w:t>
            </w:r>
          </w:p>
        </w:tc>
      </w:tr>
      <w:tr>
        <w:tc>
          <w:tcPr>
            <w:gridSpan w:val="6"/>
          </w:tcPr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Continued on next page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fallback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bookmarkEnd w:id="278"/>
    <w:p>
      <w:pPr>
        <w:pStyle w:val="BodyText"/>
      </w:pPr>
      <w:r>
        <w:t xml:space="preserve">The long contiguous fallback stretches visible above are exactly why the</w:t>
      </w:r>
      <w:r>
        <w:t xml:space="preserve"> </w:t>
      </w:r>
      <w:r>
        <w:t xml:space="preserve">runtime chapter remains honest about scope. The artifact shows explicit</w:t>
      </w:r>
      <w:r>
        <w:t xml:space="preserve"> </w:t>
      </w:r>
      <w:r>
        <w:t xml:space="preserve">fallback behavior and complete audit coverage. It does not show a runtime</w:t>
      </w:r>
      <w:r>
        <w:t xml:space="preserve"> </w:t>
      </w:r>
      <w:r>
        <w:t xml:space="preserve">that has already solved every deployment-side recovery problem.</w:t>
      </w:r>
    </w:p>
    <w:bookmarkEnd w:id="279"/>
    <w:bookmarkStart w:id="281" w:name="app:dataset-cards"/>
    <w:p>
      <w:pPr>
        <w:pStyle w:val="Heading2"/>
      </w:pPr>
      <w:r>
        <w:t xml:space="preserve">Dataset Cards</w:t>
      </w:r>
    </w:p>
    <w:p>
      <w:pPr>
        <w:pStyle w:val="FirstParagraph"/>
      </w:pPr>
      <w:r>
        <w:t xml:space="preserve">This appendix indexes the source dataset cards that govern the active ORIUS</w:t>
      </w:r>
      <w:r>
        <w:t xml:space="preserve"> </w:t>
      </w:r>
      <w:r>
        <w:t xml:space="preserve">data surfaces. The canonical human-readable cards live under</w:t>
      </w:r>
      <w:r>
        <w:t xml:space="preserve"> </w:t>
      </w:r>
      <w:r>
        <w:t xml:space="preserve">; the purpose of this appendix is to bind those cards</w:t>
      </w:r>
      <w:r>
        <w:t xml:space="preserve"> </w:t>
      </w:r>
      <w:r>
        <w:t xml:space="preserve">into the thesis control path without duplicating the full markdown bodies in</w:t>
      </w:r>
      <w:r>
        <w:t xml:space="preserve"> </w:t>
      </w:r>
      <w:r>
        <w:t xml:space="preserve">multiple places.</w:t>
      </w:r>
    </w:p>
    <w:bookmarkStart w:id="280" w:name="tab:dataset-card-index"/>
    <w:p>
      <w:pPr>
        <w:pStyle w:val="TableCaption"/>
      </w:pPr>
      <w:r>
        <w:t xml:space="preserve">Source dataset cards and manifests for the active three-domain ORIUS</w:t>
      </w:r>
      <w:r>
        <w:t xml:space="preserve"> </w:t>
      </w:r>
      <w:r>
        <w:t xml:space="preserve">claim surface.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urce dataset cards and manifests for the active three-domain ORIUS claim surfac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Card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Power System Data Germany witness row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EIA-930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U.S. balancing-authority battery transfer rows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 AV replay row and source manifest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Credentialed ICU monitoring boundary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0"/>
    <w:p>
      <w:pPr>
        <w:pStyle w:val="BodyText"/>
      </w:pPr>
      <w:r>
        <w:t xml:space="preserve">Each card records source provenance, split policy, preprocessing,</w:t>
      </w:r>
      <w:r>
        <w:t xml:space="preserve"> </w:t>
      </w:r>
      <w:r>
        <w:t xml:space="preserve">known issues, and the exact role the dataset plays in the active ORIUS</w:t>
      </w:r>
      <w:r>
        <w:t xml:space="preserve"> </w:t>
      </w:r>
      <w:r>
        <w:t xml:space="preserve">claim boundary. The cards are intended to be updated alongside the raw-data</w:t>
      </w:r>
      <w:r>
        <w:t xml:space="preserve"> </w:t>
      </w:r>
      <w:r>
        <w:t xml:space="preserve">manifests and release-manifest refresh pipeline; no raw nuPlan archives are</w:t>
      </w:r>
      <w:r>
        <w:t xml:space="preserve"> </w:t>
      </w:r>
      <w:r>
        <w:t xml:space="preserve">Git-tracked.</w:t>
      </w:r>
    </w:p>
    <w:bookmarkEnd w:id="281"/>
    <w:bookmarkStart w:id="282" w:name="app:reproducibility-appendix"/>
    <w:p>
      <w:pPr>
        <w:pStyle w:val="Heading2"/>
      </w:pPr>
      <w:r>
        <w:t xml:space="preserve">Reproducibility Appendix</w:t>
      </w:r>
    </w:p>
    <w:p>
      <w:pPr>
        <w:pStyle w:val="FirstParagraph"/>
      </w:pPr>
      <w:r>
        <w:t xml:space="preserve">This appendix binds the active release manifest into the thesis and records</w:t>
      </w:r>
      <w:r>
        <w:t xml:space="preserve"> </w:t>
      </w:r>
      <w:r>
        <w:t xml:space="preserve">the verification path for reproduced artifacts.</w:t>
      </w:r>
    </w:p>
    <w:p>
      <w:pPr>
        <w:numPr>
          <w:ilvl w:val="0"/>
          <w:numId w:val="1031"/>
        </w:numPr>
      </w:pPr>
      <w:r>
        <w:t xml:space="preserve">Release manifest:</w:t>
      </w:r>
    </w:p>
    <w:p>
      <w:pPr>
        <w:numPr>
          <w:ilvl w:val="0"/>
          <w:numId w:val="1031"/>
        </w:numPr>
      </w:pPr>
      <w:r>
        <w:t xml:space="preserve">Hash verifier:</w:t>
      </w:r>
    </w:p>
    <w:p>
      <w:pPr>
        <w:numPr>
          <w:ilvl w:val="0"/>
          <w:numId w:val="1031"/>
        </w:numPr>
      </w:pPr>
      <w:r>
        <w:t xml:space="preserve">TeX generator:</w:t>
      </w:r>
    </w:p>
    <w:bookmarkEnd w:id="282"/>
    <w:bookmarkStart w:id="286" w:name="extended-reading-and-index"/>
    <w:p>
      <w:pPr>
        <w:pStyle w:val="Heading2"/>
      </w:pPr>
      <w:r>
        <w:t xml:space="preserve">Extended Reading and Index</w:t>
      </w:r>
    </w:p>
    <w:bookmarkStart w:id="283" w:name="suggested-extended-reading"/>
    <w:p>
      <w:pPr>
        <w:pStyle w:val="Heading3"/>
      </w:pPr>
      <w:r>
        <w:t xml:space="preserve">Suggested Extended Reading</w:t>
      </w:r>
    </w:p>
    <w:p>
      <w:pPr>
        <w:pStyle w:val="FirstParagraph"/>
      </w:pPr>
      <w:r>
        <w:t xml:space="preserve">Angelopoulos and Bates,</w:t>
      </w:r>
      <w:r>
        <w:t xml:space="preserve"> </w:t>
      </w:r>
      <w:r>
        <w:rPr>
          <w:i/>
          <w:iCs/>
        </w:rPr>
        <w:t xml:space="preserve">Conformal Prediction: A Gentle Introduction</w:t>
      </w:r>
      <w:r>
        <w:t xml:space="preserve"> </w:t>
      </w:r>
      <w:r>
        <w:t xml:space="preserve">(2023);</w:t>
      </w:r>
      <w:r>
        <w:t xml:space="preserve"> </w:t>
      </w:r>
      <w:r>
        <w:t xml:space="preserve">Vovk, Gammerman, and Shafer,</w:t>
      </w:r>
      <w:r>
        <w:t xml:space="preserve"> </w:t>
      </w:r>
      <w:r>
        <w:rPr>
          <w:i/>
          <w:iCs/>
        </w:rPr>
        <w:t xml:space="preserve">Algorithmic Learning in a Random World</w:t>
      </w:r>
      <w:r>
        <w:t xml:space="preserve"> </w:t>
      </w:r>
      <w:r>
        <w:t xml:space="preserve">(2005);</w:t>
      </w:r>
      <w:r>
        <w:t xml:space="preserve"> </w:t>
      </w:r>
      <w:r>
        <w:t xml:space="preserve">Shafer and Vovk,</w:t>
      </w:r>
      <w:r>
        <w:t xml:space="preserve"> </w:t>
      </w:r>
      <w:r>
        <w:t xml:space="preserve">“A Tutorial on Conformal Prediction”</w:t>
      </w:r>
      <w:r>
        <w:t xml:space="preserve"> </w:t>
      </w:r>
      <w:r>
        <w:t xml:space="preserve">(JMLR 2008).</w:t>
      </w:r>
    </w:p>
    <w:p>
      <w:pPr>
        <w:pStyle w:val="BodyText"/>
      </w:pPr>
      <w:r>
        <w:t xml:space="preserve">Romano, Patterson, and Candès,</w:t>
      </w:r>
      <w:r>
        <w:t xml:space="preserve"> </w:t>
      </w:r>
      <w:r>
        <w:t xml:space="preserve">“Conformalized Quantile Regression”</w:t>
      </w:r>
      <w:r>
        <w:t xml:space="preserve"> </w:t>
      </w:r>
      <w:r>
        <w:t xml:space="preserve">(NeurIPS 2019);</w:t>
      </w:r>
      <w:r>
        <w:t xml:space="preserve"> </w:t>
      </w:r>
      <w:r>
        <w:t xml:space="preserve">Gibbs and Candès,</w:t>
      </w:r>
      <w:r>
        <w:t xml:space="preserve"> </w:t>
      </w:r>
      <w:r>
        <w:t xml:space="preserve">“Adaptive Conformal Inference Under Distribution Shift”</w:t>
      </w:r>
      <w:r>
        <w:t xml:space="preserve"> </w:t>
      </w:r>
      <w:r>
        <w:t xml:space="preserve">(NeurIPS 2021);</w:t>
      </w:r>
      <w:r>
        <w:t xml:space="preserve"> </w:t>
      </w:r>
      <w:r>
        <w:t xml:space="preserve">Barber et al.,</w:t>
      </w:r>
      <w:r>
        <w:t xml:space="preserve"> </w:t>
      </w:r>
      <w:r>
        <w:t xml:space="preserve">“Conformal Prediction Beyond Exchangeability”</w:t>
      </w:r>
      <w:r>
        <w:t xml:space="preserve"> </w:t>
      </w:r>
      <w:r>
        <w:t xml:space="preserve">(AoS 2023);</w:t>
      </w:r>
      <w:r>
        <w:t xml:space="preserve"> </w:t>
      </w:r>
      <w:r>
        <w:t xml:space="preserve">Tibshirani et al.,</w:t>
      </w:r>
      <w:r>
        <w:t xml:space="preserve"> </w:t>
      </w:r>
      <w:r>
        <w:t xml:space="preserve">“Conformal Prediction Under Covariate Shift”</w:t>
      </w:r>
      <w:r>
        <w:t xml:space="preserve"> </w:t>
      </w:r>
      <w:r>
        <w:t xml:space="preserve">(2019);</w:t>
      </w:r>
      <w:r>
        <w:t xml:space="preserve"> </w:t>
      </w:r>
      <w:r>
        <w:t xml:space="preserve">Zaffran et al.,</w:t>
      </w:r>
      <w:r>
        <w:t xml:space="preserve"> </w:t>
      </w:r>
      <w:r>
        <w:t xml:space="preserve">“Adaptive Conformal Predictions for Time Series”</w:t>
      </w:r>
      <w:r>
        <w:t xml:space="preserve"> </w:t>
      </w:r>
      <w:r>
        <w:t xml:space="preserve">(2022).</w:t>
      </w:r>
    </w:p>
    <w:p>
      <w:pPr>
        <w:pStyle w:val="BodyText"/>
      </w:pPr>
      <w:r>
        <w:t xml:space="preserve">Ames et al.,</w:t>
      </w:r>
      <w:r>
        <w:t xml:space="preserve"> </w:t>
      </w:r>
      <w:r>
        <w:t xml:space="preserve">“Control Barrier Functions: Theory and Applications”</w:t>
      </w:r>
      <w:r>
        <w:t xml:space="preserve"> </w:t>
      </w:r>
      <w:r>
        <w:t xml:space="preserve">(2019);</w:t>
      </w:r>
      <w:r>
        <w:t xml:space="preserve"> </w:t>
      </w:r>
      <w:r>
        <w:t xml:space="preserve">Bloem et al.,</w:t>
      </w:r>
      <w:r>
        <w:t xml:space="preserve"> </w:t>
      </w:r>
      <w:r>
        <w:t xml:space="preserve">“Shield Synthesis”</w:t>
      </w:r>
      <w:r>
        <w:t xml:space="preserve"> </w:t>
      </w:r>
      <w:r>
        <w:t xml:space="preserve">(TACAS 2015);</w:t>
      </w:r>
      <w:r>
        <w:t xml:space="preserve"> </w:t>
      </w:r>
      <w:r>
        <w:t xml:space="preserve">Wabersich and Zeilinger,</w:t>
      </w:r>
      <w:r>
        <w:t xml:space="preserve"> </w:t>
      </w:r>
      <w:r>
        <w:t xml:space="preserve">“A Predictive Safety Filter for Learning-Based Control”</w:t>
      </w:r>
      <w:r>
        <w:t xml:space="preserve"> </w:t>
      </w:r>
      <w:r>
        <w:t xml:space="preserve">(2021);</w:t>
      </w:r>
      <w:r>
        <w:t xml:space="preserve"> </w:t>
      </w:r>
      <w:r>
        <w:t xml:space="preserve">Alshiekh et al.,</w:t>
      </w:r>
      <w:r>
        <w:t xml:space="preserve"> </w:t>
      </w:r>
      <w:r>
        <w:t xml:space="preserve">“Safe Reinforcement Learning via Shielding”</w:t>
      </w:r>
      <w:r>
        <w:t xml:space="preserve"> </w:t>
      </w:r>
      <w:r>
        <w:t xml:space="preserve">(2018);</w:t>
      </w:r>
      <w:r>
        <w:t xml:space="preserve"> </w:t>
      </w:r>
      <w:r>
        <w:t xml:space="preserve">Desai et al.,</w:t>
      </w:r>
      <w:r>
        <w:t xml:space="preserve"> </w:t>
      </w:r>
      <w:r>
        <w:t xml:space="preserve">“SOTER”</w:t>
      </w:r>
      <w:r>
        <w:t xml:space="preserve"> </w:t>
      </w:r>
      <w:r>
        <w:t xml:space="preserve">(IROS 2019).</w:t>
      </w:r>
    </w:p>
    <w:p>
      <w:pPr>
        <w:pStyle w:val="BodyText"/>
      </w:pPr>
      <w:r>
        <w:t xml:space="preserve">Chandola, Banerjee, and Kumar,</w:t>
      </w:r>
      <w:r>
        <w:t xml:space="preserve"> </w:t>
      </w:r>
      <w:r>
        <w:t xml:space="preserve">“Anomaly Detection: A Survey”</w:t>
      </w:r>
      <w:r>
        <w:t xml:space="preserve"> </w:t>
      </w:r>
      <w:r>
        <w:t xml:space="preserve">(2009);</w:t>
      </w:r>
      <w:r>
        <w:t xml:space="preserve"> </w:t>
      </w:r>
      <w:r>
        <w:t xml:space="preserve">Liu, Ting, and Zhou,</w:t>
      </w:r>
      <w:r>
        <w:t xml:space="preserve"> </w:t>
      </w:r>
      <w:r>
        <w:t xml:space="preserve">“Isolation Forest”</w:t>
      </w:r>
      <w:r>
        <w:t xml:space="preserve"> </w:t>
      </w:r>
      <w:r>
        <w:t xml:space="preserve">(2008);</w:t>
      </w:r>
      <w:r>
        <w:t xml:space="preserve"> </w:t>
      </w:r>
      <w:r>
        <w:t xml:space="preserve">Teixeira et al.,</w:t>
      </w:r>
      <w:r>
        <w:t xml:space="preserve"> </w:t>
      </w:r>
      <w:r>
        <w:t xml:space="preserve">“A Secure Control Framework for Resource-Limited Adversaries”</w:t>
      </w:r>
      <w:r>
        <w:t xml:space="preserve"> </w:t>
      </w:r>
      <w:r>
        <w:t xml:space="preserve">(2015);</w:t>
      </w:r>
      <w:r>
        <w:t xml:space="preserve"> </w:t>
      </w:r>
      <w:r>
        <w:t xml:space="preserve">Cardenas et al.,</w:t>
      </w:r>
      <w:r>
        <w:t xml:space="preserve"> </w:t>
      </w:r>
      <w:r>
        <w:t xml:space="preserve">“Attacks Against Process Control Systems”</w:t>
      </w:r>
      <w:r>
        <w:t xml:space="preserve"> </w:t>
      </w:r>
      <w:r>
        <w:t xml:space="preserve">(2011);</w:t>
      </w:r>
      <w:r>
        <w:t xml:space="preserve"> </w:t>
      </w:r>
      <w:r>
        <w:t xml:space="preserve">Giraldo et al.,</w:t>
      </w:r>
      <w:r>
        <w:t xml:space="preserve"> </w:t>
      </w:r>
      <w:r>
        <w:t xml:space="preserve">“A Survey of Physics-Based Attack Detection in Cyber-Physical Systems”</w:t>
      </w:r>
      <w:r>
        <w:t xml:space="preserve"> </w:t>
      </w:r>
      <w:r>
        <w:t xml:space="preserve">(2018).</w:t>
      </w:r>
    </w:p>
    <w:p>
      <w:pPr>
        <w:pStyle w:val="BodyText"/>
      </w:pPr>
      <w:r>
        <w:t xml:space="preserve">Energy and storage: Tarascon and Armand (2001), Dunn et al. (2011), Rosewater et al. (2019), Hossain et al. (2020).</w:t>
      </w:r>
      <w:r>
        <w:t xml:space="preserve"> </w:t>
      </w:r>
      <w:r>
        <w:t xml:space="preserve">Bounded automated driving replay: Koopman and Wagner (2016), Shalev-Shwartz et al. (2017), Althoff and Dolan (2014), Herbert et al. (2017).</w:t>
      </w:r>
      <w:r>
        <w:t xml:space="preserve"> </w:t>
      </w:r>
      <w:r>
        <w:t xml:space="preserve">Healthcare monitoring: Lee and Sokolsky (2010), Saeed et al. (2011), Clifford et al. (2009), FDA SaMD guidance (2019).</w:t>
      </w:r>
    </w:p>
    <w:p>
      <w:pPr>
        <w:pStyle w:val="BodyText"/>
      </w:pPr>
      <w:r>
        <w:t xml:space="preserve">Gneiting and Raftery (2007); Makridakis et al. (2020); Lei et al. (2018); Barber, Candès, Ramdas, and Tibshirani (2023).</w:t>
      </w:r>
      <w:r>
        <w:t xml:space="preserve"> </w:t>
      </w:r>
      <w:r>
        <w:t xml:space="preserve">Use the locked artifact index and publication manifests for all thesis-grade claims.</w:t>
      </w:r>
    </w:p>
    <w:bookmarkEnd w:id="283"/>
    <w:bookmarkStart w:id="284" w:name="key-symbol-index"/>
    <w:p>
      <w:pPr>
        <w:pStyle w:val="Heading3"/>
      </w:pPr>
      <w:r>
        <w:t xml:space="preserve">Key Symbol Index</w:t>
      </w:r>
    </w:p>
    <w:p>
      <w:pPr>
        <w:pStyle w:val="FirstParagraph"/>
      </w:pPr>
      <w:r>
        <w:t xml:space="preserve">The dissertation keeps its canonical notation in the core theory and assumption surfaces:</w:t>
      </w:r>
      <w:r>
        <w:t xml:space="preserve"> </w:t>
      </w:r>
      <w:r>
        <w:t xml:space="preserve">see Chapters </w:t>
      </w:r>
      <w:hyperlink w:anchor="ch:formal-problem-formulation">
        <w:r>
          <w:rPr>
            <w:rStyle w:val="Hyperlink"/>
          </w:rPr>
          <w:t xml:space="preserve">3</w:t>
        </w:r>
      </w:hyperlink>
      <w:r>
        <w:t xml:space="preserve">–</w:t>
      </w:r>
      <w:hyperlink w:anchor="ch:mathematical-foundation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Appendix </w:t>
      </w:r>
      <w:hyperlink w:anchor="app:assumptions">
        <w:r>
          <w:rPr>
            <w:rStyle w:val="Hyperlink"/>
          </w:rPr>
          <w:t xml:space="preserve">2</w:t>
        </w:r>
      </w:hyperlink>
      <w:r>
        <w:t xml:space="preserve">.</w:t>
      </w:r>
    </w:p>
    <w:bookmarkEnd w:id="284"/>
    <w:bookmarkStart w:id="285" w:name="artifact-index"/>
    <w:p>
      <w:pPr>
        <w:pStyle w:val="Heading3"/>
      </w:pPr>
      <w:r>
        <w:t xml:space="preserve">Artifact Index</w:t>
      </w:r>
    </w:p>
    <w:p>
      <w:pPr>
        <w:pStyle w:val="FirstParagraph"/>
      </w:pPr>
      <w:r>
        <w:t xml:space="preserve">The artifact, figure, and table index is maintained in the repository at</w:t>
      </w:r>
      <w:r>
        <w:t xml:space="preserve"> </w:t>
      </w:r>
      <w:r>
        <w:t xml:space="preserve">alongside the locked evaluation outputs.</w:t>
      </w:r>
    </w:p>
    <w:bookmarkEnd w:id="285"/>
    <w:bookmarkEnd w:id="286"/>
    <w:bookmarkEnd w:id="2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5" Target="media/rId205.png" /><Relationship Type="http://schemas.openxmlformats.org/officeDocument/2006/relationships/image" Id="rId210" Target="media/rId210.png" /><Relationship Type="http://schemas.openxmlformats.org/officeDocument/2006/relationships/image" Id="rId110" Target="media/rId110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ORIUS: Observation–Reality Integrity for Universal Safety: A Certificate-Aware Runtime Safety Layer for Physical AI under Degraded Observation</dc:title>
  <dc:creator>Pratik Niroula</dc:creator>
  <cp:keywords/>
  <dcterms:created xsi:type="dcterms:W3CDTF">2026-04-26T00:52:52Z</dcterms:created>
  <dcterms:modified xsi:type="dcterms:W3CDTF">2026-04-26T00:52:52Z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date">
    <vt:lpwstr>April 2026</vt:lpwstr>
  </property>
  <property fmtid="{D5CDD505-2E9C-101B-9397-08002B2CF9AE}" pid="4" name="nocite">
    <vt:lpwstr/>
  </property>
</Properties>
</file>