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GridPulse: An Integrated Machine Learning System for</w:t>
      </w:r>
      <w:r>
        <w:br/>
      </w:r>
      <w:r>
        <w:t xml:space="preserve">Renewable Energy Forecasting and Carbon-Aware Battery Dispatch Optimization</w:t>
      </w:r>
    </w:p>
    <w:p>
      <w:pPr>
        <w:pStyle w:val="Author"/>
      </w:pPr>
      <w:r>
        <w:t xml:space="preserve">Pratik Niroula</w:t>
      </w:r>
      <w:r>
        <w:br/>
      </w:r>
      <w:r>
        <w:t xml:space="preserve">MNSU CIT (Major), Math (Minor)</w:t>
      </w:r>
      <w:r>
        <w:br/>
      </w:r>
      <w:r>
        <w:rPr>
          <w:rStyle w:val="VerbatimChar"/>
        </w:rPr>
        <w:t xml:space="preserve">pratik.niroula@mnsu.edu</w:t>
      </w:r>
    </w:p>
    <w:p>
      <w:pPr>
        <w:pStyle w:val="Date"/>
      </w:pPr>
      <w:r>
        <w:t xml:space="preserve">February 1, 2026</w:t>
      </w:r>
    </w:p>
    <w:p>
      <w:pPr>
        <w:pStyle w:val="AbstractTitle"/>
      </w:pPr>
      <w:r>
        <w:t xml:space="preserve">Abstract</w:t>
      </w:r>
    </w:p>
    <w:p>
      <w:pPr>
        <w:pStyle w:val="Abstract"/>
      </w:pPr>
      <w:r>
        <w:t xml:space="preserve">We present GridPulse, an end-to-end machine learning system for renewable energy forecasting and carbon-aware battery dispatch optimization. The system integrates gradient boosting (GBM), Long Short-Term Memory (LSTM), and Temporal Convolutional Network (TCN) models for multi-horizon forecasting of load, wind, and solar generation. We incorporate split conformal prediction for distribution-free uncertainty quantification and develop a mixed-integer linear programming (MILP) optimization engine for battery dispatch that jointly minimizes operating costs and carbon emissions subject to physical constraints.</w:t>
      </w:r>
    </w:p>
    <w:p>
      <w:pPr>
        <w:pStyle w:val="Abstract"/>
      </w:pPr>
      <w:r>
        <w:t xml:space="preserve">Evaluated on real-world data from Germany (OPSD, 17,377 hourly observations, 2015–2017) and the United States (EIA-930 MISO, 92,382 observations, 2019–2024), our GBM-based forecaster achieves RMSE of 271 MW for load and 127 MW for wind generation, representing 95.5% and 98.4% improvements over persistence baselines respectively. Conformal prediction intervals achieve 92.4% coverage at the 90% nominal level for load forecasting. The forecast-driven optimization system demonstrates 2.89% cost reduction ($4.47M over 7 days) and 0.58% carbon reduction (8.5M kg CO</w:t>
      </w:r>
      <m:oMath>
        <m:sSub>
          <m:e>
            <m:r>
              <m:t>​</m:t>
            </m:r>
          </m:e>
          <m:sub>
            <m:r>
              <m:t>2</m:t>
            </m:r>
          </m:sub>
        </m:sSub>
      </m:oMath>
      <w:r>
        <w:t xml:space="preserve">) compared to grid-only baseline operation, while maintaining 0% dispatch infeasibility under 30% forecast perturbations. Diebold-Mariano tests confirm statistically significant improvements (</w:t>
      </w:r>
      <m:oMath>
        <m:r>
          <m:t>p</m:t>
        </m:r>
        <m:r>
          <m:rPr>
            <m:sty m:val="p"/>
          </m:rPr>
          <m:t>&lt;</m:t>
        </m:r>
        <m:r>
          <m:t>0.001</m:t>
        </m:r>
      </m:oMath>
      <w:r>
        <w:t xml:space="preserve">) of GBM over deep learning alternatives. The production-ready system includes drift monitoring, automated retraining triggers, and sub-15ms API inference latency.</w:t>
      </w:r>
    </w:p>
    <w:p>
      <w:pPr>
        <w:pStyle w:val="FirstParagraph"/>
      </w:pPr>
      <w:r>
        <w:rPr>
          <w:b/>
          <w:bCs/>
        </w:rPr>
        <w:t xml:space="preserve">Keywords:</w:t>
      </w:r>
      <w:r>
        <w:t xml:space="preserve"> </w:t>
      </w:r>
      <w:r>
        <w:t xml:space="preserve">Machine Learning, Renewable Energy, Load Forecasting, Battery Storage, Carbon Optimization, Conformal Prediction, MILP</w:t>
      </w:r>
    </w:p>
    <w:bookmarkStart w:id="11" w:name="introduction"/>
    <w:p>
      <w:pPr>
        <w:pStyle w:val="Heading1"/>
      </w:pPr>
      <w:r>
        <w:t xml:space="preserve">Introduction</w:t>
      </w:r>
    </w:p>
    <w:bookmarkStart w:id="9" w:name="motivation"/>
    <w:p>
      <w:pPr>
        <w:pStyle w:val="Heading2"/>
      </w:pPr>
      <w:r>
        <w:t xml:space="preserve">Motivation</w:t>
      </w:r>
    </w:p>
    <w:p>
      <w:pPr>
        <w:pStyle w:val="FirstParagraph"/>
      </w:pPr>
      <w:r>
        <w:t xml:space="preserve">The transition to renewable energy sources presents significant challenges for grid operators. Variable generation from wind and solar resources introduces uncertainty that must be managed through accurate forecasting and optimal storage utilization. Battery energy storage systems (BESS) offer flexibility but require sophisticated dispatch strategies that balance multiple objectives: minimizing operating costs, reducing carbon emissions, and maintaining grid stability.</w:t>
      </w:r>
    </w:p>
    <w:bookmarkEnd w:id="9"/>
    <w:bookmarkStart w:id="10" w:name="contributions"/>
    <w:p>
      <w:pPr>
        <w:pStyle w:val="Heading2"/>
      </w:pPr>
      <w:r>
        <w:t xml:space="preserve">Contributions</w:t>
      </w:r>
    </w:p>
    <w:p>
      <w:pPr>
        <w:pStyle w:val="FirstParagraph"/>
      </w:pPr>
      <w:r>
        <w:t xml:space="preserve">This paper makes the following contributions:</w:t>
      </w:r>
    </w:p>
    <w:p>
      <w:pPr>
        <w:numPr>
          <w:ilvl w:val="0"/>
          <w:numId w:val="1001"/>
        </w:numPr>
      </w:pPr>
      <w:r>
        <w:rPr>
          <w:b/>
          <w:bCs/>
        </w:rPr>
        <w:t xml:space="preserve">Multi-horizon Ensemble Forecasting</w:t>
      </w:r>
      <w:r>
        <w:t xml:space="preserve">: We develop GBM, LSTM, and TCN models for 1–24 hour ahead forecasting of load, wind, and solar generation with systematically evaluated performance across datasets from two countries.</w:t>
      </w:r>
    </w:p>
    <w:p>
      <w:pPr>
        <w:numPr>
          <w:ilvl w:val="0"/>
          <w:numId w:val="1001"/>
        </w:numPr>
      </w:pPr>
      <w:r>
        <w:rPr>
          <w:b/>
          <w:bCs/>
        </w:rPr>
        <w:t xml:space="preserve">Uncertainty Quantification</w:t>
      </w:r>
      <w:r>
        <w:t xml:space="preserve">: We apply conformal prediction to provide calibrated prediction intervals with guaranteed coverage, achieving 92.4% PICP for load forecasting.</w:t>
      </w:r>
    </w:p>
    <w:p>
      <w:pPr>
        <w:numPr>
          <w:ilvl w:val="0"/>
          <w:numId w:val="1001"/>
        </w:numPr>
      </w:pPr>
      <w:r>
        <w:rPr>
          <w:b/>
          <w:bCs/>
        </w:rPr>
        <w:t xml:space="preserve">Carbon-Aware Dispatch Optimization</w:t>
      </w:r>
      <w:r>
        <w:t xml:space="preserve">: We formulate and solve a MILP problem that jointly optimizes cost and carbon emissions, demonstrating measurable improvements over baseline strategies.</w:t>
      </w:r>
    </w:p>
    <w:p>
      <w:pPr>
        <w:numPr>
          <w:ilvl w:val="0"/>
          <w:numId w:val="1001"/>
        </w:numPr>
      </w:pPr>
      <w:r>
        <w:rPr>
          <w:b/>
          <w:bCs/>
        </w:rPr>
        <w:t xml:space="preserve">Production-Ready System</w:t>
      </w:r>
      <w:r>
        <w:t xml:space="preserve">: We present a complete system with drift monitoring, automated retraining triggers, and deployment infrastructure validated through comprehensive release testing.</w:t>
      </w:r>
    </w:p>
    <w:bookmarkEnd w:id="10"/>
    <w:bookmarkEnd w:id="11"/>
    <w:bookmarkStart w:id="16" w:name="related-work"/>
    <w:p>
      <w:pPr>
        <w:pStyle w:val="Heading1"/>
      </w:pPr>
      <w:r>
        <w:t xml:space="preserve">Related Work</w:t>
      </w:r>
    </w:p>
    <w:bookmarkStart w:id="12" w:name="load-and-renewable-energy-forecasting"/>
    <w:p>
      <w:pPr>
        <w:pStyle w:val="Heading2"/>
      </w:pPr>
      <w:r>
        <w:t xml:space="preserve">Load and Renewable Energy Forecasting</w:t>
      </w:r>
    </w:p>
    <w:p>
      <w:pPr>
        <w:pStyle w:val="FirstParagraph"/>
      </w:pPr>
      <w:r>
        <w:t xml:space="preserve">Traditional statistical methods including ARIMA, exponential smoothing, and seasonal decomposition have been widely applied to load forecasting</w:t>
      </w:r>
      <w:r>
        <w:t xml:space="preserve"> </w:t>
      </w:r>
      <w:r>
        <w:t xml:space="preserve">. The Global Energy Forecasting Competition series established benchmarks showing gradient boosting methods consistently outperform alternatives on tabular energy data</w:t>
      </w:r>
      <w:r>
        <w:t xml:space="preserve"> </w:t>
      </w:r>
      <w:r>
        <w:t xml:space="preserve">. Grinsztajn et al. provide a comprehensive analysis of why tree-based methods remain competitive with deep learning on structured data</w:t>
      </w:r>
      <w:r>
        <w:t xml:space="preserve"> </w:t>
      </w:r>
      <w:r>
        <w:t xml:space="preserve">.</w:t>
      </w:r>
    </w:p>
    <w:p>
      <w:pPr>
        <w:pStyle w:val="BodyText"/>
      </w:pPr>
      <w:r>
        <w:t xml:space="preserve">Deep learning approaches have shown promise for capturing complex temporal patterns. LSTM models enable learning long-range dependencies</w:t>
      </w:r>
      <w:r>
        <w:t xml:space="preserve"> </w:t>
      </w:r>
      <w:r>
        <w:t xml:space="preserve">, while Temporal Convolutional Networks offer parallelizable alternatives</w:t>
      </w:r>
      <w:r>
        <w:t xml:space="preserve"> </w:t>
      </w:r>
      <w:r>
        <w:t xml:space="preserve">. Transformer-based models have recently been applied to energy forecasting, though computational costs remain high for operational deployment</w:t>
      </w:r>
      <w:r>
        <w:t xml:space="preserve"> </w:t>
      </w:r>
      <w:r>
        <w:t xml:space="preserve">.</w:t>
      </w:r>
    </w:p>
    <w:p>
      <w:pPr>
        <w:pStyle w:val="BodyText"/>
      </w:pPr>
      <w:r>
        <w:t xml:space="preserve">For renewable energy, Sweeney et al. survey wind power forecasting methods</w:t>
      </w:r>
      <w:r>
        <w:t xml:space="preserve"> </w:t>
      </w:r>
      <w:r>
        <w:t xml:space="preserve">, while Lorenz et al. address solar irradiance prediction challenges including cloud transients and seasonal patterns</w:t>
      </w:r>
      <w:r>
        <w:t xml:space="preserve"> </w:t>
      </w:r>
      <w:r>
        <w:t xml:space="preserve">.</w:t>
      </w:r>
    </w:p>
    <w:bookmarkEnd w:id="12"/>
    <w:bookmarkStart w:id="13" w:name="battery-storage-optimization"/>
    <w:p>
      <w:pPr>
        <w:pStyle w:val="Heading2"/>
      </w:pPr>
      <w:r>
        <w:t xml:space="preserve">Battery Storage Optimization</w:t>
      </w:r>
    </w:p>
    <w:p>
      <w:pPr>
        <w:pStyle w:val="FirstParagraph"/>
      </w:pPr>
      <w:r>
        <w:t xml:space="preserve">Optimal battery dispatch has been formulated using diverse mathematical frameworks. Linear programming provides tractable solutions for convex problems</w:t>
      </w:r>
      <w:r>
        <w:t xml:space="preserve"> </w:t>
      </w:r>
      <w:r>
        <w:t xml:space="preserve">, while Bertsimas and Sim introduce robust optimization to handle forecast uncertainty</w:t>
      </w:r>
      <w:r>
        <w:t xml:space="preserve"> </w:t>
      </w:r>
      <w:r>
        <w:t xml:space="preserve">. Mixed-integer programming captures binary charge/discharge decisions</w:t>
      </w:r>
      <w:r>
        <w:t xml:space="preserve"> </w:t>
      </w:r>
      <w:r>
        <w:t xml:space="preserve">. Model Predictive Control enables rolling-horizon optimization with feedback</w:t>
      </w:r>
      <w:r>
        <w:t xml:space="preserve"> </w:t>
      </w:r>
      <w:r>
        <w:t xml:space="preserve">. Reinforcement learning approaches learn dispatch policies directly from experience but require extensive training and may lack safety guarantees</w:t>
      </w:r>
      <w:r>
        <w:t xml:space="preserve"> </w:t>
      </w:r>
      <w:r>
        <w:t xml:space="preserve">. Pecan Street provides real-world battery dispatch datasets for benchmarking</w:t>
      </w:r>
      <w:r>
        <w:t xml:space="preserve"> </w:t>
      </w:r>
      <w:r>
        <w:t xml:space="preserve">. Our approach combines forecast-driven MILP with conformal prediction intervals for uncertainty-aware constraints.</w:t>
      </w:r>
    </w:p>
    <w:bookmarkEnd w:id="13"/>
    <w:bookmarkStart w:id="14" w:name="Xe91f4e0d06a4ce6f6ba0f47a17c1938474c5a69"/>
    <w:p>
      <w:pPr>
        <w:pStyle w:val="Heading2"/>
      </w:pPr>
      <w:r>
        <w:t xml:space="preserve">Conformal Prediction for Uncertainty Quantification</w:t>
      </w:r>
    </w:p>
    <w:p>
      <w:pPr>
        <w:pStyle w:val="FirstParagraph"/>
      </w:pPr>
      <w:r>
        <w:t xml:space="preserve">Conformal prediction provides distribution-free prediction intervals with finite-sample coverage guarantees</w:t>
      </w:r>
      <w:r>
        <w:t xml:space="preserve"> </w:t>
      </w:r>
      <w:r>
        <w:t xml:space="preserve">. Romano et al. extend conformalization to quantile regression</w:t>
      </w:r>
      <w:r>
        <w:t xml:space="preserve"> </w:t>
      </w:r>
      <w:r>
        <w:t xml:space="preserve">, while Barber et al. address distribution shift scenarios</w:t>
      </w:r>
      <w:r>
        <w:t xml:space="preserve"> </w:t>
      </w:r>
      <w:r>
        <w:t xml:space="preserve">. For time series, Chernozhukov et al. develop conformal inference under temporal dependence</w:t>
      </w:r>
      <w:r>
        <w:t xml:space="preserve"> </w:t>
      </w:r>
      <w:r>
        <w:t xml:space="preserve">. Zaffran et al. propose adaptive conformal inference for non-stationary sequences</w:t>
      </w:r>
      <w:r>
        <w:t xml:space="preserve"> </w:t>
      </w:r>
      <w:r>
        <w:t xml:space="preserve">.</w:t>
      </w:r>
    </w:p>
    <w:bookmarkEnd w:id="14"/>
    <w:bookmarkStart w:id="15" w:name="Xc288dfd606477cba895a603c08dd37bf167bd53"/>
    <w:p>
      <w:pPr>
        <w:pStyle w:val="Heading2"/>
      </w:pPr>
      <w:r>
        <w:t xml:space="preserve">Carbon-Aware Computing and Grid Emissions</w:t>
      </w:r>
    </w:p>
    <w:p>
      <w:pPr>
        <w:pStyle w:val="FirstParagraph"/>
      </w:pPr>
      <w:r>
        <w:t xml:space="preserve">Marginal emissions intensity varies significantly by time and location</w:t>
      </w:r>
      <w:r>
        <w:t xml:space="preserve"> </w:t>
      </w:r>
      <w:r>
        <w:t xml:space="preserve">. WattTime and Electricity Maps provide real-time carbon intensity APIs. Baseline emission factors from EPA eGRID enable retrospective analysis</w:t>
      </w:r>
      <w:r>
        <w:t xml:space="preserve"> </w:t>
      </w:r>
      <w:r>
        <w:t xml:space="preserve">. Radovanovic et al. demonstrate 30–40% carbon reductions through temporally-aware workload scheduling in data centers, motivating similar approaches for battery dispatch</w:t>
      </w:r>
      <w:r>
        <w:t xml:space="preserve"> </w:t>
      </w:r>
      <w:r>
        <w:t xml:space="preserve">.</w:t>
      </w:r>
    </w:p>
    <w:bookmarkEnd w:id="15"/>
    <w:bookmarkEnd w:id="16"/>
    <w:bookmarkStart w:id="31" w:name="methodology"/>
    <w:p>
      <w:pPr>
        <w:pStyle w:val="Heading1"/>
      </w:pPr>
      <w:r>
        <w:t xml:space="preserve">Methodology</w:t>
      </w:r>
    </w:p>
    <w:bookmarkStart w:id="20" w:name="data-sources-and-preprocessing"/>
    <w:p>
      <w:pPr>
        <w:pStyle w:val="Heading2"/>
      </w:pPr>
      <w:r>
        <w:t xml:space="preserve">Data Sources and Preprocessing</w:t>
      </w:r>
    </w:p>
    <w:p>
      <w:pPr>
        <w:pStyle w:val="FirstParagraph"/>
      </w:pPr>
      <w:r>
        <w:t xml:space="preserve">We utilize two primary datasets as summarized in Table </w:t>
      </w:r>
      <w:hyperlink w:anchor="tab:datasets">
        <w:r>
          <w:rPr>
            <w:rStyle w:val="Hyperlink"/>
          </w:rPr>
          <w:t xml:space="preserve">1</w:t>
        </w:r>
      </w:hyperlink>
      <w:r>
        <w:t xml:space="preserve">.</w:t>
      </w:r>
    </w:p>
    <w:bookmarkStart w:id="17" w:name="tab:datasets"/>
    <w:p>
      <w:pPr>
        <w:pStyle w:val="TableCaption"/>
      </w:pPr>
      <w:r>
        <w:t xml:space="preserve">Dataset Characteristics</w:t>
      </w:r>
    </w:p>
    <w:tbl>
      <w:tblPr>
        <w:tblStyle w:val="Table"/>
        <w:tblW w:type="auto" w:w="0"/>
        <w:tblLook w:firstRow="1" w:lastRow="0" w:firstColumn="0" w:lastColumn="0" w:noHBand="0" w:noVBand="0" w:val="0020"/>
        <w:tblCaption w:val="Dataset Characteristics"/>
      </w:tblPr>
      <w:tblGrid>
        <w:gridCol w:w="1584"/>
        <w:gridCol w:w="1584"/>
        <w:gridCol w:w="1584"/>
        <w:gridCol w:w="1584"/>
        <w:gridCol w:w="1584"/>
      </w:tblGrid>
      <w:tr>
        <w:trPr>
          <w:tblHeader w:val="on"/>
        </w:trPr>
        <w:tc>
          <w:tcPr/>
          <w:p>
            <w:pPr>
              <w:pStyle w:val="Compact"/>
              <w:jc w:val="left"/>
            </w:pPr>
            <w:r>
              <w:rPr>
                <w:b/>
                <w:bCs/>
              </w:rPr>
              <w:t xml:space="preserve">Attribute</w:t>
            </w:r>
          </w:p>
        </w:tc>
        <w:tc>
          <w:tcPr/>
          <w:p>
            <w:pPr>
              <w:pStyle w:val="Compact"/>
              <w:jc w:val="right"/>
            </w:pPr>
            <w:r>
              <w:rPr>
                <w:b/>
                <w:bCs/>
              </w:rPr>
              <w:t xml:space="preserve">Germany (OPSD)</w:t>
            </w:r>
          </w:p>
        </w:tc>
        <w:tc>
          <w:tcPr/>
          <w:p>
            <w:pPr>
              <w:pStyle w:val="Compact"/>
              <w:jc w:val="right"/>
            </w:pPr>
            <w:r>
              <w:rPr>
                <w:b/>
                <w:bCs/>
              </w:rPr>
              <w:t xml:space="preserve">USA (EIA-930)</w:t>
            </w:r>
          </w:p>
        </w:tc>
        <w:tc>
          <w:tcPr/>
          <w:p>
            <w:pPr>
              <w:pStyle w:val="Compact"/>
            </w:pPr>
          </w:p>
        </w:tc>
        <w:tc>
          <w:tcPr/>
          <w:p>
            <w:pPr>
              <w:pStyle w:val="Compact"/>
            </w:pPr>
          </w:p>
        </w:tc>
      </w:tr>
      <w:tr>
        <w:tc>
          <w:tcPr>
            <w:gridSpan w:val="3"/>
          </w:tcPr>
          <w:p>
            <w:pPr>
              <w:pStyle w:val="Compact"/>
              <w:jc w:val="left"/>
            </w:pPr>
            <w:r>
              <w:rPr>
                <w:i/>
                <w:iCs/>
              </w:rPr>
              <w:t xml:space="preserve">General</w:t>
            </w:r>
          </w:p>
        </w:tc>
        <w:tc>
          <w:tcPr/>
          <w:p>
            <w:pPr>
              <w:pStyle w:val="Compact"/>
            </w:pPr>
          </w:p>
        </w:tc>
        <w:tc>
          <w:tcPr/>
          <w:p>
            <w:pPr>
              <w:pStyle w:val="Compact"/>
            </w:pPr>
          </w:p>
        </w:tc>
      </w:tr>
      <w:tr>
        <w:tc>
          <w:tcPr/>
          <w:p>
            <w:pPr>
              <w:pStyle w:val="Compact"/>
              <w:jc w:val="left"/>
            </w:pPr>
            <w:r>
              <w:t xml:space="preserve">Source</w:t>
            </w:r>
          </w:p>
        </w:tc>
        <w:tc>
          <w:tcPr/>
          <w:p>
            <w:pPr>
              <w:pStyle w:val="Compact"/>
              <w:jc w:val="right"/>
            </w:pPr>
            <w:r>
              <w:t xml:space="preserve">Open Power System Data</w:t>
            </w:r>
          </w:p>
        </w:tc>
        <w:tc>
          <w:tcPr/>
          <w:p>
            <w:pPr>
              <w:pStyle w:val="Compact"/>
              <w:jc w:val="right"/>
            </w:pPr>
            <w:r>
              <w:t xml:space="preserve">EIA Grid Monitor</w:t>
            </w:r>
          </w:p>
        </w:tc>
        <w:tc>
          <w:tcPr/>
          <w:p>
            <w:pPr>
              <w:pStyle w:val="Compact"/>
            </w:pPr>
          </w:p>
        </w:tc>
        <w:tc>
          <w:tcPr/>
          <w:p>
            <w:pPr>
              <w:pStyle w:val="Compact"/>
            </w:pPr>
          </w:p>
        </w:tc>
      </w:tr>
      <w:tr>
        <w:tc>
          <w:tcPr/>
          <w:p>
            <w:pPr>
              <w:pStyle w:val="Compact"/>
              <w:jc w:val="left"/>
            </w:pPr>
            <w:r>
              <w:t xml:space="preserve">Region</w:t>
            </w:r>
          </w:p>
        </w:tc>
        <w:tc>
          <w:tcPr/>
          <w:p>
            <w:pPr>
              <w:pStyle w:val="Compact"/>
              <w:jc w:val="right"/>
            </w:pPr>
            <w:r>
              <w:t xml:space="preserve">Germany (national)</w:t>
            </w:r>
          </w:p>
        </w:tc>
        <w:tc>
          <w:tcPr/>
          <w:p>
            <w:pPr>
              <w:pStyle w:val="Compact"/>
              <w:jc w:val="right"/>
            </w:pPr>
            <w:r>
              <w:t xml:space="preserve">MISO (Midwest US)</w:t>
            </w:r>
          </w:p>
        </w:tc>
        <w:tc>
          <w:tcPr/>
          <w:p>
            <w:pPr>
              <w:pStyle w:val="Compact"/>
            </w:pPr>
          </w:p>
        </w:tc>
        <w:tc>
          <w:tcPr/>
          <w:p>
            <w:pPr>
              <w:pStyle w:val="Compact"/>
            </w:pPr>
          </w:p>
        </w:tc>
      </w:tr>
      <w:tr>
        <w:tc>
          <w:tcPr/>
          <w:p>
            <w:pPr>
              <w:pStyle w:val="Compact"/>
              <w:jc w:val="left"/>
            </w:pPr>
            <w:r>
              <w:t xml:space="preserve">Period</w:t>
            </w:r>
          </w:p>
        </w:tc>
        <w:tc>
          <w:tcPr/>
          <w:p>
            <w:pPr>
              <w:pStyle w:val="Compact"/>
              <w:jc w:val="right"/>
            </w:pPr>
            <w:r>
              <w:t xml:space="preserve">2015–2017</w:t>
            </w:r>
          </w:p>
        </w:tc>
        <w:tc>
          <w:tcPr/>
          <w:p>
            <w:pPr>
              <w:pStyle w:val="Compact"/>
              <w:jc w:val="right"/>
            </w:pPr>
            <w:r>
              <w:t xml:space="preserve">2019–2024</w:t>
            </w:r>
          </w:p>
        </w:tc>
        <w:tc>
          <w:tcPr/>
          <w:p>
            <w:pPr>
              <w:pStyle w:val="Compact"/>
            </w:pPr>
          </w:p>
        </w:tc>
        <w:tc>
          <w:tcPr/>
          <w:p>
            <w:pPr>
              <w:pStyle w:val="Compact"/>
            </w:pPr>
          </w:p>
        </w:tc>
      </w:tr>
      <w:tr>
        <w:tc>
          <w:tcPr/>
          <w:p>
            <w:pPr>
              <w:pStyle w:val="Compact"/>
              <w:jc w:val="left"/>
            </w:pPr>
            <w:r>
              <w:t xml:space="preserve">Resolution</w:t>
            </w:r>
          </w:p>
        </w:tc>
        <w:tc>
          <w:tcPr/>
          <w:p>
            <w:pPr>
              <w:pStyle w:val="Compact"/>
              <w:jc w:val="right"/>
            </w:pPr>
            <w:r>
              <w:t xml:space="preserve">Hourly</w:t>
            </w:r>
          </w:p>
        </w:tc>
        <w:tc>
          <w:tcPr/>
          <w:p>
            <w:pPr>
              <w:pStyle w:val="Compact"/>
              <w:jc w:val="right"/>
            </w:pPr>
            <w:r>
              <w:t xml:space="preserve">Hourly</w:t>
            </w:r>
          </w:p>
        </w:tc>
        <w:tc>
          <w:tcPr/>
          <w:p>
            <w:pPr>
              <w:pStyle w:val="Compact"/>
            </w:pPr>
          </w:p>
        </w:tc>
        <w:tc>
          <w:tcPr/>
          <w:p>
            <w:pPr>
              <w:pStyle w:val="Compact"/>
            </w:pPr>
          </w:p>
        </w:tc>
      </w:tr>
      <w:tr>
        <w:tc>
          <w:tcPr/>
          <w:p>
            <w:pPr>
              <w:pStyle w:val="Compact"/>
              <w:jc w:val="left"/>
            </w:pPr>
            <w:r>
              <w:t xml:space="preserve">Observations</w:t>
            </w:r>
          </w:p>
        </w:tc>
        <w:tc>
          <w:tcPr/>
          <w:p>
            <w:pPr>
              <w:pStyle w:val="Compact"/>
              <w:jc w:val="right"/>
            </w:pPr>
            <w:r>
              <w:t xml:space="preserve">17,377</w:t>
            </w:r>
          </w:p>
        </w:tc>
        <w:tc>
          <w:tcPr/>
          <w:p>
            <w:pPr>
              <w:pStyle w:val="Compact"/>
              <w:jc w:val="right"/>
            </w:pPr>
            <w:r>
              <w:t xml:space="preserve">92,382</w:t>
            </w:r>
          </w:p>
        </w:tc>
        <w:tc>
          <w:tcPr/>
          <w:p>
            <w:pPr>
              <w:pStyle w:val="Compact"/>
            </w:pPr>
          </w:p>
        </w:tc>
        <w:tc>
          <w:tcPr/>
          <w:p>
            <w:pPr>
              <w:pStyle w:val="Compact"/>
            </w:pPr>
          </w:p>
        </w:tc>
      </w:tr>
      <w:tr>
        <w:tc>
          <w:tcPr>
            <w:gridSpan w:val="3"/>
          </w:tcPr>
          <w:p>
            <w:pPr>
              <w:pStyle w:val="Compact"/>
              <w:jc w:val="left"/>
            </w:pPr>
            <w:r>
              <w:rPr>
                <w:i/>
                <w:iCs/>
              </w:rPr>
              <w:t xml:space="preserve">Targets</w:t>
            </w:r>
          </w:p>
        </w:tc>
        <w:tc>
          <w:tcPr/>
          <w:p>
            <w:pPr>
              <w:pStyle w:val="Compact"/>
            </w:pPr>
          </w:p>
        </w:tc>
        <w:tc>
          <w:tcPr/>
          <w:p>
            <w:pPr>
              <w:pStyle w:val="Compact"/>
            </w:pPr>
          </w:p>
        </w:tc>
      </w:tr>
      <w:tr>
        <w:tc>
          <w:tcPr/>
          <w:p>
            <w:pPr>
              <w:pStyle w:val="Compact"/>
              <w:jc w:val="left"/>
            </w:pPr>
            <w:r>
              <w:t xml:space="preserve">Load (MW)</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Wind (MW)</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Solar (MW)</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Price (€/MWh)</w:t>
            </w:r>
          </w:p>
        </w:tc>
        <w:tc>
          <w:tcPr/>
          <w:p>
            <w:pPr>
              <w:pStyle w:val="Compact"/>
            </w:pPr>
          </w:p>
        </w:tc>
        <w:tc>
          <w:tcPr/>
          <w:p>
            <w:pPr>
              <w:pStyle w:val="Compact"/>
              <w:jc w:val="right"/>
            </w:pPr>
            <w:r>
              <w:t xml:space="preserve">—</w:t>
            </w:r>
          </w:p>
        </w:tc>
        <w:tc>
          <w:tcPr/>
          <w:p>
            <w:pPr>
              <w:pStyle w:val="Compact"/>
            </w:pPr>
          </w:p>
        </w:tc>
        <w:tc>
          <w:tcPr/>
          <w:p>
            <w:pPr>
              <w:pStyle w:val="Compact"/>
            </w:pPr>
          </w:p>
        </w:tc>
      </w:tr>
      <w:tr>
        <w:tc>
          <w:tcPr>
            <w:gridSpan w:val="3"/>
          </w:tcPr>
          <w:p>
            <w:pPr>
              <w:pStyle w:val="Compact"/>
              <w:jc w:val="left"/>
            </w:pPr>
            <w:r>
              <w:rPr>
                <w:i/>
                <w:iCs/>
              </w:rPr>
              <w:t xml:space="preserve">Features</w:t>
            </w:r>
          </w:p>
        </w:tc>
        <w:tc>
          <w:tcPr/>
          <w:p>
            <w:pPr>
              <w:pStyle w:val="Compact"/>
            </w:pPr>
          </w:p>
        </w:tc>
        <w:tc>
          <w:tcPr/>
          <w:p>
            <w:pPr>
              <w:pStyle w:val="Compact"/>
            </w:pPr>
          </w:p>
        </w:tc>
      </w:tr>
      <w:tr>
        <w:tc>
          <w:tcPr/>
          <w:p>
            <w:pPr>
              <w:pStyle w:val="Compact"/>
              <w:jc w:val="left"/>
            </w:pPr>
            <w:r>
              <w:t xml:space="preserve">Lag features (1–168h)</w:t>
            </w:r>
          </w:p>
        </w:tc>
        <w:tc>
          <w:tcPr/>
          <w:p>
            <w:pPr>
              <w:pStyle w:val="Compact"/>
              <w:jc w:val="right"/>
            </w:pPr>
            <w:r>
              <w:t xml:space="preserve">18</w:t>
            </w:r>
          </w:p>
        </w:tc>
        <w:tc>
          <w:tcPr/>
          <w:p>
            <w:pPr>
              <w:pStyle w:val="Compact"/>
              <w:jc w:val="right"/>
            </w:pPr>
            <w:r>
              <w:t xml:space="preserve">18</w:t>
            </w:r>
          </w:p>
        </w:tc>
        <w:tc>
          <w:tcPr/>
          <w:p>
            <w:pPr>
              <w:pStyle w:val="Compact"/>
            </w:pPr>
          </w:p>
        </w:tc>
        <w:tc>
          <w:tcPr/>
          <w:p>
            <w:pPr>
              <w:pStyle w:val="Compact"/>
            </w:pPr>
          </w:p>
        </w:tc>
      </w:tr>
      <w:tr>
        <w:tc>
          <w:tcPr/>
          <w:p>
            <w:pPr>
              <w:pStyle w:val="Compact"/>
              <w:jc w:val="left"/>
            </w:pPr>
            <w:r>
              <w:t xml:space="preserve">Rolling statistics</w:t>
            </w:r>
          </w:p>
        </w:tc>
        <w:tc>
          <w:tcPr/>
          <w:p>
            <w:pPr>
              <w:pStyle w:val="Compact"/>
              <w:jc w:val="right"/>
            </w:pPr>
            <w:r>
              <w:t xml:space="preserve">12</w:t>
            </w:r>
          </w:p>
        </w:tc>
        <w:tc>
          <w:tcPr/>
          <w:p>
            <w:pPr>
              <w:pStyle w:val="Compact"/>
              <w:jc w:val="right"/>
            </w:pPr>
            <w:r>
              <w:t xml:space="preserve">12</w:t>
            </w:r>
          </w:p>
        </w:tc>
        <w:tc>
          <w:tcPr/>
          <w:p>
            <w:pPr>
              <w:pStyle w:val="Compact"/>
            </w:pPr>
          </w:p>
        </w:tc>
        <w:tc>
          <w:tcPr/>
          <w:p>
            <w:pPr>
              <w:pStyle w:val="Compact"/>
            </w:pPr>
          </w:p>
        </w:tc>
      </w:tr>
      <w:tr>
        <w:tc>
          <w:tcPr/>
          <w:p>
            <w:pPr>
              <w:pStyle w:val="Compact"/>
              <w:jc w:val="left"/>
            </w:pPr>
            <w:r>
              <w:t xml:space="preserve">Calendar features</w:t>
            </w:r>
          </w:p>
        </w:tc>
        <w:tc>
          <w:tcPr/>
          <w:p>
            <w:pPr>
              <w:pStyle w:val="Compact"/>
              <w:jc w:val="right"/>
            </w:pPr>
            <w:r>
              <w:t xml:space="preserve">8</w:t>
            </w:r>
          </w:p>
        </w:tc>
        <w:tc>
          <w:tcPr/>
          <w:p>
            <w:pPr>
              <w:pStyle w:val="Compact"/>
              <w:jc w:val="right"/>
            </w:pPr>
            <w:r>
              <w:t xml:space="preserve">8</w:t>
            </w:r>
          </w:p>
        </w:tc>
        <w:tc>
          <w:tcPr/>
          <w:p>
            <w:pPr>
              <w:pStyle w:val="Compact"/>
            </w:pPr>
          </w:p>
        </w:tc>
        <w:tc>
          <w:tcPr/>
          <w:p>
            <w:pPr>
              <w:pStyle w:val="Compact"/>
            </w:pPr>
          </w:p>
        </w:tc>
      </w:tr>
      <w:tr>
        <w:tc>
          <w:tcPr/>
          <w:p>
            <w:pPr>
              <w:pStyle w:val="Compact"/>
              <w:jc w:val="left"/>
            </w:pPr>
            <w:r>
              <w:t xml:space="preserve">Weather features</w:t>
            </w:r>
          </w:p>
        </w:tc>
        <w:tc>
          <w:tcPr/>
          <w:p>
            <w:pPr>
              <w:pStyle w:val="Compact"/>
              <w:jc w:val="right"/>
            </w:pPr>
            <w:r>
              <w:t xml:space="preserve">4</w:t>
            </w:r>
          </w:p>
        </w:tc>
        <w:tc>
          <w:tcPr/>
          <w:p>
            <w:pPr>
              <w:pStyle w:val="Compact"/>
              <w:jc w:val="right"/>
            </w:pPr>
            <w:r>
              <w:t xml:space="preserve">4</w:t>
            </w:r>
          </w:p>
        </w:tc>
        <w:tc>
          <w:tcPr/>
          <w:p>
            <w:pPr>
              <w:pStyle w:val="Compact"/>
            </w:pPr>
          </w:p>
        </w:tc>
        <w:tc>
          <w:tcPr/>
          <w:p>
            <w:pPr>
              <w:pStyle w:val="Compact"/>
            </w:pPr>
          </w:p>
        </w:tc>
      </w:tr>
      <w:tr>
        <w:tc>
          <w:tcPr/>
          <w:p>
            <w:pPr>
              <w:pStyle w:val="Compact"/>
              <w:jc w:val="left"/>
            </w:pPr>
            <w:r>
              <w:t xml:space="preserve">Total features</w:t>
            </w:r>
          </w:p>
        </w:tc>
        <w:tc>
          <w:tcPr/>
          <w:p>
            <w:pPr>
              <w:pStyle w:val="Compact"/>
              <w:jc w:val="right"/>
            </w:pPr>
            <w:r>
              <w:t xml:space="preserve">93</w:t>
            </w:r>
          </w:p>
        </w:tc>
        <w:tc>
          <w:tcPr/>
          <w:p>
            <w:pPr>
              <w:pStyle w:val="Compact"/>
              <w:jc w:val="right"/>
            </w:pPr>
            <w:r>
              <w:t xml:space="preserve">93</w:t>
            </w:r>
          </w:p>
        </w:tc>
        <w:tc>
          <w:tcPr/>
          <w:p>
            <w:pPr>
              <w:pStyle w:val="Compact"/>
            </w:pPr>
          </w:p>
        </w:tc>
        <w:tc>
          <w:tcPr/>
          <w:p>
            <w:pPr>
              <w:pStyle w:val="Compact"/>
            </w:pPr>
          </w:p>
        </w:tc>
      </w:tr>
      <w:tr>
        <w:tc>
          <w:tcPr>
            <w:gridSpan w:val="3"/>
          </w:tcPr>
          <w:p>
            <w:pPr>
              <w:pStyle w:val="Compact"/>
              <w:jc w:val="left"/>
            </w:pPr>
            <w:r>
              <w:rPr>
                <w:i/>
                <w:iCs/>
              </w:rPr>
              <w:t xml:space="preserve">Split</w:t>
            </w:r>
          </w:p>
        </w:tc>
        <w:tc>
          <w:tcPr/>
          <w:p>
            <w:pPr>
              <w:pStyle w:val="Compact"/>
            </w:pPr>
          </w:p>
        </w:tc>
        <w:tc>
          <w:tcPr/>
          <w:p>
            <w:pPr>
              <w:pStyle w:val="Compact"/>
            </w:pPr>
          </w:p>
        </w:tc>
      </w:tr>
      <w:tr>
        <w:tc>
          <w:tcPr/>
          <w:p>
            <w:pPr>
              <w:pStyle w:val="Compact"/>
              <w:jc w:val="left"/>
            </w:pPr>
            <w:r>
              <w:t xml:space="preserve">Train</w:t>
            </w:r>
          </w:p>
        </w:tc>
        <w:tc>
          <w:tcPr/>
          <w:p>
            <w:pPr>
              <w:pStyle w:val="Compact"/>
              <w:jc w:val="right"/>
            </w:pPr>
            <w:r>
              <w:t xml:space="preserve">80%</w:t>
            </w:r>
          </w:p>
        </w:tc>
        <w:tc>
          <w:tcPr/>
          <w:p>
            <w:pPr>
              <w:pStyle w:val="Compact"/>
              <w:jc w:val="right"/>
            </w:pPr>
            <w:r>
              <w:t xml:space="preserve">80%</w:t>
            </w:r>
          </w:p>
        </w:tc>
        <w:tc>
          <w:tcPr/>
          <w:p>
            <w:pPr>
              <w:pStyle w:val="Compact"/>
            </w:pPr>
          </w:p>
        </w:tc>
        <w:tc>
          <w:tcPr/>
          <w:p>
            <w:pPr>
              <w:pStyle w:val="Compact"/>
            </w:pPr>
          </w:p>
        </w:tc>
      </w:tr>
      <w:tr>
        <w:tc>
          <w:tcPr/>
          <w:p>
            <w:pPr>
              <w:pStyle w:val="Compact"/>
              <w:jc w:val="left"/>
            </w:pPr>
            <w:r>
              <w:t xml:space="preserve">Validation</w:t>
            </w:r>
          </w:p>
        </w:tc>
        <w:tc>
          <w:tcPr/>
          <w:p>
            <w:pPr>
              <w:pStyle w:val="Compact"/>
              <w:jc w:val="right"/>
            </w:pPr>
            <w:r>
              <w:t xml:space="preserve">—</w:t>
            </w:r>
          </w:p>
        </w:tc>
        <w:tc>
          <w:tcPr/>
          <w:p>
            <w:pPr>
              <w:pStyle w:val="Compact"/>
              <w:jc w:val="right"/>
            </w:pPr>
            <w:r>
              <w:t xml:space="preserve">10%</w:t>
            </w:r>
          </w:p>
        </w:tc>
        <w:tc>
          <w:tcPr/>
          <w:p>
            <w:pPr>
              <w:pStyle w:val="Compact"/>
            </w:pPr>
          </w:p>
        </w:tc>
        <w:tc>
          <w:tcPr/>
          <w:p>
            <w:pPr>
              <w:pStyle w:val="Compact"/>
            </w:pPr>
          </w:p>
        </w:tc>
      </w:tr>
      <w:tr>
        <w:tc>
          <w:tcPr/>
          <w:p>
            <w:pPr>
              <w:pStyle w:val="Compact"/>
              <w:jc w:val="left"/>
            </w:pPr>
            <w:r>
              <w:t xml:space="preserve">Test</w:t>
            </w:r>
          </w:p>
        </w:tc>
        <w:tc>
          <w:tcPr/>
          <w:p>
            <w:pPr>
              <w:pStyle w:val="Compact"/>
              <w:jc w:val="right"/>
            </w:pPr>
            <w:r>
              <w:t xml:space="preserve">20%</w:t>
            </w:r>
          </w:p>
        </w:tc>
        <w:tc>
          <w:tcPr/>
          <w:p>
            <w:pPr>
              <w:pStyle w:val="Compact"/>
              <w:jc w:val="right"/>
            </w:pPr>
            <w:r>
              <w:t xml:space="preserve">10%</w:t>
            </w:r>
          </w:p>
        </w:tc>
        <w:tc>
          <w:tcPr/>
          <w:p>
            <w:pPr>
              <w:pStyle w:val="Compact"/>
            </w:pPr>
          </w:p>
        </w:tc>
        <w:tc>
          <w:tcPr/>
          <w:p>
            <w:pPr>
              <w:pStyle w:val="Compact"/>
            </w:pPr>
          </w:p>
        </w:tc>
      </w:tr>
    </w:tbl>
    <w:bookmarkEnd w:id="17"/>
    <w:p>
      <w:pPr>
        <w:pStyle w:val="BodyText"/>
      </w:pPr>
      <w:r>
        <w:t xml:space="preserve">OPSD:</w:t>
      </w:r>
      <w:r>
        <w:t xml:space="preserve"> </w:t>
      </w:r>
      <w:hyperlink r:id="rId18">
        <w:r>
          <w:rPr>
            <w:rStyle w:val="Hyperlink"/>
          </w:rPr>
          <w:t xml:space="preserve">https://open-power-system-data.org/</w:t>
        </w:r>
      </w:hyperlink>
    </w:p>
    <w:p>
      <w:pPr>
        <w:pStyle w:val="BodyText"/>
      </w:pPr>
      <w:r>
        <w:t xml:space="preserve">EIA-930:</w:t>
      </w:r>
      <w:r>
        <w:t xml:space="preserve"> </w:t>
      </w:r>
      <w:hyperlink r:id="rId19">
        <w:r>
          <w:rPr>
            <w:rStyle w:val="Hyperlink"/>
          </w:rPr>
          <w:t xml:space="preserve">https://www.eia.gov/electricity/gridmonitor/</w:t>
        </w:r>
      </w:hyperlink>
    </w:p>
    <w:p>
      <w:pPr>
        <w:pStyle w:val="BodyText"/>
      </w:pPr>
      <w:r>
        <w:t xml:space="preserve">Feature engineering includes:</w:t>
      </w:r>
    </w:p>
    <w:p>
      <w:pPr>
        <w:numPr>
          <w:ilvl w:val="0"/>
          <w:numId w:val="1002"/>
        </w:numPr>
      </w:pPr>
      <w:r>
        <w:rPr>
          <w:b/>
          <w:bCs/>
        </w:rPr>
        <w:t xml:space="preserve">Temporal features</w:t>
      </w:r>
      <w:r>
        <w:t xml:space="preserve">: hour, day of week, month, season, holiday indicators</w:t>
      </w:r>
    </w:p>
    <w:p>
      <w:pPr>
        <w:numPr>
          <w:ilvl w:val="0"/>
          <w:numId w:val="1002"/>
        </w:numPr>
      </w:pPr>
      <w:r>
        <w:rPr>
          <w:b/>
          <w:bCs/>
        </w:rPr>
        <w:t xml:space="preserve">Lag features</w:t>
      </w:r>
      <w:r>
        <w:t xml:space="preserve">: 1h, 24h, 168h (weekly) lags</w:t>
      </w:r>
    </w:p>
    <w:p>
      <w:pPr>
        <w:numPr>
          <w:ilvl w:val="0"/>
          <w:numId w:val="1002"/>
        </w:numPr>
      </w:pPr>
      <w:r>
        <w:rPr>
          <w:b/>
          <w:bCs/>
        </w:rPr>
        <w:t xml:space="preserve">Rolling statistics</w:t>
      </w:r>
      <w:r>
        <w:t xml:space="preserve">: 24h and 168h rolling means and standard deviations</w:t>
      </w:r>
    </w:p>
    <w:p>
      <w:pPr>
        <w:numPr>
          <w:ilvl w:val="0"/>
          <w:numId w:val="1002"/>
        </w:numPr>
      </w:pPr>
      <w:r>
        <w:rPr>
          <w:b/>
          <w:bCs/>
        </w:rPr>
        <w:t xml:space="preserve">Weather features</w:t>
      </w:r>
      <w:r>
        <w:t xml:space="preserve">: temperature, wind speed, solar radiation, cloud cover</w:t>
      </w:r>
    </w:p>
    <w:bookmarkEnd w:id="20"/>
    <w:bookmarkStart w:id="24" w:name="forecasting-models"/>
    <w:p>
      <w:pPr>
        <w:pStyle w:val="Heading2"/>
      </w:pPr>
      <w:r>
        <w:t xml:space="preserve">Forecasting Models</w:t>
      </w:r>
    </w:p>
    <w:bookmarkStart w:id="21" w:name="gradient-boosting-machine-gbm"/>
    <w:p>
      <w:pPr>
        <w:pStyle w:val="Heading3"/>
      </w:pPr>
      <w:r>
        <w:t xml:space="preserve">Gradient Boosting Machine (GBM)</w:t>
      </w:r>
    </w:p>
    <w:p>
      <w:pPr>
        <w:pStyle w:val="FirstParagraph"/>
      </w:pPr>
      <w:r>
        <w:t xml:space="preserve">We employ LightGBM with Optuna hyperparameter optimization over:</w:t>
      </w:r>
    </w:p>
    <w:p>
      <w:pPr>
        <w:numPr>
          <w:ilvl w:val="0"/>
          <w:numId w:val="1003"/>
        </w:numPr>
      </w:pPr>
      <w:r>
        <w:rPr>
          <w:rStyle w:val="VerbatimChar"/>
        </w:rPr>
        <w:t xml:space="preserve">num_leaves</w:t>
      </w:r>
      <w:r>
        <w:t xml:space="preserve"> </w:t>
      </w:r>
      <m:oMath>
        <m:r>
          <m:rPr>
            <m:sty m:val="p"/>
          </m:rPr>
          <m:t>∈</m:t>
        </m:r>
        <m:r>
          <m:rPr>
            <m:sty m:val="p"/>
          </m:rPr>
          <m:t>[</m:t>
        </m:r>
        <m:r>
          <m:t>20</m:t>
        </m:r>
        <m:r>
          <m:rPr>
            <m:sty m:val="p"/>
          </m:rPr>
          <m:t>,</m:t>
        </m:r>
        <m:r>
          <m:t>150</m:t>
        </m:r>
        <m:r>
          <m:rPr>
            <m:sty m:val="p"/>
          </m:rPr>
          <m:t>]</m:t>
        </m:r>
      </m:oMath>
    </w:p>
    <w:p>
      <w:pPr>
        <w:numPr>
          <w:ilvl w:val="0"/>
          <w:numId w:val="1003"/>
        </w:numPr>
      </w:pPr>
      <w:r>
        <w:rPr>
          <w:rStyle w:val="VerbatimChar"/>
        </w:rPr>
        <w:t xml:space="preserve">learning_rate</w:t>
      </w:r>
      <w:r>
        <w:t xml:space="preserve"> </w:t>
      </w:r>
      <m:oMath>
        <m:r>
          <m:rPr>
            <m:sty m:val="p"/>
          </m:rPr>
          <m:t>∈</m:t>
        </m:r>
        <m:r>
          <m:rPr>
            <m:sty m:val="p"/>
          </m:rPr>
          <m:t>[</m:t>
        </m:r>
        <m:r>
          <m:t>0.01</m:t>
        </m:r>
        <m:r>
          <m:rPr>
            <m:sty m:val="p"/>
          </m:rPr>
          <m:t>,</m:t>
        </m:r>
        <m:r>
          <m:t>0.3</m:t>
        </m:r>
        <m:r>
          <m:rPr>
            <m:sty m:val="p"/>
          </m:rPr>
          <m:t>]</m:t>
        </m:r>
      </m:oMath>
    </w:p>
    <w:p>
      <w:pPr>
        <w:numPr>
          <w:ilvl w:val="0"/>
          <w:numId w:val="1003"/>
        </w:numPr>
      </w:pPr>
      <w:r>
        <w:rPr>
          <w:rStyle w:val="VerbatimChar"/>
        </w:rPr>
        <w:t xml:space="preserve">n_estimators</w:t>
      </w:r>
      <w:r>
        <w:t xml:space="preserve"> </w:t>
      </w:r>
      <m:oMath>
        <m:r>
          <m:rPr>
            <m:sty m:val="p"/>
          </m:rPr>
          <m:t>∈</m:t>
        </m:r>
        <m:r>
          <m:rPr>
            <m:sty m:val="p"/>
          </m:rPr>
          <m:t>[</m:t>
        </m:r>
        <m:r>
          <m:t>100</m:t>
        </m:r>
        <m:r>
          <m:rPr>
            <m:sty m:val="p"/>
          </m:rPr>
          <m:t>,</m:t>
        </m:r>
        <m:r>
          <m:t>500</m:t>
        </m:r>
        <m:r>
          <m:rPr>
            <m:sty m:val="p"/>
          </m:rPr>
          <m:t>]</m:t>
        </m:r>
      </m:oMath>
    </w:p>
    <w:p>
      <w:pPr>
        <w:numPr>
          <w:ilvl w:val="0"/>
          <w:numId w:val="1003"/>
        </w:numPr>
      </w:pPr>
      <w:r>
        <w:rPr>
          <w:rStyle w:val="VerbatimChar"/>
        </w:rPr>
        <w:t xml:space="preserve">min_child_samples</w:t>
      </w:r>
      <w:r>
        <w:t xml:space="preserve"> </w:t>
      </w:r>
      <m:oMath>
        <m:r>
          <m:rPr>
            <m:sty m:val="p"/>
          </m:rPr>
          <m:t>∈</m:t>
        </m:r>
        <m:r>
          <m:rPr>
            <m:sty m:val="p"/>
          </m:rPr>
          <m:t>[</m:t>
        </m:r>
        <m:r>
          <m:t>5</m:t>
        </m:r>
        <m:r>
          <m:rPr>
            <m:sty m:val="p"/>
          </m:rPr>
          <m:t>,</m:t>
        </m:r>
        <m:r>
          <m:t>50</m:t>
        </m:r>
        <m:r>
          <m:rPr>
            <m:sty m:val="p"/>
          </m:rPr>
          <m:t>]</m:t>
        </m:r>
      </m:oMath>
    </w:p>
    <w:bookmarkEnd w:id="21"/>
    <w:bookmarkStart w:id="22" w:name="lstm-network"/>
    <w:p>
      <w:pPr>
        <w:pStyle w:val="Heading3"/>
      </w:pPr>
      <w:r>
        <w:t xml:space="preserve">LSTM Network</w:t>
      </w:r>
    </w:p>
    <w:p>
      <w:pPr>
        <w:pStyle w:val="FirstParagraph"/>
      </w:pPr>
      <w:r>
        <w:t xml:space="preserve">Bidirectional LSTM with architecture:</w:t>
      </w:r>
    </w:p>
    <w:p>
      <w:pPr>
        <w:numPr>
          <w:ilvl w:val="0"/>
          <w:numId w:val="1004"/>
        </w:numPr>
      </w:pPr>
      <w:r>
        <w:t xml:space="preserve">Input sequence length: 168 hours (1 week)</w:t>
      </w:r>
    </w:p>
    <w:p>
      <w:pPr>
        <w:numPr>
          <w:ilvl w:val="0"/>
          <w:numId w:val="1004"/>
        </w:numPr>
      </w:pPr>
      <w:r>
        <w:t xml:space="preserve">Hidden dimensions: 64</w:t>
      </w:r>
    </w:p>
    <w:p>
      <w:pPr>
        <w:numPr>
          <w:ilvl w:val="0"/>
          <w:numId w:val="1004"/>
        </w:numPr>
      </w:pPr>
      <w:r>
        <w:t xml:space="preserve">Dropout: 0.2</w:t>
      </w:r>
    </w:p>
    <w:p>
      <w:pPr>
        <w:numPr>
          <w:ilvl w:val="0"/>
          <w:numId w:val="1004"/>
        </w:numPr>
      </w:pPr>
      <w:r>
        <w:t xml:space="preserve">Output: 24 hours (multi-step)</w:t>
      </w:r>
    </w:p>
    <w:bookmarkEnd w:id="22"/>
    <w:bookmarkStart w:id="23" w:name="temporal-convolutional-network-tcn"/>
    <w:p>
      <w:pPr>
        <w:pStyle w:val="Heading3"/>
      </w:pPr>
      <w:r>
        <w:t xml:space="preserve">Temporal Convolutional Network (TCN)</w:t>
      </w:r>
    </w:p>
    <w:p>
      <w:pPr>
        <w:pStyle w:val="FirstParagraph"/>
      </w:pPr>
      <w:r>
        <w:t xml:space="preserve">TCN with dilated causal convolutions:</w:t>
      </w:r>
    </w:p>
    <w:p>
      <w:pPr>
        <w:numPr>
          <w:ilvl w:val="0"/>
          <w:numId w:val="1005"/>
        </w:numPr>
      </w:pPr>
      <w:r>
        <w:t xml:space="preserve">Kernel size: 3</w:t>
      </w:r>
    </w:p>
    <w:p>
      <w:pPr>
        <w:numPr>
          <w:ilvl w:val="0"/>
          <w:numId w:val="1005"/>
        </w:numPr>
      </w:pPr>
      <w:r>
        <w:t xml:space="preserve">Dilation factors:</w:t>
      </w:r>
      <w:r>
        <w:t xml:space="preserve"> </w:t>
      </w:r>
      <m:oMath>
        <m:r>
          <m:rPr>
            <m:sty m:val="p"/>
          </m:rPr>
          <m:t>[</m:t>
        </m:r>
        <m:r>
          <m:t>1</m:t>
        </m:r>
        <m:r>
          <m:rPr>
            <m:sty m:val="p"/>
          </m:rPr>
          <m:t>,</m:t>
        </m:r>
        <m:r>
          <m:t>2</m:t>
        </m:r>
        <m:r>
          <m:rPr>
            <m:sty m:val="p"/>
          </m:rPr>
          <m:t>,</m:t>
        </m:r>
        <m:r>
          <m:t>4</m:t>
        </m:r>
        <m:r>
          <m:rPr>
            <m:sty m:val="p"/>
          </m:rPr>
          <m:t>,</m:t>
        </m:r>
        <m:r>
          <m:t>8</m:t>
        </m:r>
        <m:r>
          <m:rPr>
            <m:sty m:val="p"/>
          </m:rPr>
          <m:t>,</m:t>
        </m:r>
        <m:r>
          <m:t>16</m:t>
        </m:r>
        <m:r>
          <m:rPr>
            <m:sty m:val="p"/>
          </m:rPr>
          <m:t>,</m:t>
        </m:r>
        <m:r>
          <m:t>32</m:t>
        </m:r>
        <m:r>
          <m:rPr>
            <m:sty m:val="p"/>
          </m:rPr>
          <m:t>]</m:t>
        </m:r>
      </m:oMath>
    </w:p>
    <w:p>
      <w:pPr>
        <w:numPr>
          <w:ilvl w:val="0"/>
          <w:numId w:val="1005"/>
        </w:numPr>
      </w:pPr>
      <w:r>
        <w:t xml:space="preserve">Hidden channels: 64</w:t>
      </w:r>
    </w:p>
    <w:p>
      <w:pPr>
        <w:numPr>
          <w:ilvl w:val="0"/>
          <w:numId w:val="1005"/>
        </w:numPr>
      </w:pPr>
      <w:r>
        <w:t xml:space="preserve">Receptive field: 189 hours</w:t>
      </w:r>
    </w:p>
    <w:bookmarkEnd w:id="23"/>
    <w:bookmarkEnd w:id="24"/>
    <w:bookmarkStart w:id="25" w:name="uncertainty-quantification"/>
    <w:p>
      <w:pPr>
        <w:pStyle w:val="Heading2"/>
      </w:pPr>
      <w:r>
        <w:t xml:space="preserve">Uncertainty Quantification</w:t>
      </w:r>
    </w:p>
    <w:p>
      <w:pPr>
        <w:pStyle w:val="FirstParagraph"/>
      </w:pPr>
      <w:r>
        <w:t xml:space="preserve">We apply split conformal prediction with quantile regression:</w:t>
      </w:r>
    </w:p>
    <w:p>
      <w:pPr>
        <w:pStyle w:val="BodyText"/>
      </w:pPr>
      <m:oMathPara>
        <m:oMathParaPr>
          <m:jc m:val="center"/>
        </m:oMathParaPr>
        <m:oMath>
          <m:sSub>
            <m:e>
              <m:acc>
                <m:accPr>
                  <m:chr m:val="̂"/>
                </m:accPr>
                <m:e>
                  <m:r>
                    <m:t>C</m:t>
                  </m:r>
                </m:e>
              </m:acc>
            </m:e>
            <m:sub>
              <m:r>
                <m:t>1</m:t>
              </m:r>
              <m:r>
                <m:rPr>
                  <m:sty m:val="p"/>
                </m:rPr>
                <m:t>−</m:t>
              </m:r>
              <m:r>
                <m:t>α</m:t>
              </m:r>
            </m:sub>
          </m:sSub>
          <m:r>
            <m:rPr>
              <m:sty m:val="p"/>
            </m:rPr>
            <m:t>(</m:t>
          </m:r>
          <m:r>
            <m:t>x</m:t>
          </m:r>
          <m:r>
            <m:rPr>
              <m:sty m:val="p"/>
            </m:rPr>
            <m:t>)</m:t>
          </m:r>
          <m:r>
            <m:rPr>
              <m:sty m:val="p"/>
            </m:rPr>
            <m:t>=</m:t>
          </m:r>
          <m:d>
            <m:dPr>
              <m:begChr m:val="["/>
              <m:sepChr m:val=""/>
              <m:endChr m:val="]"/>
              <m:grow/>
            </m:dPr>
            <m:e>
              <m:sSub>
                <m:e>
                  <m:acc>
                    <m:accPr>
                      <m:chr m:val="̂"/>
                    </m:accPr>
                    <m:e>
                      <m:r>
                        <m:t>q</m:t>
                      </m:r>
                    </m:e>
                  </m:acc>
                </m:e>
                <m:sub>
                  <m:r>
                    <m:t>α</m:t>
                  </m:r>
                  <m:r>
                    <m:rPr>
                      <m:sty m:val="p"/>
                    </m:rPr>
                    <m:t>/</m:t>
                  </m:r>
                  <m:r>
                    <m:t>2</m:t>
                  </m:r>
                </m:sub>
              </m:sSub>
              <m:r>
                <m:rPr>
                  <m:sty m:val="p"/>
                </m:rPr>
                <m:t>(</m:t>
              </m:r>
              <m:r>
                <m:t>x</m:t>
              </m:r>
              <m:r>
                <m:rPr>
                  <m:sty m:val="p"/>
                </m:rPr>
                <m:t>)</m:t>
              </m:r>
              <m:r>
                <m:rPr>
                  <m:sty m:val="p"/>
                </m:rPr>
                <m:t>−</m:t>
              </m:r>
              <m:r>
                <m:t>s</m:t>
              </m:r>
              <m:r>
                <m:rPr>
                  <m:sty m:val="p"/>
                </m:rPr>
                <m:t>,</m:t>
              </m:r>
              <m:sSub>
                <m:e>
                  <m:acc>
                    <m:accPr>
                      <m:chr m:val="̂"/>
                    </m:accPr>
                    <m:e>
                      <m:r>
                        <m:t>q</m:t>
                      </m:r>
                    </m:e>
                  </m:acc>
                </m:e>
                <m:sub>
                  <m:r>
                    <m:t>1</m:t>
                  </m:r>
                  <m:r>
                    <m:rPr>
                      <m:sty m:val="p"/>
                    </m:rPr>
                    <m:t>−</m:t>
                  </m:r>
                  <m:r>
                    <m:t>α</m:t>
                  </m:r>
                  <m:r>
                    <m:rPr>
                      <m:sty m:val="p"/>
                    </m:rPr>
                    <m:t>/</m:t>
                  </m:r>
                  <m:r>
                    <m:t>2</m:t>
                  </m:r>
                </m:sub>
              </m:sSub>
              <m:r>
                <m:rPr>
                  <m:sty m:val="p"/>
                </m:rPr>
                <m:t>(</m:t>
              </m:r>
              <m:r>
                <m:t>x</m:t>
              </m:r>
              <m:r>
                <m:rPr>
                  <m:sty m:val="p"/>
                </m:rPr>
                <m:t>)</m:t>
              </m:r>
              <m:r>
                <m:rPr>
                  <m:sty m:val="p"/>
                </m:rPr>
                <m:t>+</m:t>
              </m:r>
              <m:r>
                <m:t>s</m:t>
              </m:r>
            </m:e>
          </m:d>
        </m:oMath>
      </m:oMathPara>
    </w:p>
    <w:p>
      <w:pPr>
        <w:pStyle w:val="FirstParagraph"/>
      </w:pPr>
      <w:r>
        <w:t xml:space="preserve">where</w:t>
      </w:r>
      <w:r>
        <w:t xml:space="preserve"> </w:t>
      </w:r>
      <m:oMath>
        <m:r>
          <m:t>s</m:t>
        </m:r>
      </m:oMath>
      <w:r>
        <w:t xml:space="preserve"> </w:t>
      </w:r>
      <w:r>
        <w:t xml:space="preserve">is computed on a calibration set to achieve marginal coverage</w:t>
      </w:r>
      <w:r>
        <w:t xml:space="preserve"> </w:t>
      </w:r>
      <m:oMath>
        <m:r>
          <m:t>P</m:t>
        </m:r>
        <m:r>
          <m:rPr>
            <m:sty m:val="p"/>
          </m:rPr>
          <m:t>(</m:t>
        </m:r>
        <m:r>
          <m:t>Y</m:t>
        </m:r>
        <m:r>
          <m:rPr>
            <m:sty m:val="p"/>
          </m:rPr>
          <m:t>∈</m:t>
        </m:r>
        <m:sSub>
          <m:e>
            <m:acc>
              <m:accPr>
                <m:chr m:val="̂"/>
              </m:accPr>
              <m:e>
                <m:r>
                  <m:t>C</m:t>
                </m:r>
              </m:e>
            </m:acc>
          </m:e>
          <m:sub>
            <m:r>
              <m:t>1</m:t>
            </m:r>
            <m:r>
              <m:rPr>
                <m:sty m:val="p"/>
              </m:rPr>
              <m:t>−</m:t>
            </m:r>
            <m:r>
              <m:t>α</m:t>
            </m:r>
          </m:sub>
        </m:sSub>
        <m:r>
          <m:rPr>
            <m:sty m:val="p"/>
          </m:rPr>
          <m:t>(</m:t>
        </m:r>
        <m:r>
          <m:t>X</m:t>
        </m:r>
        <m:r>
          <m:rPr>
            <m:sty m:val="p"/>
          </m:rPr>
          <m:t>)</m:t>
        </m:r>
        <m:r>
          <m:rPr>
            <m:sty m:val="p"/>
          </m:rPr>
          <m:t>)</m:t>
        </m:r>
        <m:r>
          <m:rPr>
            <m:sty m:val="p"/>
          </m:rPr>
          <m:t>≥</m:t>
        </m:r>
        <m:r>
          <m:t>1</m:t>
        </m:r>
        <m:r>
          <m:rPr>
            <m:sty m:val="p"/>
          </m:rPr>
          <m:t>−</m:t>
        </m:r>
        <m:r>
          <m:t>α</m:t>
        </m:r>
      </m:oMath>
      <w:r>
        <w:t xml:space="preserve">.</w:t>
      </w:r>
    </w:p>
    <w:bookmarkEnd w:id="25"/>
    <w:bookmarkStart w:id="30" w:name="dispatch-optimization"/>
    <w:p>
      <w:pPr>
        <w:pStyle w:val="Heading2"/>
      </w:pPr>
      <w:r>
        <w:t xml:space="preserve">Dispatch Optimization</w:t>
      </w:r>
    </w:p>
    <w:bookmarkStart w:id="26" w:name="decision-variables"/>
    <w:p>
      <w:pPr>
        <w:pStyle w:val="Heading3"/>
      </w:pPr>
      <w:r>
        <w:t xml:space="preserve">Decision Variables</w:t>
      </w:r>
    </w:p>
    <w:p>
      <w:pPr>
        <w:pStyle w:val="FirstParagraph"/>
      </w:pPr>
      <w:r>
        <w:t xml:space="preserve">Let</w:t>
      </w:r>
      <w:r>
        <w:t xml:space="preserve"> </w:t>
      </w:r>
      <m:oMath>
        <m:r>
          <m:t>t</m:t>
        </m:r>
        <m:r>
          <m:rPr>
            <m:sty m:val="p"/>
          </m:rPr>
          <m:t>∈</m:t>
        </m:r>
        <m:r>
          <m:rPr>
            <m:scr m:val="script"/>
            <m:sty m:val="p"/>
          </m:rPr>
          <m:t>T</m:t>
        </m:r>
        <m:r>
          <m:rPr>
            <m:sty m:val="p"/>
          </m:rPr>
          <m:t>=</m:t>
        </m:r>
        <m:r>
          <m:rPr>
            <m:sty m:val="p"/>
          </m:rPr>
          <m:t>{</m:t>
        </m:r>
        <m:r>
          <m:t>1</m:t>
        </m:r>
        <m:r>
          <m:rPr>
            <m:sty m:val="p"/>
          </m:rPr>
          <m:t>,</m:t>
        </m:r>
        <m:r>
          <m:t>2</m:t>
        </m:r>
        <m:r>
          <m:rPr>
            <m:sty m:val="p"/>
          </m:rPr>
          <m:t>,</m:t>
        </m:r>
        <m:r>
          <m:rPr>
            <m:sty m:val="p"/>
          </m:rPr>
          <m:t>…</m:t>
        </m:r>
        <m:r>
          <m:rPr>
            <m:sty m:val="p"/>
          </m:rPr>
          <m:t>,</m:t>
        </m:r>
        <m:r>
          <m:t>T</m:t>
        </m:r>
        <m:r>
          <m:rPr>
            <m:sty m:val="p"/>
          </m:rPr>
          <m:t>}</m:t>
        </m:r>
      </m:oMath>
      <w:r>
        <w:t xml:space="preserve"> </w:t>
      </w:r>
      <w:r>
        <w:t xml:space="preserve">denote the optimization horizon (T=24 hours).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Variable</w:t>
            </w:r>
          </w:p>
        </w:tc>
        <w:tc>
          <w:tcPr/>
          <w:p>
            <w:pPr>
              <w:pStyle w:val="Compact"/>
              <w:jc w:val="left"/>
            </w:pPr>
            <w:r>
              <w:t xml:space="preserve">Domain</w:t>
            </w:r>
          </w:p>
        </w:tc>
        <w:tc>
          <w:tcPr/>
          <w:p>
            <w:pPr>
              <w:pStyle w:val="Compact"/>
              <w:jc w:val="left"/>
            </w:pPr>
            <w:r>
              <w:t xml:space="preserve">Description</w:t>
            </w:r>
          </w:p>
        </w:tc>
      </w:tr>
      <w:tr>
        <w:tc>
          <w:tcPr/>
          <w:p>
            <w:pPr>
              <w:pStyle w:val="Compact"/>
              <w:jc w:val="left"/>
            </w:pPr>
            <m:oMath>
              <m:sSubSup>
                <m:e>
                  <m:r>
                    <m:t>P</m:t>
                  </m:r>
                </m:e>
                <m:sub>
                  <m:r>
                    <m:t>t</m:t>
                  </m:r>
                </m:sub>
                <m:sup>
                  <m:r>
                    <m:t>c</m:t>
                  </m:r>
                </m:sup>
              </m:sSubSup>
            </m:oMath>
          </w:p>
        </w:tc>
        <w:tc>
          <w:tcPr/>
          <w:p>
            <w:pPr>
              <w:pStyle w:val="Compact"/>
              <w:jc w:val="left"/>
            </w:pPr>
            <m:oMath>
              <m:r>
                <m:rPr>
                  <m:sty m:val="p"/>
                </m:rPr>
                <m:t>[</m:t>
              </m:r>
              <m:r>
                <m:t>0</m:t>
              </m:r>
              <m:r>
                <m:rPr>
                  <m:sty m:val="p"/>
                </m:rPr>
                <m:t>,</m:t>
              </m:r>
              <m:sSup>
                <m:e>
                  <m:r>
                    <m:t>P</m:t>
                  </m:r>
                </m:e>
                <m:sup>
                  <m:r>
                    <m:t>m</m:t>
                  </m:r>
                  <m:r>
                    <m:t>a</m:t>
                  </m:r>
                  <m:r>
                    <m:t>x</m:t>
                  </m:r>
                </m:sup>
              </m:sSup>
              <m:r>
                <m:rPr>
                  <m:sty m:val="p"/>
                </m:rPr>
                <m:t>]</m:t>
              </m:r>
            </m:oMath>
          </w:p>
        </w:tc>
        <w:tc>
          <w:tcPr/>
          <w:p>
            <w:pPr>
              <w:pStyle w:val="Compact"/>
              <w:jc w:val="left"/>
            </w:pPr>
            <w:r>
              <w:t xml:space="preserve">Charging power at time</w:t>
            </w:r>
            <w:r>
              <w:t xml:space="preserve"> </w:t>
            </w:r>
            <m:oMath>
              <m:r>
                <m:t>t</m:t>
              </m:r>
            </m:oMath>
            <w:r>
              <w:t xml:space="preserve"> </w:t>
            </w:r>
            <w:r>
              <w:t xml:space="preserve">(MW)</w:t>
            </w:r>
          </w:p>
        </w:tc>
      </w:tr>
      <w:tr>
        <w:tc>
          <w:tcPr/>
          <w:p>
            <w:pPr>
              <w:pStyle w:val="Compact"/>
              <w:jc w:val="left"/>
            </w:pPr>
            <m:oMath>
              <m:sSubSup>
                <m:e>
                  <m:r>
                    <m:t>P</m:t>
                  </m:r>
                </m:e>
                <m:sub>
                  <m:r>
                    <m:t>t</m:t>
                  </m:r>
                </m:sub>
                <m:sup>
                  <m:r>
                    <m:t>d</m:t>
                  </m:r>
                </m:sup>
              </m:sSubSup>
            </m:oMath>
          </w:p>
        </w:tc>
        <w:tc>
          <w:tcPr/>
          <w:p>
            <w:pPr>
              <w:pStyle w:val="Compact"/>
              <w:jc w:val="left"/>
            </w:pPr>
            <m:oMath>
              <m:r>
                <m:rPr>
                  <m:sty m:val="p"/>
                </m:rPr>
                <m:t>[</m:t>
              </m:r>
              <m:r>
                <m:t>0</m:t>
              </m:r>
              <m:r>
                <m:rPr>
                  <m:sty m:val="p"/>
                </m:rPr>
                <m:t>,</m:t>
              </m:r>
              <m:sSup>
                <m:e>
                  <m:r>
                    <m:t>P</m:t>
                  </m:r>
                </m:e>
                <m:sup>
                  <m:r>
                    <m:t>m</m:t>
                  </m:r>
                  <m:r>
                    <m:t>a</m:t>
                  </m:r>
                  <m:r>
                    <m:t>x</m:t>
                  </m:r>
                </m:sup>
              </m:sSup>
              <m:r>
                <m:rPr>
                  <m:sty m:val="p"/>
                </m:rPr>
                <m:t>]</m:t>
              </m:r>
            </m:oMath>
          </w:p>
        </w:tc>
        <w:tc>
          <w:tcPr/>
          <w:p>
            <w:pPr>
              <w:pStyle w:val="Compact"/>
              <w:jc w:val="left"/>
            </w:pPr>
            <w:r>
              <w:t xml:space="preserve">Discharging power at time</w:t>
            </w:r>
            <w:r>
              <w:t xml:space="preserve"> </w:t>
            </w:r>
            <m:oMath>
              <m:r>
                <m:t>t</m:t>
              </m:r>
            </m:oMath>
            <w:r>
              <w:t xml:space="preserve"> </w:t>
            </w:r>
            <w:r>
              <w:t xml:space="preserve">(MW)</w:t>
            </w:r>
          </w:p>
        </w:tc>
      </w:tr>
      <w:tr>
        <w:tc>
          <w:tcPr/>
          <w:p>
            <w:pPr>
              <w:pStyle w:val="Compact"/>
              <w:jc w:val="left"/>
            </w:pPr>
            <m:oMath>
              <m:sSub>
                <m:e>
                  <m:r>
                    <m:t>E</m:t>
                  </m:r>
                </m:e>
                <m:sub>
                  <m:r>
                    <m:t>t</m:t>
                  </m:r>
                </m:sub>
              </m:sSub>
            </m:oMath>
          </w:p>
        </w:tc>
        <w:tc>
          <w:tcPr/>
          <w:p>
            <w:pPr>
              <w:pStyle w:val="Compact"/>
              <w:jc w:val="left"/>
            </w:pPr>
            <m:oMath>
              <m:r>
                <m:rPr>
                  <m:sty m:val="p"/>
                </m:rPr>
                <m:t>[</m:t>
              </m:r>
              <m:sSup>
                <m:e>
                  <m:r>
                    <m:t>E</m:t>
                  </m:r>
                </m:e>
                <m:sup>
                  <m:r>
                    <m:t>m</m:t>
                  </m:r>
                  <m:r>
                    <m:t>i</m:t>
                  </m:r>
                  <m:r>
                    <m:t>n</m:t>
                  </m:r>
                </m:sup>
              </m:sSup>
              <m:r>
                <m:rPr>
                  <m:sty m:val="p"/>
                </m:rPr>
                <m:t>,</m:t>
              </m:r>
              <m:sSup>
                <m:e>
                  <m:r>
                    <m:t>E</m:t>
                  </m:r>
                </m:e>
                <m:sup>
                  <m:r>
                    <m:t>m</m:t>
                  </m:r>
                  <m:r>
                    <m:t>a</m:t>
                  </m:r>
                  <m:r>
                    <m:t>x</m:t>
                  </m:r>
                </m:sup>
              </m:sSup>
              <m:r>
                <m:rPr>
                  <m:sty m:val="p"/>
                </m:rPr>
                <m:t>]</m:t>
              </m:r>
            </m:oMath>
          </w:p>
        </w:tc>
        <w:tc>
          <w:tcPr/>
          <w:p>
            <w:pPr>
              <w:pStyle w:val="Compact"/>
              <w:jc w:val="left"/>
            </w:pPr>
            <w:r>
              <w:t xml:space="preserve">State of charge at time</w:t>
            </w:r>
            <w:r>
              <w:t xml:space="preserve"> </w:t>
            </w:r>
            <m:oMath>
              <m:r>
                <m:t>t</m:t>
              </m:r>
            </m:oMath>
            <w:r>
              <w:t xml:space="preserve"> </w:t>
            </w:r>
            <w:r>
              <w:t xml:space="preserve">(MWh)</w:t>
            </w:r>
          </w:p>
        </w:tc>
      </w:tr>
      <w:tr>
        <w:tc>
          <w:tcPr/>
          <w:p>
            <w:pPr>
              <w:pStyle w:val="Compact"/>
              <w:jc w:val="left"/>
            </w:pPr>
            <m:oMath>
              <m:sSubSup>
                <m:e>
                  <m:r>
                    <m:t>u</m:t>
                  </m:r>
                </m:e>
                <m:sub>
                  <m:r>
                    <m:t>t</m:t>
                  </m:r>
                </m:sub>
                <m:sup>
                  <m:r>
                    <m:t>c</m:t>
                  </m:r>
                </m:sup>
              </m:sSubSup>
            </m:oMath>
          </w:p>
        </w:tc>
        <w:tc>
          <w:tcPr/>
          <w:p>
            <w:pPr>
              <w:pStyle w:val="Compact"/>
              <w:jc w:val="left"/>
            </w:pPr>
            <m:oMath>
              <m:r>
                <m:rPr>
                  <m:sty m:val="p"/>
                </m:rPr>
                <m:t>{</m:t>
              </m:r>
              <m:r>
                <m:t>0</m:t>
              </m:r>
              <m:r>
                <m:rPr>
                  <m:sty m:val="p"/>
                </m:rPr>
                <m:t>,</m:t>
              </m:r>
              <m:r>
                <m:t>1</m:t>
              </m:r>
              <m:r>
                <m:rPr>
                  <m:sty m:val="p"/>
                </m:rPr>
                <m:t>}</m:t>
              </m:r>
            </m:oMath>
          </w:p>
        </w:tc>
        <w:tc>
          <w:tcPr/>
          <w:p>
            <w:pPr>
              <w:pStyle w:val="Compact"/>
              <w:jc w:val="left"/>
            </w:pPr>
            <w:r>
              <w:t xml:space="preserve">Binary: charging active</w:t>
            </w:r>
          </w:p>
        </w:tc>
      </w:tr>
      <w:tr>
        <w:tc>
          <w:tcPr/>
          <w:p>
            <w:pPr>
              <w:pStyle w:val="Compact"/>
              <w:jc w:val="left"/>
            </w:pPr>
            <m:oMath>
              <m:sSubSup>
                <m:e>
                  <m:r>
                    <m:t>u</m:t>
                  </m:r>
                </m:e>
                <m:sub>
                  <m:r>
                    <m:t>t</m:t>
                  </m:r>
                </m:sub>
                <m:sup>
                  <m:r>
                    <m:t>d</m:t>
                  </m:r>
                </m:sup>
              </m:sSubSup>
            </m:oMath>
          </w:p>
        </w:tc>
        <w:tc>
          <w:tcPr/>
          <w:p>
            <w:pPr>
              <w:pStyle w:val="Compact"/>
              <w:jc w:val="left"/>
            </w:pPr>
            <m:oMath>
              <m:r>
                <m:rPr>
                  <m:sty m:val="p"/>
                </m:rPr>
                <m:t>{</m:t>
              </m:r>
              <m:r>
                <m:t>0</m:t>
              </m:r>
              <m:r>
                <m:rPr>
                  <m:sty m:val="p"/>
                </m:rPr>
                <m:t>,</m:t>
              </m:r>
              <m:r>
                <m:t>1</m:t>
              </m:r>
              <m:r>
                <m:rPr>
                  <m:sty m:val="p"/>
                </m:rPr>
                <m:t>}</m:t>
              </m:r>
            </m:oMath>
          </w:p>
        </w:tc>
        <w:tc>
          <w:tcPr/>
          <w:p>
            <w:pPr>
              <w:pStyle w:val="Compact"/>
              <w:jc w:val="left"/>
            </w:pPr>
            <w:r>
              <w:t xml:space="preserve">Binary: discharging active</w:t>
            </w:r>
          </w:p>
        </w:tc>
      </w:tr>
      <w:tr>
        <w:tc>
          <w:tcPr/>
          <w:p>
            <w:pPr>
              <w:pStyle w:val="Compact"/>
              <w:jc w:val="left"/>
            </w:pPr>
            <m:oMath>
              <m:sSubSup>
                <m:e>
                  <m:r>
                    <m:t>P</m:t>
                  </m:r>
                </m:e>
                <m:sub>
                  <m:r>
                    <m:t>t</m:t>
                  </m:r>
                </m:sub>
                <m:sup>
                  <m:r>
                    <m:t>g</m:t>
                  </m:r>
                  <m:r>
                    <m:t>r</m:t>
                  </m:r>
                  <m:r>
                    <m:t>i</m:t>
                  </m:r>
                  <m:r>
                    <m:t>d</m:t>
                  </m:r>
                </m:sup>
              </m:sSubSup>
            </m:oMath>
          </w:p>
        </w:tc>
        <w:tc>
          <w:tcPr/>
          <w:p>
            <w:pPr>
              <w:pStyle w:val="Compact"/>
              <w:jc w:val="left"/>
            </w:pPr>
            <m:oMath>
              <m:r>
                <m:rPr>
                  <m:scr m:val="double-struck"/>
                  <m:sty m:val="p"/>
                </m:rPr>
                <m:t>R</m:t>
              </m:r>
            </m:oMath>
          </w:p>
        </w:tc>
        <w:tc>
          <w:tcPr/>
          <w:p>
            <w:pPr>
              <w:pStyle w:val="Compact"/>
              <w:jc w:val="left"/>
            </w:pPr>
            <w:r>
              <w:t xml:space="preserve">Grid import/export power (MW)</w:t>
            </w:r>
          </w:p>
        </w:tc>
      </w:tr>
    </w:tbl>
    <w:bookmarkEnd w:id="26"/>
    <w:bookmarkStart w:id="27" w:name="objective-function"/>
    <w:p>
      <w:pPr>
        <w:pStyle w:val="Heading3"/>
      </w:pPr>
      <w:r>
        <w:t xml:space="preserve">Objective Function</w:t>
      </w:r>
    </w:p>
    <w:p>
      <w:pPr>
        <w:pStyle w:val="FirstParagraph"/>
      </w:pPr>
      <w:r>
        <w:t xml:space="preserve">Minimize weighted combination of operating cost and carbon emissions:</w:t>
      </w:r>
    </w:p>
    <w:p>
      <w:pPr>
        <w:pStyle w:val="BodyText"/>
      </w:pPr>
      <m:oMathPara>
        <m:oMathParaPr>
          <m:jc m:val="center"/>
        </m:oMathParaPr>
        <m:oMath>
          <m:limLow>
            <m:e>
              <m:r>
                <m:rPr>
                  <m:sty m:val="p"/>
                </m:rPr>
                <m:t>min</m:t>
              </m:r>
            </m:e>
            <m:lim>
              <m:sSup>
                <m:e>
                  <m:r>
                    <m:t>P</m:t>
                  </m:r>
                </m:e>
                <m:sup>
                  <m:r>
                    <m:t>c</m:t>
                  </m:r>
                </m:sup>
              </m:sSup>
              <m:r>
                <m:rPr>
                  <m:sty m:val="p"/>
                </m:rPr>
                <m:t>,</m:t>
              </m:r>
              <m:sSup>
                <m:e>
                  <m:r>
                    <m:t>P</m:t>
                  </m:r>
                </m:e>
                <m:sup>
                  <m:r>
                    <m:t>d</m:t>
                  </m:r>
                </m:sup>
              </m:sSup>
              <m:r>
                <m:rPr>
                  <m:sty m:val="p"/>
                </m:rPr>
                <m:t>,</m:t>
              </m:r>
              <m:r>
                <m:t>E</m:t>
              </m:r>
              <m:r>
                <m:rPr>
                  <m:sty m:val="p"/>
                </m:rPr>
                <m:t>,</m:t>
              </m:r>
              <m:sSup>
                <m:e>
                  <m:r>
                    <m:t>u</m:t>
                  </m:r>
                </m:e>
                <m:sup>
                  <m:r>
                    <m:t>c</m:t>
                  </m:r>
                </m:sup>
              </m:sSup>
              <m:r>
                <m:rPr>
                  <m:sty m:val="p"/>
                </m:rPr>
                <m:t>,</m:t>
              </m:r>
              <m:sSup>
                <m:e>
                  <m:r>
                    <m:t>u</m:t>
                  </m:r>
                </m:e>
                <m:sup>
                  <m:r>
                    <m:t>d</m:t>
                  </m:r>
                </m:sup>
              </m:sSup>
              <m:r>
                <m:rPr>
                  <m:sty m:val="p"/>
                </m:rPr>
                <m:t>,</m:t>
              </m:r>
              <m:sSup>
                <m:e>
                  <m:r>
                    <m:t>P</m:t>
                  </m:r>
                </m:e>
                <m:sup>
                  <m:r>
                    <m:t>g</m:t>
                  </m:r>
                  <m:r>
                    <m:t>r</m:t>
                  </m:r>
                  <m:r>
                    <m:t>i</m:t>
                  </m:r>
                  <m:r>
                    <m:t>d</m:t>
                  </m:r>
                </m:sup>
              </m:sSup>
            </m:lim>
          </m:limLow>
          <m:nary>
            <m:naryPr>
              <m:chr m:val="∑"/>
              <m:limLoc m:val="undOvr"/>
              <m:subHide m:val="off"/>
              <m:supHide m:val="off"/>
            </m:naryPr>
            <m:sub>
              <m:r>
                <m:t>t</m:t>
              </m:r>
              <m:r>
                <m:rPr>
                  <m:sty m:val="p"/>
                </m:rPr>
                <m:t>=</m:t>
              </m:r>
              <m:r>
                <m:t>1</m:t>
              </m:r>
            </m:sub>
            <m:sup>
              <m:r>
                <m:t>T</m:t>
              </m:r>
            </m:sup>
            <m:e>
              <m:d>
                <m:dPr>
                  <m:begChr m:val="["/>
                  <m:sepChr m:val=""/>
                  <m:endChr m:val="]"/>
                  <m:grow/>
                </m:dPr>
                <m:e>
                  <m:sSub>
                    <m:e>
                      <m:r>
                        <m:t>λ</m:t>
                      </m:r>
                    </m:e>
                    <m:sub>
                      <m:r>
                        <m:t>c</m:t>
                      </m:r>
                      <m:r>
                        <m:t>o</m:t>
                      </m:r>
                      <m:r>
                        <m:t>s</m:t>
                      </m:r>
                      <m:r>
                        <m:t>t</m:t>
                      </m:r>
                    </m:sub>
                  </m:sSub>
                  <m:r>
                    <m:rPr>
                      <m:sty m:val="p"/>
                    </m:rPr>
                    <m:t>⋅</m:t>
                  </m:r>
                  <m:sSub>
                    <m:e>
                      <m:r>
                        <m:t>C</m:t>
                      </m:r>
                    </m:e>
                    <m:sub>
                      <m:r>
                        <m:t>t</m:t>
                      </m:r>
                    </m:sub>
                  </m:sSub>
                  <m:r>
                    <m:rPr>
                      <m:sty m:val="p"/>
                    </m:rPr>
                    <m:t>(</m:t>
                  </m:r>
                  <m:sSubSup>
                    <m:e>
                      <m:r>
                        <m:t>P</m:t>
                      </m:r>
                    </m:e>
                    <m:sub>
                      <m:r>
                        <m:t>t</m:t>
                      </m:r>
                    </m:sub>
                    <m:sup>
                      <m:r>
                        <m:t>g</m:t>
                      </m:r>
                      <m:r>
                        <m:t>r</m:t>
                      </m:r>
                      <m:r>
                        <m:t>i</m:t>
                      </m:r>
                      <m:r>
                        <m:t>d</m:t>
                      </m:r>
                    </m:sup>
                  </m:sSubSup>
                  <m:r>
                    <m:rPr>
                      <m:sty m:val="p"/>
                    </m:rPr>
                    <m:t>)</m:t>
                  </m:r>
                  <m:r>
                    <m:rPr>
                      <m:sty m:val="p"/>
                    </m:rPr>
                    <m:t>+</m:t>
                  </m:r>
                  <m:sSub>
                    <m:e>
                      <m:r>
                        <m:t>λ</m:t>
                      </m:r>
                    </m:e>
                    <m:sub>
                      <m:r>
                        <m:t>c</m:t>
                      </m:r>
                      <m:r>
                        <m:t>a</m:t>
                      </m:r>
                      <m:r>
                        <m:t>r</m:t>
                      </m:r>
                      <m:r>
                        <m:t>b</m:t>
                      </m:r>
                      <m:r>
                        <m:t>o</m:t>
                      </m:r>
                      <m:r>
                        <m:t>n</m:t>
                      </m:r>
                    </m:sub>
                  </m:sSub>
                  <m:r>
                    <m:rPr>
                      <m:sty m:val="p"/>
                    </m:rPr>
                    <m:t>⋅</m:t>
                  </m:r>
                  <m:sSub>
                    <m:e>
                      <m:r>
                        <m:rPr>
                          <m:sty m:val="p"/>
                        </m:rPr>
                        <m:t>Γ</m:t>
                      </m:r>
                    </m:e>
                    <m:sub>
                      <m:r>
                        <m:t>t</m:t>
                      </m:r>
                    </m:sub>
                  </m:sSub>
                  <m:r>
                    <m:rPr>
                      <m:sty m:val="p"/>
                    </m:rPr>
                    <m:t>(</m:t>
                  </m:r>
                  <m:sSubSup>
                    <m:e>
                      <m:r>
                        <m:t>P</m:t>
                      </m:r>
                    </m:e>
                    <m:sub>
                      <m:r>
                        <m:t>t</m:t>
                      </m:r>
                    </m:sub>
                    <m:sup>
                      <m:r>
                        <m:t>g</m:t>
                      </m:r>
                      <m:r>
                        <m:t>r</m:t>
                      </m:r>
                      <m:r>
                        <m:t>i</m:t>
                      </m:r>
                      <m:r>
                        <m:t>d</m:t>
                      </m:r>
                    </m:sup>
                  </m:sSubSup>
                  <m:r>
                    <m:rPr>
                      <m:sty m:val="p"/>
                    </m:rPr>
                    <m:t>)</m:t>
                  </m:r>
                </m:e>
              </m:d>
            </m:e>
          </m:nary>
        </m:oMath>
      </m:oMathPara>
    </w:p>
    <w:p>
      <w:pPr>
        <w:pStyle w:val="FirstParagraph"/>
      </w:pPr>
      <w:r>
        <w:rPr>
          <w:b/>
          <w:bCs/>
        </w:rPr>
        <w:t xml:space="preserve">Where:</w:t>
      </w:r>
    </w:p>
    <w:p>
      <w:pPr>
        <w:numPr>
          <w:ilvl w:val="0"/>
          <w:numId w:val="1006"/>
        </w:numPr>
      </w:pPr>
      <m:oMath>
        <m:sSub>
          <m:e>
            <m:r>
              <m:t>C</m:t>
            </m:r>
          </m:e>
          <m:sub>
            <m:r>
              <m:t>t</m:t>
            </m:r>
          </m:sub>
        </m:sSub>
        <m:r>
          <m:rPr>
            <m:sty m:val="p"/>
          </m:rPr>
          <m:t>(</m:t>
        </m:r>
        <m:sSubSup>
          <m:e>
            <m:r>
              <m:t>P</m:t>
            </m:r>
          </m:e>
          <m:sub>
            <m:r>
              <m:t>t</m:t>
            </m:r>
          </m:sub>
          <m:sup>
            <m:r>
              <m:t>g</m:t>
            </m:r>
            <m:r>
              <m:t>r</m:t>
            </m:r>
            <m:r>
              <m:t>i</m:t>
            </m:r>
            <m:r>
              <m:t>d</m:t>
            </m:r>
          </m:sup>
        </m:sSubSup>
        <m:r>
          <m:rPr>
            <m:sty m:val="p"/>
          </m:rPr>
          <m:t>)</m:t>
        </m:r>
        <m:r>
          <m:rPr>
            <m:sty m:val="p"/>
          </m:rPr>
          <m:t>=</m:t>
        </m:r>
        <m:sSub>
          <m:e>
            <m:r>
              <m:t>π</m:t>
            </m:r>
          </m:e>
          <m:sub>
            <m:r>
              <m:t>t</m:t>
            </m:r>
          </m:sub>
        </m:sSub>
        <m:r>
          <m:rPr>
            <m:sty m:val="p"/>
          </m:rPr>
          <m:t>⋅</m:t>
        </m:r>
        <m:r>
          <m:rPr>
            <m:sty m:val="p"/>
          </m:rPr>
          <m:t>max</m:t>
        </m:r>
        <m:r>
          <m:rPr>
            <m:sty m:val="p"/>
          </m:rPr>
          <m:t>(</m:t>
        </m:r>
        <m:sSubSup>
          <m:e>
            <m:r>
              <m:t>P</m:t>
            </m:r>
          </m:e>
          <m:sub>
            <m:r>
              <m:t>t</m:t>
            </m:r>
          </m:sub>
          <m:sup>
            <m:r>
              <m:t>g</m:t>
            </m:r>
            <m:r>
              <m:t>r</m:t>
            </m:r>
            <m:r>
              <m:t>i</m:t>
            </m:r>
            <m:r>
              <m:t>d</m:t>
            </m:r>
          </m:sup>
        </m:sSubSup>
        <m:r>
          <m:rPr>
            <m:sty m:val="p"/>
          </m:rPr>
          <m:t>,</m:t>
        </m:r>
        <m:r>
          <m:t>0</m:t>
        </m:r>
        <m:r>
          <m:rPr>
            <m:sty m:val="p"/>
          </m:rPr>
          <m:t>)</m:t>
        </m:r>
      </m:oMath>
      <w:r>
        <w:t xml:space="preserve"> </w:t>
      </w:r>
      <w:r>
        <w:t xml:space="preserve">– Grid purchase cost at price</w:t>
      </w:r>
      <w:r>
        <w:t xml:space="preserve"> </w:t>
      </w:r>
      <m:oMath>
        <m:sSub>
          <m:e>
            <m:r>
              <m:t>π</m:t>
            </m:r>
          </m:e>
          <m:sub>
            <m:r>
              <m:t>t</m:t>
            </m:r>
          </m:sub>
        </m:sSub>
      </m:oMath>
      <w:r>
        <w:t xml:space="preserve"> </w:t>
      </w:r>
      <w:r>
        <w:t xml:space="preserve">($/MWh)</w:t>
      </w:r>
    </w:p>
    <w:p>
      <w:pPr>
        <w:numPr>
          <w:ilvl w:val="0"/>
          <w:numId w:val="1006"/>
        </w:numPr>
      </w:pPr>
      <m:oMath>
        <m:sSub>
          <m:e>
            <m:r>
              <m:rPr>
                <m:sty m:val="p"/>
              </m:rPr>
              <m:t>Γ</m:t>
            </m:r>
          </m:e>
          <m:sub>
            <m:r>
              <m:t>t</m:t>
            </m:r>
          </m:sub>
        </m:sSub>
        <m:r>
          <m:rPr>
            <m:sty m:val="p"/>
          </m:rPr>
          <m:t>(</m:t>
        </m:r>
        <m:sSubSup>
          <m:e>
            <m:r>
              <m:t>P</m:t>
            </m:r>
          </m:e>
          <m:sub>
            <m:r>
              <m:t>t</m:t>
            </m:r>
          </m:sub>
          <m:sup>
            <m:r>
              <m:t>g</m:t>
            </m:r>
            <m:r>
              <m:t>r</m:t>
            </m:r>
            <m:r>
              <m:t>i</m:t>
            </m:r>
            <m:r>
              <m:t>d</m:t>
            </m:r>
          </m:sup>
        </m:sSubSup>
        <m:r>
          <m:rPr>
            <m:sty m:val="p"/>
          </m:rPr>
          <m:t>)</m:t>
        </m:r>
        <m:r>
          <m:rPr>
            <m:sty m:val="p"/>
          </m:rPr>
          <m:t>=</m:t>
        </m:r>
        <m:sSub>
          <m:e>
            <m:r>
              <m:t>γ</m:t>
            </m:r>
          </m:e>
          <m:sub>
            <m:r>
              <m:t>t</m:t>
            </m:r>
          </m:sub>
        </m:sSub>
        <m:r>
          <m:rPr>
            <m:sty m:val="p"/>
          </m:rPr>
          <m:t>⋅</m:t>
        </m:r>
        <m:r>
          <m:rPr>
            <m:sty m:val="p"/>
          </m:rPr>
          <m:t>max</m:t>
        </m:r>
        <m:r>
          <m:rPr>
            <m:sty m:val="p"/>
          </m:rPr>
          <m:t>(</m:t>
        </m:r>
        <m:sSubSup>
          <m:e>
            <m:r>
              <m:t>P</m:t>
            </m:r>
          </m:e>
          <m:sub>
            <m:r>
              <m:t>t</m:t>
            </m:r>
          </m:sub>
          <m:sup>
            <m:r>
              <m:t>g</m:t>
            </m:r>
            <m:r>
              <m:t>r</m:t>
            </m:r>
            <m:r>
              <m:t>i</m:t>
            </m:r>
            <m:r>
              <m:t>d</m:t>
            </m:r>
          </m:sup>
        </m:sSubSup>
        <m:r>
          <m:rPr>
            <m:sty m:val="p"/>
          </m:rPr>
          <m:t>,</m:t>
        </m:r>
        <m:r>
          <m:t>0</m:t>
        </m:r>
        <m:r>
          <m:rPr>
            <m:sty m:val="p"/>
          </m:rPr>
          <m:t>)</m:t>
        </m:r>
      </m:oMath>
      <w:r>
        <w:t xml:space="preserve"> </w:t>
      </w:r>
      <w:r>
        <w:t xml:space="preserve">– Carbon emissions at intensity</w:t>
      </w:r>
      <w:r>
        <w:t xml:space="preserve"> </w:t>
      </w:r>
      <m:oMath>
        <m:sSub>
          <m:e>
            <m:r>
              <m:t>γ</m:t>
            </m:r>
          </m:e>
          <m:sub>
            <m:r>
              <m:t>t</m:t>
            </m:r>
          </m:sub>
        </m:sSub>
      </m:oMath>
      <w:r>
        <w:t xml:space="preserve"> </w:t>
      </w:r>
      <w:r>
        <w:t xml:space="preserve">(kg CO</w:t>
      </w:r>
      <m:oMath>
        <m:sSub>
          <m:e>
            <m:r>
              <m:t>​</m:t>
            </m:r>
          </m:e>
          <m:sub>
            <m:r>
              <m:t>2</m:t>
            </m:r>
          </m:sub>
        </m:sSub>
      </m:oMath>
      <w:r>
        <w:t xml:space="preserve">/MWh)</w:t>
      </w:r>
    </w:p>
    <w:bookmarkEnd w:id="27"/>
    <w:bookmarkStart w:id="28" w:name="constraints"/>
    <w:p>
      <w:pPr>
        <w:pStyle w:val="Heading3"/>
      </w:pPr>
      <w:r>
        <w:t xml:space="preserve">Constraints</w:t>
      </w:r>
    </w:p>
    <w:p>
      <w:pPr>
        <w:pStyle w:val="FirstParagraph"/>
      </w:pPr>
      <w:r>
        <w:rPr>
          <w:b/>
          <w:bCs/>
        </w:rPr>
        <w:t xml:space="preserve">Power Balance:</w:t>
      </w:r>
    </w:p>
    <w:p>
      <w:pPr>
        <w:pStyle w:val="BodyText"/>
      </w:pPr>
      <m:oMathPara>
        <m:oMathParaPr>
          <m:jc m:val="center"/>
        </m:oMathParaPr>
        <m:oMath>
          <m:sSub>
            <m:e>
              <m:acc>
                <m:accPr>
                  <m:chr m:val="̂"/>
                </m:accPr>
                <m:e>
                  <m:r>
                    <m:t>L</m:t>
                  </m:r>
                </m:e>
              </m:acc>
            </m:e>
            <m:sub>
              <m:r>
                <m:t>t</m:t>
              </m:r>
            </m:sub>
          </m:sSub>
          <m:r>
            <m:rPr>
              <m:sty m:val="p"/>
            </m:rPr>
            <m:t>=</m:t>
          </m:r>
          <m:sSubSup>
            <m:e>
              <m:r>
                <m:t>P</m:t>
              </m:r>
            </m:e>
            <m:sub>
              <m:r>
                <m:t>t</m:t>
              </m:r>
            </m:sub>
            <m:sup>
              <m:r>
                <m:t>g</m:t>
              </m:r>
              <m:r>
                <m:t>r</m:t>
              </m:r>
              <m:r>
                <m:t>i</m:t>
              </m:r>
              <m:r>
                <m:t>d</m:t>
              </m:r>
            </m:sup>
          </m:sSubSup>
          <m:r>
            <m:rPr>
              <m:sty m:val="p"/>
            </m:rPr>
            <m:t>+</m:t>
          </m:r>
          <m:sSubSup>
            <m:e>
              <m:r>
                <m:t>P</m:t>
              </m:r>
            </m:e>
            <m:sub>
              <m:r>
                <m:t>t</m:t>
              </m:r>
            </m:sub>
            <m:sup>
              <m:r>
                <m:t>d</m:t>
              </m:r>
            </m:sup>
          </m:sSubSup>
          <m:r>
            <m:rPr>
              <m:sty m:val="p"/>
            </m:rPr>
            <m:t>−</m:t>
          </m:r>
          <m:sSubSup>
            <m:e>
              <m:r>
                <m:t>P</m:t>
              </m:r>
            </m:e>
            <m:sub>
              <m:r>
                <m:t>t</m:t>
              </m:r>
            </m:sub>
            <m:sup>
              <m:r>
                <m:t>c</m:t>
              </m:r>
            </m:sup>
          </m:sSubSup>
          <m:r>
            <m:rPr>
              <m:sty m:val="p"/>
            </m:rPr>
            <m:t>+</m:t>
          </m:r>
          <m:sSub>
            <m:e>
              <m:acc>
                <m:accPr>
                  <m:chr m:val="̂"/>
                </m:accPr>
                <m:e>
                  <m:r>
                    <m:t>S</m:t>
                  </m:r>
                </m:e>
              </m:acc>
            </m:e>
            <m:sub>
              <m:r>
                <m:t>t</m:t>
              </m:r>
            </m:sub>
          </m:sSub>
          <m:r>
            <m:rPr>
              <m:sty m:val="p"/>
            </m:rPr>
            <m:t>+</m:t>
          </m:r>
          <m:sSub>
            <m:e>
              <m:acc>
                <m:accPr>
                  <m:chr m:val="̂"/>
                </m:accPr>
                <m:e>
                  <m:r>
                    <m:t>W</m:t>
                  </m:r>
                </m:e>
              </m:acc>
            </m:e>
            <m:sub>
              <m:r>
                <m:t>t</m:t>
              </m:r>
            </m:sub>
          </m:sSub>
          <m:r>
            <m:t> </m:t>
          </m:r>
          <m:r>
            <m:rPr>
              <m:sty m:val="p"/>
            </m:rPr>
            <m:t>∀</m:t>
          </m:r>
          <m:r>
            <m:t>t</m:t>
          </m:r>
          <m:r>
            <m:rPr>
              <m:sty m:val="p"/>
            </m:rPr>
            <m:t>∈</m:t>
          </m:r>
          <m:r>
            <m:rPr>
              <m:scr m:val="script"/>
              <m:sty m:val="p"/>
            </m:rPr>
            <m:t>T</m:t>
          </m:r>
        </m:oMath>
      </m:oMathPara>
    </w:p>
    <w:p>
      <w:pPr>
        <w:pStyle w:val="FirstParagraph"/>
      </w:pPr>
      <w:r>
        <w:t xml:space="preserve">Where</w:t>
      </w:r>
      <w:r>
        <w:t xml:space="preserve"> </w:t>
      </w:r>
      <m:oMath>
        <m:sSub>
          <m:e>
            <m:acc>
              <m:accPr>
                <m:chr m:val="̂"/>
              </m:accPr>
              <m:e>
                <m:r>
                  <m:t>L</m:t>
                </m:r>
              </m:e>
            </m:acc>
          </m:e>
          <m:sub>
            <m:r>
              <m:t>t</m:t>
            </m:r>
          </m:sub>
        </m:sSub>
      </m:oMath>
      <w:r>
        <w:t xml:space="preserve">,</w:t>
      </w:r>
      <w:r>
        <w:t xml:space="preserve"> </w:t>
      </w:r>
      <m:oMath>
        <m:sSub>
          <m:e>
            <m:acc>
              <m:accPr>
                <m:chr m:val="̂"/>
              </m:accPr>
              <m:e>
                <m:r>
                  <m:t>S</m:t>
                </m:r>
              </m:e>
            </m:acc>
          </m:e>
          <m:sub>
            <m:r>
              <m:t>t</m:t>
            </m:r>
          </m:sub>
        </m:sSub>
      </m:oMath>
      <w:r>
        <w:t xml:space="preserve">, and</w:t>
      </w:r>
      <w:r>
        <w:t xml:space="preserve"> </w:t>
      </w:r>
      <m:oMath>
        <m:sSub>
          <m:e>
            <m:acc>
              <m:accPr>
                <m:chr m:val="̂"/>
              </m:accPr>
              <m:e>
                <m:r>
                  <m:t>W</m:t>
                </m:r>
              </m:e>
            </m:acc>
          </m:e>
          <m:sub>
            <m:r>
              <m:t>t</m:t>
            </m:r>
          </m:sub>
        </m:sSub>
      </m:oMath>
      <w:r>
        <w:t xml:space="preserve"> </w:t>
      </w:r>
      <w:r>
        <w:t xml:space="preserve">are forecasted load, solar, and wind generation.</w:t>
      </w:r>
    </w:p>
    <w:p>
      <w:pPr>
        <w:pStyle w:val="BodyText"/>
      </w:pPr>
      <w:r>
        <w:rPr>
          <w:b/>
          <w:bCs/>
        </w:rPr>
        <w:t xml:space="preserve">Battery Dynamics:</w:t>
      </w:r>
    </w:p>
    <w:p>
      <w:pPr>
        <w:pStyle w:val="BodyText"/>
      </w:pPr>
      <m:oMathPara>
        <m:oMathParaPr>
          <m:jc m:val="center"/>
        </m:oMathParaPr>
        <m:oMath>
          <m:sSub>
            <m:e>
              <m:r>
                <m:t>E</m:t>
              </m:r>
            </m:e>
            <m:sub>
              <m:r>
                <m:t>t</m:t>
              </m:r>
              <m:r>
                <m:rPr>
                  <m:sty m:val="p"/>
                </m:rPr>
                <m:t>+</m:t>
              </m:r>
              <m:r>
                <m:t>1</m:t>
              </m:r>
            </m:sub>
          </m:sSub>
          <m:r>
            <m:rPr>
              <m:sty m:val="p"/>
            </m:rPr>
            <m:t>=</m:t>
          </m:r>
          <m:sSub>
            <m:e>
              <m:r>
                <m:t>E</m:t>
              </m:r>
            </m:e>
            <m:sub>
              <m:r>
                <m:t>t</m:t>
              </m:r>
            </m:sub>
          </m:sSub>
          <m:r>
            <m:rPr>
              <m:sty m:val="p"/>
            </m:rPr>
            <m:t>+</m:t>
          </m:r>
          <m:sSup>
            <m:e>
              <m:r>
                <m:t>η</m:t>
              </m:r>
            </m:e>
            <m:sup>
              <m:r>
                <m:t>c</m:t>
              </m:r>
            </m:sup>
          </m:sSup>
          <m:sSubSup>
            <m:e>
              <m:r>
                <m:t>P</m:t>
              </m:r>
            </m:e>
            <m:sub>
              <m:r>
                <m:t>t</m:t>
              </m:r>
            </m:sub>
            <m:sup>
              <m:r>
                <m:t>c</m:t>
              </m:r>
            </m:sup>
          </m:sSubSup>
          <m:r>
            <m:rPr>
              <m:sty m:val="p"/>
            </m:rPr>
            <m:t>Δ</m:t>
          </m:r>
          <m:r>
            <m:t>t</m:t>
          </m:r>
          <m:r>
            <m:rPr>
              <m:sty m:val="p"/>
            </m:rPr>
            <m:t>−</m:t>
          </m:r>
          <m:f>
            <m:fPr>
              <m:type m:val="bar"/>
            </m:fPr>
            <m:num>
              <m:sSubSup>
                <m:e>
                  <m:r>
                    <m:t>P</m:t>
                  </m:r>
                </m:e>
                <m:sub>
                  <m:r>
                    <m:t>t</m:t>
                  </m:r>
                </m:sub>
                <m:sup>
                  <m:r>
                    <m:t>d</m:t>
                  </m:r>
                </m:sup>
              </m:sSubSup>
            </m:num>
            <m:den>
              <m:sSup>
                <m:e>
                  <m:r>
                    <m:t>η</m:t>
                  </m:r>
                </m:e>
                <m:sup>
                  <m:r>
                    <m:t>d</m:t>
                  </m:r>
                </m:sup>
              </m:sSup>
            </m:den>
          </m:f>
          <m:r>
            <m:rPr>
              <m:sty m:val="p"/>
            </m:rPr>
            <m:t>Δ</m:t>
          </m:r>
          <m:r>
            <m:t>t</m:t>
          </m:r>
          <m:r>
            <m:t> </m:t>
          </m:r>
          <m:r>
            <m:rPr>
              <m:sty m:val="p"/>
            </m:rPr>
            <m:t>∀</m:t>
          </m:r>
          <m:r>
            <m:t>t</m:t>
          </m:r>
        </m:oMath>
      </m:oMathPara>
    </w:p>
    <w:p>
      <w:pPr>
        <w:pStyle w:val="FirstParagraph"/>
      </w:pPr>
      <w:r>
        <w:t xml:space="preserve">With charging efficiency</w:t>
      </w:r>
      <w:r>
        <w:t xml:space="preserve"> </w:t>
      </w:r>
      <m:oMath>
        <m:sSup>
          <m:e>
            <m:r>
              <m:t>η</m:t>
            </m:r>
          </m:e>
          <m:sup>
            <m:r>
              <m:t>c</m:t>
            </m:r>
          </m:sup>
        </m:sSup>
        <m:r>
          <m:rPr>
            <m:sty m:val="p"/>
          </m:rPr>
          <m:t>=</m:t>
        </m:r>
        <m:r>
          <m:t>0.95</m:t>
        </m:r>
      </m:oMath>
      <w:r>
        <w:t xml:space="preserve"> </w:t>
      </w:r>
      <w:r>
        <w:t xml:space="preserve">and discharging efficiency</w:t>
      </w:r>
      <w:r>
        <w:t xml:space="preserve"> </w:t>
      </w:r>
      <m:oMath>
        <m:sSup>
          <m:e>
            <m:r>
              <m:t>η</m:t>
            </m:r>
          </m:e>
          <m:sup>
            <m:r>
              <m:t>d</m:t>
            </m:r>
          </m:sup>
        </m:sSup>
        <m:r>
          <m:rPr>
            <m:sty m:val="p"/>
          </m:rPr>
          <m:t>=</m:t>
        </m:r>
        <m:r>
          <m:t>0.95</m:t>
        </m:r>
      </m:oMath>
      <w:r>
        <w:t xml:space="preserve">.</w:t>
      </w:r>
    </w:p>
    <w:p>
      <w:pPr>
        <w:pStyle w:val="BodyText"/>
      </w:pPr>
      <w:r>
        <w:rPr>
          <w:b/>
          <w:bCs/>
        </w:rPr>
        <w:t xml:space="preserve">State of Charge Limits:</w:t>
      </w:r>
    </w:p>
    <w:p>
      <w:pPr>
        <w:pStyle w:val="BodyText"/>
      </w:pPr>
      <m:oMathPara>
        <m:oMathParaPr>
          <m:jc m:val="center"/>
        </m:oMathParaPr>
        <m:oMath>
          <m:sSup>
            <m:e>
              <m:r>
                <m:t>E</m:t>
              </m:r>
            </m:e>
            <m:sup>
              <m:r>
                <m:t>m</m:t>
              </m:r>
              <m:r>
                <m:t>i</m:t>
              </m:r>
              <m:r>
                <m:t>n</m:t>
              </m:r>
            </m:sup>
          </m:sSup>
          <m:r>
            <m:rPr>
              <m:sty m:val="p"/>
            </m:rPr>
            <m:t>≤</m:t>
          </m:r>
          <m:sSub>
            <m:e>
              <m:r>
                <m:t>E</m:t>
              </m:r>
            </m:e>
            <m:sub>
              <m:r>
                <m:t>t</m:t>
              </m:r>
            </m:sub>
          </m:sSub>
          <m:r>
            <m:rPr>
              <m:sty m:val="p"/>
            </m:rPr>
            <m:t>≤</m:t>
          </m:r>
          <m:sSup>
            <m:e>
              <m:r>
                <m:t>E</m:t>
              </m:r>
            </m:e>
            <m:sup>
              <m:r>
                <m:t>m</m:t>
              </m:r>
              <m:r>
                <m:t>a</m:t>
              </m:r>
              <m:r>
                <m:t>x</m:t>
              </m:r>
            </m:sup>
          </m:sSup>
          <m:r>
            <m:t> </m:t>
          </m:r>
          <m:r>
            <m:rPr>
              <m:sty m:val="p"/>
            </m:rPr>
            <m:t>∀</m:t>
          </m:r>
          <m:r>
            <m:t>t</m:t>
          </m:r>
        </m:oMath>
      </m:oMathPara>
    </w:p>
    <w:p>
      <w:pPr>
        <w:pStyle w:val="FirstParagraph"/>
      </w:pPr>
      <w:r>
        <w:t xml:space="preserve">With</w:t>
      </w:r>
      <w:r>
        <w:t xml:space="preserve"> </w:t>
      </w:r>
      <m:oMath>
        <m:sSup>
          <m:e>
            <m:r>
              <m:t>E</m:t>
            </m:r>
          </m:e>
          <m:sup>
            <m:r>
              <m:t>m</m:t>
            </m:r>
            <m:r>
              <m:t>i</m:t>
            </m:r>
            <m:r>
              <m:t>n</m:t>
            </m:r>
          </m:sup>
        </m:sSup>
        <m:r>
          <m:rPr>
            <m:sty m:val="p"/>
          </m:rPr>
          <m:t>=</m:t>
        </m:r>
        <m:r>
          <m:t>0.1</m:t>
        </m:r>
        <m:r>
          <m:rPr>
            <m:sty m:val="p"/>
          </m:rPr>
          <m:t>⋅</m:t>
        </m:r>
        <m:sSup>
          <m:e>
            <m:r>
              <m:t>E</m:t>
            </m:r>
          </m:e>
          <m:sup>
            <m:r>
              <m:t>m</m:t>
            </m:r>
            <m:r>
              <m:t>a</m:t>
            </m:r>
            <m:r>
              <m:t>x</m:t>
            </m:r>
          </m:sup>
        </m:sSup>
      </m:oMath>
      <w:r>
        <w:t xml:space="preserve"> </w:t>
      </w:r>
      <w:r>
        <w:t xml:space="preserve">(10% minimum) to prevent deep discharge degradation.</w:t>
      </w:r>
    </w:p>
    <w:p>
      <w:pPr>
        <w:pStyle w:val="BodyText"/>
      </w:pPr>
      <w:r>
        <w:rPr>
          <w:b/>
          <w:bCs/>
        </w:rPr>
        <w:t xml:space="preserve">Power Limits:</w:t>
      </w:r>
    </w:p>
    <w:p>
      <w:pPr>
        <w:pStyle w:val="BodyText"/>
      </w:pPr>
      <m:oMathPara>
        <m:oMathParaPr>
          <m:jc m:val="center"/>
        </m:oMathParaPr>
        <m:oMath>
          <m:eqArr>
            <m:e>
              <m:r>
                <m:t>0</m:t>
              </m:r>
              <m:r>
                <m:rPr>
                  <m:sty m:val="p"/>
                </m:rPr>
                <m:t>≤</m:t>
              </m:r>
              <m:sSubSup>
                <m:e>
                  <m:r>
                    <m:t>P</m:t>
                  </m:r>
                </m:e>
                <m:sub>
                  <m:r>
                    <m:t>t</m:t>
                  </m:r>
                </m:sub>
                <m:sup>
                  <m:r>
                    <m:t>c</m:t>
                  </m:r>
                </m:sup>
              </m:sSubSup>
              <m:r>
                <m:t>&amp;</m:t>
              </m:r>
              <m:r>
                <m:rPr>
                  <m:sty m:val="p"/>
                </m:rPr>
                <m:t>≤</m:t>
              </m:r>
              <m:sSup>
                <m:e>
                  <m:r>
                    <m:t>P</m:t>
                  </m:r>
                </m:e>
                <m:sup>
                  <m:r>
                    <m:t>m</m:t>
                  </m:r>
                  <m:r>
                    <m:t>a</m:t>
                  </m:r>
                  <m:r>
                    <m:t>x</m:t>
                  </m:r>
                </m:sup>
              </m:sSup>
              <m:r>
                <m:rPr>
                  <m:sty m:val="p"/>
                </m:rPr>
                <m:t>⋅</m:t>
              </m:r>
              <m:sSubSup>
                <m:e>
                  <m:r>
                    <m:t>u</m:t>
                  </m:r>
                </m:e>
                <m:sub>
                  <m:r>
                    <m:t>t</m:t>
                  </m:r>
                </m:sub>
                <m:sup>
                  <m:r>
                    <m:t>c</m:t>
                  </m:r>
                </m:sup>
              </m:sSubSup>
              <m:r>
                <m:t> </m:t>
              </m:r>
              <m:r>
                <m:rPr>
                  <m:sty m:val="p"/>
                </m:rPr>
                <m:t>∀</m:t>
              </m:r>
              <m:r>
                <m:t>t</m:t>
              </m:r>
            </m:e>
            <m:e>
              <m:r>
                <m:t>0</m:t>
              </m:r>
              <m:r>
                <m:rPr>
                  <m:sty m:val="p"/>
                </m:rPr>
                <m:t>≤</m:t>
              </m:r>
              <m:sSubSup>
                <m:e>
                  <m:r>
                    <m:t>P</m:t>
                  </m:r>
                </m:e>
                <m:sub>
                  <m:r>
                    <m:t>t</m:t>
                  </m:r>
                </m:sub>
                <m:sup>
                  <m:r>
                    <m:t>d</m:t>
                  </m:r>
                </m:sup>
              </m:sSubSup>
              <m:r>
                <m:t>&amp;</m:t>
              </m:r>
              <m:r>
                <m:rPr>
                  <m:sty m:val="p"/>
                </m:rPr>
                <m:t>≤</m:t>
              </m:r>
              <m:sSup>
                <m:e>
                  <m:r>
                    <m:t>P</m:t>
                  </m:r>
                </m:e>
                <m:sup>
                  <m:r>
                    <m:t>m</m:t>
                  </m:r>
                  <m:r>
                    <m:t>a</m:t>
                  </m:r>
                  <m:r>
                    <m:t>x</m:t>
                  </m:r>
                </m:sup>
              </m:sSup>
              <m:r>
                <m:rPr>
                  <m:sty m:val="p"/>
                </m:rPr>
                <m:t>⋅</m:t>
              </m:r>
              <m:sSubSup>
                <m:e>
                  <m:r>
                    <m:t>u</m:t>
                  </m:r>
                </m:e>
                <m:sub>
                  <m:r>
                    <m:t>t</m:t>
                  </m:r>
                </m:sub>
                <m:sup>
                  <m:r>
                    <m:t>d</m:t>
                  </m:r>
                </m:sup>
              </m:sSubSup>
              <m:r>
                <m:t> </m:t>
              </m:r>
              <m:r>
                <m:rPr>
                  <m:sty m:val="p"/>
                </m:rPr>
                <m:t>∀</m:t>
              </m:r>
              <m:r>
                <m:t>t</m:t>
              </m:r>
            </m:e>
          </m:eqArr>
        </m:oMath>
      </m:oMathPara>
    </w:p>
    <w:p>
      <w:pPr>
        <w:pStyle w:val="FirstParagraph"/>
      </w:pPr>
      <w:r>
        <w:rPr>
          <w:b/>
          <w:bCs/>
        </w:rPr>
        <w:t xml:space="preserve">Mutual Exclusion (no simultaneous charge/discharge):</w:t>
      </w:r>
    </w:p>
    <w:p>
      <w:pPr>
        <w:pStyle w:val="BodyText"/>
      </w:pPr>
      <m:oMathPara>
        <m:oMathParaPr>
          <m:jc m:val="center"/>
        </m:oMathParaPr>
        <m:oMath>
          <m:sSubSup>
            <m:e>
              <m:r>
                <m:t>u</m:t>
              </m:r>
            </m:e>
            <m:sub>
              <m:r>
                <m:t>t</m:t>
              </m:r>
            </m:sub>
            <m:sup>
              <m:r>
                <m:t>c</m:t>
              </m:r>
            </m:sup>
          </m:sSubSup>
          <m:r>
            <m:rPr>
              <m:sty m:val="p"/>
            </m:rPr>
            <m:t>+</m:t>
          </m:r>
          <m:sSubSup>
            <m:e>
              <m:r>
                <m:t>u</m:t>
              </m:r>
            </m:e>
            <m:sub>
              <m:r>
                <m:t>t</m:t>
              </m:r>
            </m:sub>
            <m:sup>
              <m:r>
                <m:t>d</m:t>
              </m:r>
            </m:sup>
          </m:sSubSup>
          <m:r>
            <m:rPr>
              <m:sty m:val="p"/>
            </m:rPr>
            <m:t>≤</m:t>
          </m:r>
          <m:r>
            <m:t>1</m:t>
          </m:r>
          <m:r>
            <m:t> </m:t>
          </m:r>
          <m:r>
            <m:rPr>
              <m:sty m:val="p"/>
            </m:rPr>
            <m:t>∀</m:t>
          </m:r>
          <m:r>
            <m:t>t</m:t>
          </m:r>
        </m:oMath>
      </m:oMathPara>
    </w:p>
    <w:p>
      <w:pPr>
        <w:pStyle w:val="FirstParagraph"/>
      </w:pPr>
      <w:r>
        <w:rPr>
          <w:b/>
          <w:bCs/>
        </w:rPr>
        <w:t xml:space="preserve">Cycle Limit:</w:t>
      </w:r>
    </w:p>
    <w:p>
      <w:pPr>
        <w:pStyle w:val="BodyText"/>
      </w:pPr>
      <m:oMathPara>
        <m:oMathParaPr>
          <m:jc m:val="center"/>
        </m:oMathParaPr>
        <m:oMath>
          <m:nary>
            <m:naryPr>
              <m:chr m:val="∑"/>
              <m:limLoc m:val="undOvr"/>
              <m:subHide m:val="off"/>
              <m:supHide m:val="off"/>
            </m:naryPr>
            <m:sub>
              <m:r>
                <m:t>t</m:t>
              </m:r>
              <m:r>
                <m:rPr>
                  <m:sty m:val="p"/>
                </m:rPr>
                <m:t>=</m:t>
              </m:r>
              <m:r>
                <m:t>1</m:t>
              </m:r>
            </m:sub>
            <m:sup>
              <m:r>
                <m:t>T</m:t>
              </m:r>
            </m:sup>
            <m:e>
              <m:r>
                <m:rPr>
                  <m:sty m:val="p"/>
                </m:rPr>
                <m:t>(</m:t>
              </m:r>
            </m:e>
          </m:nary>
          <m:sSubSup>
            <m:e>
              <m:r>
                <m:t>P</m:t>
              </m:r>
            </m:e>
            <m:sub>
              <m:r>
                <m:t>t</m:t>
              </m:r>
            </m:sub>
            <m:sup>
              <m:r>
                <m:t>c</m:t>
              </m:r>
            </m:sup>
          </m:sSubSup>
          <m:r>
            <m:rPr>
              <m:sty m:val="p"/>
            </m:rPr>
            <m:t>+</m:t>
          </m:r>
          <m:sSubSup>
            <m:e>
              <m:r>
                <m:t>P</m:t>
              </m:r>
            </m:e>
            <m:sub>
              <m:r>
                <m:t>t</m:t>
              </m:r>
            </m:sub>
            <m:sup>
              <m:r>
                <m:t>d</m:t>
              </m:r>
            </m:sup>
          </m:sSubSup>
          <m:r>
            <m:rPr>
              <m:sty m:val="p"/>
            </m:rPr>
            <m:t>)</m:t>
          </m:r>
          <m:r>
            <m:rPr>
              <m:sty m:val="p"/>
            </m:rPr>
            <m:t>Δ</m:t>
          </m:r>
          <m:r>
            <m:t>t</m:t>
          </m:r>
          <m:r>
            <m:rPr>
              <m:sty m:val="p"/>
            </m:rPr>
            <m:t>≤</m:t>
          </m:r>
          <m:sSup>
            <m:e>
              <m:r>
                <m:t>C</m:t>
              </m:r>
            </m:e>
            <m:sup>
              <m:r>
                <m:t>m</m:t>
              </m:r>
              <m:r>
                <m:t>a</m:t>
              </m:r>
              <m:r>
                <m:t>x</m:t>
              </m:r>
            </m:sup>
          </m:sSup>
        </m:oMath>
      </m:oMathPara>
    </w:p>
    <w:p>
      <w:pPr>
        <w:pStyle w:val="FirstParagraph"/>
      </w:pPr>
      <w:r>
        <w:rPr>
          <w:b/>
          <w:bCs/>
        </w:rPr>
        <w:t xml:space="preserve">Terminal Constraint (return to initial SoC):</w:t>
      </w:r>
    </w:p>
    <w:p>
      <w:pPr>
        <w:pStyle w:val="BodyText"/>
      </w:pPr>
      <m:oMathPara>
        <m:oMathParaPr>
          <m:jc m:val="center"/>
        </m:oMathParaPr>
        <m:oMath>
          <m:sSub>
            <m:e>
              <m:r>
                <m:t>E</m:t>
              </m:r>
            </m:e>
            <m:sub>
              <m:r>
                <m:t>T</m:t>
              </m:r>
            </m:sub>
          </m:sSub>
          <m:r>
            <m:rPr>
              <m:sty m:val="p"/>
            </m:rPr>
            <m:t>=</m:t>
          </m:r>
          <m:sSub>
            <m:e>
              <m:r>
                <m:t>E</m:t>
              </m:r>
            </m:e>
            <m:sub>
              <m:r>
                <m:t>0</m:t>
              </m:r>
            </m:sub>
          </m:sSub>
        </m:oMath>
      </m:oMathPara>
    </w:p>
    <w:bookmarkEnd w:id="28"/>
    <w:bookmarkStart w:id="29" w:name="solution-method"/>
    <w:p>
      <w:pPr>
        <w:pStyle w:val="Heading3"/>
      </w:pPr>
      <w:r>
        <w:t xml:space="preserve">Solution Method</w:t>
      </w:r>
    </w:p>
    <w:p>
      <w:pPr>
        <w:pStyle w:val="FirstParagraph"/>
      </w:pPr>
      <w:r>
        <w:t xml:space="preserve">The MILP is solved using HiGHS (open-source) or Gurobi (commercial) with:</w:t>
      </w:r>
    </w:p>
    <w:p>
      <w:pPr>
        <w:numPr>
          <w:ilvl w:val="0"/>
          <w:numId w:val="1007"/>
        </w:numPr>
      </w:pPr>
      <w:r>
        <w:t xml:space="preserve">Relative MIP gap tolerance: 0.01%</w:t>
      </w:r>
    </w:p>
    <w:p>
      <w:pPr>
        <w:numPr>
          <w:ilvl w:val="0"/>
          <w:numId w:val="1007"/>
        </w:numPr>
      </w:pPr>
      <w:r>
        <w:t xml:space="preserve">Time limit: 60 seconds per optimization window</w:t>
      </w:r>
    </w:p>
    <w:p>
      <w:pPr>
        <w:numPr>
          <w:ilvl w:val="0"/>
          <w:numId w:val="1007"/>
        </w:numPr>
      </w:pPr>
      <w:r>
        <w:t xml:space="preserve">Warm-starting from previous solution</w:t>
      </w:r>
    </w:p>
    <w:p>
      <w:pPr>
        <w:pStyle w:val="FirstParagraph"/>
      </w:pPr>
      <w:r>
        <w:rPr>
          <w:b/>
          <w:bCs/>
        </w:rPr>
        <w:t xml:space="preserve">Computational Complexity</w:t>
      </w:r>
      <w:r>
        <w:t xml:space="preserve">:</w:t>
      </w:r>
    </w:p>
    <w:p>
      <w:pPr>
        <w:numPr>
          <w:ilvl w:val="0"/>
          <w:numId w:val="1008"/>
        </w:numPr>
      </w:pPr>
      <w:r>
        <w:t xml:space="preserve">Worst case:</w:t>
      </w:r>
      <w:r>
        <w:t xml:space="preserve"> </w:t>
      </w:r>
      <m:oMath>
        <m:r>
          <m:t>O</m:t>
        </m:r>
        <m:r>
          <m:rPr>
            <m:sty m:val="p"/>
          </m:rPr>
          <m:t>(</m:t>
        </m:r>
        <m:sSup>
          <m:e>
            <m:r>
              <m:t>2</m:t>
            </m:r>
          </m:e>
          <m:sup>
            <m:r>
              <m:t>2</m:t>
            </m:r>
            <m:r>
              <m:t>T</m:t>
            </m:r>
          </m:sup>
        </m:sSup>
        <m:r>
          <m:rPr>
            <m:sty m:val="p"/>
          </m:rPr>
          <m:t>)</m:t>
        </m:r>
      </m:oMath>
      <w:r>
        <w:t xml:space="preserve"> </w:t>
      </w:r>
      <w:r>
        <w:t xml:space="preserve">(NP-hard with binary variables)</w:t>
      </w:r>
    </w:p>
    <w:p>
      <w:pPr>
        <w:numPr>
          <w:ilvl w:val="0"/>
          <w:numId w:val="1008"/>
        </w:numPr>
      </w:pPr>
      <w:r>
        <w:t xml:space="preserve">Practical: solved in</w:t>
      </w:r>
      <w:r>
        <w:t xml:space="preserve"> </w:t>
      </w:r>
      <m:oMath>
        <m:r>
          <m:rPr>
            <m:sty m:val="p"/>
          </m:rPr>
          <m:t>&lt;</m:t>
        </m:r>
        <m:r>
          <m:t>1</m:t>
        </m:r>
      </m:oMath>
      <w:r>
        <w:t xml:space="preserve"> </w:t>
      </w:r>
      <w:r>
        <w:t xml:space="preserve">second for</w:t>
      </w:r>
      <w:r>
        <w:t xml:space="preserve"> </w:t>
      </w:r>
      <m:oMath>
        <m:r>
          <m:t>T</m:t>
        </m:r>
        <m:r>
          <m:rPr>
            <m:sty m:val="p"/>
          </m:rPr>
          <m:t>=</m:t>
        </m:r>
        <m:r>
          <m:t>24</m:t>
        </m:r>
      </m:oMath>
      <w:r>
        <w:t xml:space="preserve"> </w:t>
      </w:r>
      <w:r>
        <w:t xml:space="preserve">using HiGHS/Gurobi</w:t>
      </w:r>
    </w:p>
    <w:bookmarkEnd w:id="29"/>
    <w:bookmarkEnd w:id="30"/>
    <w:bookmarkEnd w:id="31"/>
    <w:bookmarkStart w:id="35" w:name="experimental-setup"/>
    <w:p>
      <w:pPr>
        <w:pStyle w:val="Heading1"/>
      </w:pPr>
      <w:r>
        <w:t xml:space="preserve">Experimental Setup</w:t>
      </w:r>
    </w:p>
    <w:bookmarkStart w:id="32" w:name="evaluation-protocol"/>
    <w:p>
      <w:pPr>
        <w:pStyle w:val="Heading2"/>
      </w:pPr>
      <w:r>
        <w:t xml:space="preserve">Evaluation Protocol</w:t>
      </w:r>
    </w:p>
    <w:p>
      <w:pPr>
        <w:pStyle w:val="FirstParagraph"/>
      </w:pPr>
      <w:r>
        <w:t xml:space="preserve">We employ time-series cross-validation with forward chaining:</w:t>
      </w:r>
    </w:p>
    <w:p>
      <w:pPr>
        <w:numPr>
          <w:ilvl w:val="0"/>
          <w:numId w:val="1009"/>
        </w:numPr>
      </w:pPr>
      <w:r>
        <w:t xml:space="preserve">5 folds with expanding training window</w:t>
      </w:r>
    </w:p>
    <w:p>
      <w:pPr>
        <w:numPr>
          <w:ilvl w:val="0"/>
          <w:numId w:val="1009"/>
        </w:numPr>
      </w:pPr>
      <w:r>
        <w:t xml:space="preserve">Test set: final 10% of each dataset</w:t>
      </w:r>
    </w:p>
    <w:p>
      <w:pPr>
        <w:numPr>
          <w:ilvl w:val="0"/>
          <w:numId w:val="1009"/>
        </w:numPr>
      </w:pPr>
      <w:r>
        <w:t xml:space="preserve">Evaluation horizons: 1, 6, 12, 24 hours</w:t>
      </w:r>
    </w:p>
    <w:bookmarkEnd w:id="32"/>
    <w:bookmarkStart w:id="33" w:name="metrics"/>
    <w:p>
      <w:pPr>
        <w:pStyle w:val="Heading2"/>
      </w:pPr>
      <w:r>
        <w:t xml:space="preserve">Metrics</w:t>
      </w:r>
    </w:p>
    <w:p>
      <w:pPr>
        <w:pStyle w:val="FirstParagraph"/>
      </w:pPr>
      <w:r>
        <w:rPr>
          <w:b/>
          <w:bCs/>
        </w:rPr>
        <w:t xml:space="preserve">Forecasting:</w:t>
      </w:r>
    </w:p>
    <w:p>
      <w:pPr>
        <w:numPr>
          <w:ilvl w:val="0"/>
          <w:numId w:val="1010"/>
        </w:numPr>
      </w:pPr>
      <w:r>
        <w:t xml:space="preserve">RMSE:</w:t>
      </w:r>
      <w:r>
        <w:t xml:space="preserve"> </w:t>
      </w:r>
      <m:oMath>
        <m:rad>
          <m:radPr>
            <m:degHide m:val="on"/>
          </m:radPr>
          <m:deg/>
          <m:e>
            <m:f>
              <m:fPr>
                <m:type m:val="bar"/>
              </m:fPr>
              <m:num>
                <m:r>
                  <m:t>1</m:t>
                </m:r>
              </m:num>
              <m:den>
                <m:r>
                  <m:t>n</m:t>
                </m:r>
              </m:den>
            </m:f>
            <m:r>
              <m:rPr>
                <m:sty m:val="p"/>
              </m:rPr>
              <m:t>∑</m:t>
            </m:r>
            <m:r>
              <m:rPr>
                <m:sty m:val="p"/>
              </m:rPr>
              <m:t>(</m:t>
            </m:r>
            <m:sSub>
              <m:e>
                <m:r>
                  <m:t>y</m:t>
                </m:r>
              </m:e>
              <m:sub>
                <m:r>
                  <m:t>i</m:t>
                </m:r>
              </m:sub>
            </m:sSub>
            <m:r>
              <m:rPr>
                <m:sty m:val="p"/>
              </m:rPr>
              <m:t>−</m:t>
            </m:r>
            <m:sSub>
              <m:e>
                <m:acc>
                  <m:accPr>
                    <m:chr m:val="̂"/>
                  </m:accPr>
                  <m:e>
                    <m:r>
                      <m:t>y</m:t>
                    </m:r>
                  </m:e>
                </m:acc>
              </m:e>
              <m:sub>
                <m:r>
                  <m:t>i</m:t>
                </m:r>
              </m:sub>
            </m:sSub>
            <m:sSup>
              <m:e>
                <m:r>
                  <m:rPr>
                    <m:sty m:val="p"/>
                  </m:rPr>
                  <m:t>)</m:t>
                </m:r>
              </m:e>
              <m:sup>
                <m:r>
                  <m:t>2</m:t>
                </m:r>
              </m:sup>
            </m:sSup>
          </m:e>
        </m:rad>
      </m:oMath>
    </w:p>
    <w:p>
      <w:pPr>
        <w:numPr>
          <w:ilvl w:val="0"/>
          <w:numId w:val="1010"/>
        </w:numPr>
      </w:pPr>
      <w:r>
        <w:t xml:space="preserve">MAE:</w:t>
      </w:r>
      <w:r>
        <w:t xml:space="preserve"> </w:t>
      </w:r>
      <m:oMath>
        <m:f>
          <m:fPr>
            <m:type m:val="bar"/>
          </m:fPr>
          <m:num>
            <m:r>
              <m:t>1</m:t>
            </m:r>
          </m:num>
          <m:den>
            <m:r>
              <m:t>n</m:t>
            </m:r>
          </m:den>
        </m:f>
        <m:r>
          <m:rPr>
            <m:sty m:val="p"/>
          </m:rPr>
          <m:t>∑</m:t>
        </m:r>
        <m:r>
          <m:rPr>
            <m:sty m:val="p"/>
          </m:rPr>
          <m:t>|</m:t>
        </m:r>
        <m:sSub>
          <m:e>
            <m:r>
              <m:t>y</m:t>
            </m:r>
          </m:e>
          <m:sub>
            <m:r>
              <m:t>i</m:t>
            </m:r>
          </m:sub>
        </m:sSub>
        <m:r>
          <m:rPr>
            <m:sty m:val="p"/>
          </m:rPr>
          <m:t>−</m:t>
        </m:r>
        <m:sSub>
          <m:e>
            <m:acc>
              <m:accPr>
                <m:chr m:val="̂"/>
              </m:accPr>
              <m:e>
                <m:r>
                  <m:t>y</m:t>
                </m:r>
              </m:e>
            </m:acc>
          </m:e>
          <m:sub>
            <m:r>
              <m:t>i</m:t>
            </m:r>
          </m:sub>
        </m:sSub>
        <m:r>
          <m:rPr>
            <m:sty m:val="p"/>
          </m:rPr>
          <m:t>|</m:t>
        </m:r>
      </m:oMath>
    </w:p>
    <w:p>
      <w:pPr>
        <w:numPr>
          <w:ilvl w:val="0"/>
          <w:numId w:val="1010"/>
        </w:numPr>
      </w:pPr>
      <w:r>
        <w:t xml:space="preserve">sMAPE:</w:t>
      </w:r>
      <w:r>
        <w:t xml:space="preserve"> </w:t>
      </w:r>
      <m:oMath>
        <m:f>
          <m:fPr>
            <m:type m:val="bar"/>
          </m:fPr>
          <m:num>
            <m:r>
              <m:t>100</m:t>
            </m:r>
          </m:num>
          <m:den>
            <m:r>
              <m:t>n</m:t>
            </m:r>
          </m:den>
        </m:f>
        <m:r>
          <m:rPr>
            <m:sty m:val="p"/>
          </m:rPr>
          <m:t>∑</m:t>
        </m:r>
        <m:f>
          <m:fPr>
            <m:type m:val="bar"/>
          </m:fPr>
          <m:num>
            <m:r>
              <m:rPr>
                <m:sty m:val="p"/>
              </m:rPr>
              <m:t>|</m:t>
            </m:r>
            <m:sSub>
              <m:e>
                <m:r>
                  <m:t>y</m:t>
                </m:r>
              </m:e>
              <m:sub>
                <m:r>
                  <m:t>i</m:t>
                </m:r>
              </m:sub>
            </m:sSub>
            <m:r>
              <m:rPr>
                <m:sty m:val="p"/>
              </m:rPr>
              <m:t>−</m:t>
            </m:r>
            <m:sSub>
              <m:e>
                <m:acc>
                  <m:accPr>
                    <m:chr m:val="̂"/>
                  </m:accPr>
                  <m:e>
                    <m:r>
                      <m:t>y</m:t>
                    </m:r>
                  </m:e>
                </m:acc>
              </m:e>
              <m:sub>
                <m:r>
                  <m:t>i</m:t>
                </m:r>
              </m:sub>
            </m:sSub>
            <m:r>
              <m:rPr>
                <m:sty m:val="p"/>
              </m:rPr>
              <m:t>|</m:t>
            </m:r>
          </m:num>
          <m:den>
            <m:r>
              <m:rPr>
                <m:sty m:val="p"/>
              </m:rPr>
              <m:t>(</m:t>
            </m:r>
            <m:r>
              <m:rPr>
                <m:sty m:val="p"/>
              </m:rPr>
              <m:t>|</m:t>
            </m:r>
            <m:sSub>
              <m:e>
                <m:r>
                  <m:t>y</m:t>
                </m:r>
              </m:e>
              <m:sub>
                <m:r>
                  <m:t>i</m:t>
                </m:r>
              </m:sub>
            </m:sSub>
            <m:r>
              <m:rPr>
                <m:sty m:val="p"/>
              </m:rPr>
              <m:t>|</m:t>
            </m:r>
            <m:r>
              <m:rPr>
                <m:sty m:val="p"/>
              </m:rPr>
              <m:t>+</m:t>
            </m:r>
            <m:r>
              <m:rPr>
                <m:sty m:val="p"/>
              </m:rPr>
              <m:t>|</m:t>
            </m:r>
            <m:sSub>
              <m:e>
                <m:acc>
                  <m:accPr>
                    <m:chr m:val="̂"/>
                  </m:accPr>
                  <m:e>
                    <m:r>
                      <m:t>y</m:t>
                    </m:r>
                  </m:e>
                </m:acc>
              </m:e>
              <m:sub>
                <m:r>
                  <m:t>i</m:t>
                </m:r>
              </m:sub>
            </m:sSub>
            <m:r>
              <m:rPr>
                <m:sty m:val="p"/>
              </m:rPr>
              <m:t>|</m:t>
            </m:r>
            <m:r>
              <m:rPr>
                <m:sty m:val="p"/>
              </m:rPr>
              <m:t>)</m:t>
            </m:r>
            <m:r>
              <m:rPr>
                <m:sty m:val="p"/>
              </m:rPr>
              <m:t>/</m:t>
            </m:r>
            <m:r>
              <m:t>2</m:t>
            </m:r>
          </m:den>
        </m:f>
      </m:oMath>
    </w:p>
    <w:p>
      <w:pPr>
        <w:pStyle w:val="FirstParagraph"/>
      </w:pPr>
      <w:r>
        <w:rPr>
          <w:b/>
          <w:bCs/>
        </w:rPr>
        <w:t xml:space="preserve">Uncertainty:</w:t>
      </w:r>
    </w:p>
    <w:p>
      <w:pPr>
        <w:numPr>
          <w:ilvl w:val="0"/>
          <w:numId w:val="1011"/>
        </w:numPr>
      </w:pPr>
      <w:r>
        <w:t xml:space="preserve">PICP: Prediction Interval Coverage Probability</w:t>
      </w:r>
    </w:p>
    <w:p>
      <w:pPr>
        <w:numPr>
          <w:ilvl w:val="0"/>
          <w:numId w:val="1011"/>
        </w:numPr>
      </w:pPr>
      <w:r>
        <w:t xml:space="preserve">MPIW: Mean Prediction Interval Width</w:t>
      </w:r>
    </w:p>
    <w:p>
      <w:pPr>
        <w:pStyle w:val="FirstParagraph"/>
      </w:pPr>
      <w:r>
        <w:rPr>
          <w:b/>
          <w:bCs/>
        </w:rPr>
        <w:t xml:space="preserve">Optimization:</w:t>
      </w:r>
    </w:p>
    <w:p>
      <w:pPr>
        <w:numPr>
          <w:ilvl w:val="0"/>
          <w:numId w:val="1012"/>
        </w:numPr>
      </w:pPr>
      <w:r>
        <w:t xml:space="preserve">Cost savings (%)</w:t>
      </w:r>
    </w:p>
    <w:p>
      <w:pPr>
        <w:numPr>
          <w:ilvl w:val="0"/>
          <w:numId w:val="1012"/>
        </w:numPr>
      </w:pPr>
      <w:r>
        <w:t xml:space="preserve">Carbon reduction (%)</w:t>
      </w:r>
    </w:p>
    <w:p>
      <w:pPr>
        <w:numPr>
          <w:ilvl w:val="0"/>
          <w:numId w:val="1012"/>
        </w:numPr>
      </w:pPr>
      <w:r>
        <w:t xml:space="preserve">Peak shaving (%)</w:t>
      </w:r>
    </w:p>
    <w:bookmarkEnd w:id="33"/>
    <w:bookmarkStart w:id="34" w:name="baselines"/>
    <w:p>
      <w:pPr>
        <w:pStyle w:val="Heading2"/>
      </w:pPr>
      <w:r>
        <w:t xml:space="preserve">Baselines</w:t>
      </w:r>
    </w:p>
    <w:p>
      <w:pPr>
        <w:numPr>
          <w:ilvl w:val="0"/>
          <w:numId w:val="1013"/>
        </w:numPr>
      </w:pPr>
      <w:r>
        <w:rPr>
          <w:b/>
          <w:bCs/>
        </w:rPr>
        <w:t xml:space="preserve">Persistence (24h)</w:t>
      </w:r>
      <w:r>
        <w:t xml:space="preserve">:</w:t>
      </w:r>
      <w:r>
        <w:t xml:space="preserve"> </w:t>
      </w:r>
      <m:oMath>
        <m:sSub>
          <m:e>
            <m:acc>
              <m:accPr>
                <m:chr m:val="̂"/>
              </m:accPr>
              <m:e>
                <m:r>
                  <m:t>y</m:t>
                </m:r>
              </m:e>
            </m:acc>
          </m:e>
          <m:sub>
            <m:r>
              <m:t>t</m:t>
            </m:r>
          </m:sub>
        </m:sSub>
        <m:r>
          <m:rPr>
            <m:sty m:val="p"/>
          </m:rPr>
          <m:t>=</m:t>
        </m:r>
        <m:sSub>
          <m:e>
            <m:r>
              <m:t>y</m:t>
            </m:r>
          </m:e>
          <m:sub>
            <m:r>
              <m:t>t</m:t>
            </m:r>
            <m:r>
              <m:rPr>
                <m:sty m:val="p"/>
              </m:rPr>
              <m:t>−</m:t>
            </m:r>
            <m:r>
              <m:t>24</m:t>
            </m:r>
          </m:sub>
        </m:sSub>
      </m:oMath>
    </w:p>
    <w:p>
      <w:pPr>
        <w:numPr>
          <w:ilvl w:val="0"/>
          <w:numId w:val="1013"/>
        </w:numPr>
      </w:pPr>
      <w:r>
        <w:rPr>
          <w:b/>
          <w:bCs/>
        </w:rPr>
        <w:t xml:space="preserve">Moving Average (24h)</w:t>
      </w:r>
      <w:r>
        <w:t xml:space="preserve">:</w:t>
      </w:r>
      <w:r>
        <w:t xml:space="preserve"> </w:t>
      </w:r>
      <m:oMath>
        <m:sSub>
          <m:e>
            <m:acc>
              <m:accPr>
                <m:chr m:val="̂"/>
              </m:accPr>
              <m:e>
                <m:r>
                  <m:t>y</m:t>
                </m:r>
              </m:e>
            </m:acc>
          </m:e>
          <m:sub>
            <m:r>
              <m:t>t</m:t>
            </m:r>
          </m:sub>
        </m:sSub>
        <m:r>
          <m:rPr>
            <m:sty m:val="p"/>
          </m:rPr>
          <m:t>=</m:t>
        </m:r>
        <m:f>
          <m:fPr>
            <m:type m:val="bar"/>
          </m:fPr>
          <m:num>
            <m:r>
              <m:t>1</m:t>
            </m:r>
          </m:num>
          <m:den>
            <m:r>
              <m:t>24</m:t>
            </m:r>
          </m:den>
        </m:f>
        <m:nary>
          <m:naryPr>
            <m:chr m:val="∑"/>
            <m:limLoc m:val="undOvr"/>
            <m:subHide m:val="off"/>
            <m:supHide m:val="off"/>
          </m:naryPr>
          <m:sub>
            <m:r>
              <m:t>i</m:t>
            </m:r>
            <m:r>
              <m:rPr>
                <m:sty m:val="p"/>
              </m:rPr>
              <m:t>=</m:t>
            </m:r>
            <m:r>
              <m:t>1</m:t>
            </m:r>
          </m:sub>
          <m:sup>
            <m:r>
              <m:t>24</m:t>
            </m:r>
          </m:sup>
          <m:e>
            <m:sSub>
              <m:e>
                <m:r>
                  <m:t>y</m:t>
                </m:r>
              </m:e>
              <m:sub>
                <m:r>
                  <m:t>t</m:t>
                </m:r>
                <m:r>
                  <m:rPr>
                    <m:sty m:val="p"/>
                  </m:rPr>
                  <m:t>−</m:t>
                </m:r>
                <m:r>
                  <m:t>i</m:t>
                </m:r>
              </m:sub>
            </m:sSub>
          </m:e>
        </m:nary>
      </m:oMath>
    </w:p>
    <w:p>
      <w:pPr>
        <w:numPr>
          <w:ilvl w:val="0"/>
          <w:numId w:val="1013"/>
        </w:numPr>
      </w:pPr>
      <w:r>
        <w:rPr>
          <w:b/>
          <w:bCs/>
        </w:rPr>
        <w:t xml:space="preserve">Rule-based dispatch</w:t>
      </w:r>
      <w:r>
        <w:t xml:space="preserve">: Charge when price</w:t>
      </w:r>
      <w:r>
        <w:t xml:space="preserve"> </w:t>
      </w:r>
      <m:oMath>
        <m:r>
          <m:rPr>
            <m:sty m:val="p"/>
          </m:rPr>
          <m:t>&lt;</m:t>
        </m:r>
      </m:oMath>
      <w:r>
        <w:t xml:space="preserve"> </w:t>
      </w:r>
      <w:r>
        <w:t xml:space="preserve">mean, discharge when price</w:t>
      </w:r>
      <w:r>
        <w:t xml:space="preserve"> </w:t>
      </w:r>
      <m:oMath>
        <m:r>
          <m:rPr>
            <m:sty m:val="p"/>
          </m:rPr>
          <m:t>&gt;</m:t>
        </m:r>
      </m:oMath>
      <w:r>
        <w:t xml:space="preserve"> </w:t>
      </w:r>
      <w:r>
        <w:t xml:space="preserve">mean</w:t>
      </w:r>
    </w:p>
    <w:bookmarkEnd w:id="34"/>
    <w:bookmarkEnd w:id="35"/>
    <w:bookmarkStart w:id="60" w:name="results"/>
    <w:p>
      <w:pPr>
        <w:pStyle w:val="Heading1"/>
      </w:pPr>
      <w:r>
        <w:t xml:space="preserve">Results</w:t>
      </w:r>
    </w:p>
    <w:bookmarkStart w:id="40" w:name="forecasting-performance"/>
    <w:p>
      <w:pPr>
        <w:pStyle w:val="Heading2"/>
      </w:pPr>
      <w:r>
        <w:t xml:space="preserve">Forecasting Performance</w:t>
      </w:r>
    </w:p>
    <w:p>
      <w:pPr>
        <w:pStyle w:val="FirstParagraph"/>
      </w:pPr>
      <w:r>
        <w:t xml:space="preserve">Table </w:t>
      </w:r>
      <w:hyperlink w:anchor="tab:forecast_de">
        <w:r>
          <w:rPr>
            <w:rStyle w:val="Hyperlink"/>
          </w:rPr>
          <w:t xml:space="preserve">2</w:t>
        </w:r>
      </w:hyperlink>
      <w:r>
        <w:t xml:space="preserve"> </w:t>
      </w:r>
      <w:r>
        <w:t xml:space="preserve">and Table </w:t>
      </w:r>
      <w:hyperlink w:anchor="tab:forecast_us">
        <w:r>
          <w:rPr>
            <w:rStyle w:val="Hyperlink"/>
          </w:rPr>
          <w:t xml:space="preserve">3</w:t>
        </w:r>
      </w:hyperlink>
      <w:r>
        <w:t xml:space="preserve"> </w:t>
      </w:r>
      <w:r>
        <w:t xml:space="preserve">present forecasting results for Germany and the USA.</w:t>
      </w:r>
    </w:p>
    <w:bookmarkStart w:id="37" w:name="germany-opsd"/>
    <w:p>
      <w:pPr>
        <w:pStyle w:val="Heading3"/>
      </w:pPr>
      <w:r>
        <w:t xml:space="preserve">Germany (OPSD)</w:t>
      </w:r>
    </w:p>
    <w:bookmarkStart w:id="36" w:name="tab:forecast_de"/>
    <w:p>
      <w:pPr>
        <w:pStyle w:val="TableCaption"/>
      </w:pPr>
      <w:r>
        <w:t xml:space="preserve">Forecast Performance on Germany (OPSD) Dataset</w:t>
      </w:r>
    </w:p>
    <w:tbl>
      <w:tblPr>
        <w:tblStyle w:val="Table"/>
        <w:tblW w:type="auto" w:w="0"/>
        <w:tblLook w:firstRow="1" w:lastRow="0" w:firstColumn="0" w:lastColumn="0" w:noHBand="0" w:noVBand="0" w:val="0020"/>
        <w:tblCaption w:val="Forecast Performance on Germany (OPSD) Dataset"/>
      </w:tblPr>
      <w:tblGrid>
        <w:gridCol w:w="1320"/>
        <w:gridCol w:w="1320"/>
        <w:gridCol w:w="1320"/>
        <w:gridCol w:w="1320"/>
        <w:gridCol w:w="1320"/>
        <w:gridCol w:w="1320"/>
      </w:tblGrid>
      <w:tr>
        <w:trPr>
          <w:tblHeader w:val="on"/>
        </w:trPr>
        <w:tc>
          <w:tcPr/>
          <w:p>
            <w:pPr>
              <w:pStyle w:val="Compact"/>
              <w:jc w:val="left"/>
            </w:pPr>
            <w:r>
              <w:rPr>
                <w:b/>
                <w:bCs/>
              </w:rPr>
              <w:t xml:space="preserve">Target</w:t>
            </w:r>
          </w:p>
        </w:tc>
        <w:tc>
          <w:tcPr/>
          <w:p>
            <w:pPr>
              <w:pStyle w:val="Compact"/>
              <w:jc w:val="left"/>
            </w:pPr>
            <w:r>
              <w:rPr>
                <w:b/>
                <w:bCs/>
              </w:rPr>
              <w:t xml:space="preserve">Model</w:t>
            </w:r>
          </w:p>
        </w:tc>
        <w:tc>
          <w:tcPr/>
          <w:p>
            <w:pPr>
              <w:pStyle w:val="Compact"/>
              <w:jc w:val="right"/>
            </w:pPr>
            <w:r>
              <w:rPr>
                <w:b/>
                <w:bCs/>
              </w:rPr>
              <w:t xml:space="preserve">RMSE</w:t>
            </w:r>
          </w:p>
        </w:tc>
        <w:tc>
          <w:tcPr/>
          <w:p>
            <w:pPr>
              <w:pStyle w:val="Compact"/>
              <w:jc w:val="right"/>
            </w:pPr>
            <w:r>
              <w:rPr>
                <w:b/>
                <w:bCs/>
              </w:rPr>
              <w:t xml:space="preserve">MAE</w:t>
            </w:r>
          </w:p>
        </w:tc>
        <w:tc>
          <w:tcPr/>
          <w:p>
            <w:pPr>
              <w:pStyle w:val="Compact"/>
              <w:jc w:val="right"/>
            </w:pPr>
            <w:r>
              <w:rPr>
                <w:b/>
                <w:bCs/>
              </w:rPr>
              <w:t xml:space="preserve">sMAPE (%)</w:t>
            </w:r>
          </w:p>
        </w:tc>
        <w:tc>
          <w:tcPr/>
          <w:p>
            <w:pPr>
              <w:pStyle w:val="Compact"/>
              <w:jc w:val="right"/>
            </w:pPr>
            <w:r>
              <w:rPr>
                <w:b/>
                <w:bCs/>
              </w:rPr>
              <w:t xml:space="preserve">R</w:t>
            </w:r>
            <w:r>
              <w:rPr>
                <w:b/>
                <w:bCs/>
                <w:vertAlign w:val="superscript"/>
              </w:rPr>
              <w:t xml:space="preserve">2</w:t>
            </w:r>
          </w:p>
        </w:tc>
      </w:tr>
      <w:tr>
        <w:tc>
          <w:tcPr>
            <w:vMerge w:val="restart"/>
          </w:tcPr>
          <w:p>
            <w:pPr>
              <w:pStyle w:val="Compact"/>
              <w:jc w:val="left"/>
            </w:pPr>
            <w:r>
              <w:t xml:space="preserve">Load (MW)</w:t>
            </w:r>
          </w:p>
        </w:tc>
        <w:tc>
          <w:tcPr/>
          <w:p>
            <w:pPr>
              <w:pStyle w:val="Compact"/>
              <w:jc w:val="left"/>
            </w:pPr>
            <w:r>
              <w:rPr>
                <w:b/>
                <w:bCs/>
              </w:rPr>
              <w:t xml:space="preserve">GBM</w:t>
            </w:r>
          </w:p>
        </w:tc>
        <w:tc>
          <w:tcPr/>
          <w:p>
            <w:pPr>
              <w:pStyle w:val="Compact"/>
              <w:jc w:val="right"/>
            </w:pPr>
            <w:r>
              <w:rPr>
                <w:b/>
                <w:bCs/>
              </w:rPr>
              <w:t xml:space="preserve">271.17</w:t>
            </w:r>
          </w:p>
        </w:tc>
        <w:tc>
          <w:tcPr/>
          <w:p>
            <w:pPr>
              <w:pStyle w:val="Compact"/>
              <w:jc w:val="right"/>
            </w:pPr>
            <w:r>
              <w:rPr>
                <w:b/>
                <w:bCs/>
              </w:rPr>
              <w:t xml:space="preserve">161.08</w:t>
            </w:r>
          </w:p>
        </w:tc>
        <w:tc>
          <w:tcPr/>
          <w:p>
            <w:pPr>
              <w:pStyle w:val="Compact"/>
              <w:jc w:val="right"/>
            </w:pPr>
            <w:r>
              <w:rPr>
                <w:b/>
                <w:bCs/>
              </w:rPr>
              <w:t xml:space="preserve">0.34</w:t>
            </w:r>
          </w:p>
        </w:tc>
        <w:tc>
          <w:tcPr/>
          <w:p>
            <w:pPr>
              <w:pStyle w:val="Compact"/>
              <w:jc w:val="right"/>
            </w:pPr>
            <w:r>
              <w:rPr>
                <w:b/>
                <w:bCs/>
              </w:rPr>
              <w:t xml:space="preserve">0.999</w:t>
            </w:r>
          </w:p>
        </w:tc>
      </w:tr>
      <w:tr>
        <w:tc>
          <w:tcPr>
            <w:gridSpan w:val="1"/>
            <w:vMerge w:val="continue"/>
          </w:tcPr>
          <w:p>
            <w:pPr/>
          </w:p>
        </w:tc>
        <w:tc>
          <w:tcPr/>
          <w:p>
            <w:pPr>
              <w:pStyle w:val="Compact"/>
              <w:jc w:val="left"/>
            </w:pPr>
            <w:r>
              <w:t xml:space="preserve">LSTM</w:t>
            </w:r>
          </w:p>
        </w:tc>
        <w:tc>
          <w:tcPr/>
          <w:p>
            <w:pPr>
              <w:pStyle w:val="Compact"/>
              <w:jc w:val="right"/>
            </w:pPr>
            <w:r>
              <w:t xml:space="preserve">2,355.97</w:t>
            </w:r>
          </w:p>
        </w:tc>
        <w:tc>
          <w:tcPr/>
          <w:p>
            <w:pPr>
              <w:pStyle w:val="Compact"/>
              <w:jc w:val="right"/>
            </w:pPr>
            <w:r>
              <w:t xml:space="preserve">1,732.08</w:t>
            </w:r>
          </w:p>
        </w:tc>
        <w:tc>
          <w:tcPr/>
          <w:p>
            <w:pPr>
              <w:pStyle w:val="Compact"/>
              <w:jc w:val="right"/>
            </w:pPr>
            <w:r>
              <w:t xml:space="preserve">3.36</w:t>
            </w:r>
          </w:p>
        </w:tc>
        <w:tc>
          <w:tcPr/>
          <w:p>
            <w:pPr>
              <w:pStyle w:val="Compact"/>
              <w:jc w:val="right"/>
            </w:pPr>
            <w:r>
              <w:t xml:space="preserve">0.931</w:t>
            </w:r>
          </w:p>
        </w:tc>
      </w:tr>
      <w:tr>
        <w:tc>
          <w:tcPr>
            <w:gridSpan w:val="1"/>
            <w:vMerge w:val="continue"/>
          </w:tcPr>
          <w:p>
            <w:pPr/>
          </w:p>
        </w:tc>
        <w:tc>
          <w:tcPr/>
          <w:p>
            <w:pPr>
              <w:pStyle w:val="Compact"/>
              <w:jc w:val="left"/>
            </w:pPr>
            <w:r>
              <w:t xml:space="preserve">TCN</w:t>
            </w:r>
          </w:p>
        </w:tc>
        <w:tc>
          <w:tcPr/>
          <w:p>
            <w:pPr>
              <w:pStyle w:val="Compact"/>
              <w:jc w:val="right"/>
            </w:pPr>
            <w:r>
              <w:t xml:space="preserve">3,394.19</w:t>
            </w:r>
          </w:p>
        </w:tc>
        <w:tc>
          <w:tcPr/>
          <w:p>
            <w:pPr>
              <w:pStyle w:val="Compact"/>
              <w:jc w:val="right"/>
            </w:pPr>
            <w:r>
              <w:t xml:space="preserve">2,613.50</w:t>
            </w:r>
          </w:p>
        </w:tc>
        <w:tc>
          <w:tcPr/>
          <w:p>
            <w:pPr>
              <w:pStyle w:val="Compact"/>
              <w:jc w:val="right"/>
            </w:pPr>
            <w:r>
              <w:t xml:space="preserve">5.35</w:t>
            </w:r>
          </w:p>
        </w:tc>
        <w:tc>
          <w:tcPr/>
          <w:p>
            <w:pPr>
              <w:pStyle w:val="Compact"/>
              <w:jc w:val="right"/>
            </w:pPr>
            <w:r>
              <w:t xml:space="preserve">0.857</w:t>
            </w:r>
          </w:p>
        </w:tc>
      </w:tr>
      <w:tr>
        <w:tc>
          <w:tcPr>
            <w:gridSpan w:val="1"/>
            <w:vMerge w:val="continue"/>
          </w:tcPr>
          <w:p>
            <w:pPr/>
          </w:p>
        </w:tc>
        <w:tc>
          <w:tcPr/>
          <w:p>
            <w:pPr>
              <w:pStyle w:val="Compact"/>
              <w:jc w:val="left"/>
            </w:pPr>
            <w:r>
              <w:t xml:space="preserve">Persistence</w:t>
            </w:r>
          </w:p>
        </w:tc>
        <w:tc>
          <w:tcPr/>
          <w:p>
            <w:pPr>
              <w:pStyle w:val="Compact"/>
              <w:jc w:val="right"/>
            </w:pPr>
            <w:r>
              <w:t xml:space="preserve">6,010.56</w:t>
            </w:r>
          </w:p>
        </w:tc>
        <w:tc>
          <w:tcPr/>
          <w:p>
            <w:pPr>
              <w:pStyle w:val="Compact"/>
              <w:jc w:val="right"/>
            </w:pPr>
            <w:r>
              <w:t xml:space="preserve">3,901.68</w:t>
            </w:r>
          </w:p>
        </w:tc>
        <w:tc>
          <w:tcPr/>
          <w:p>
            <w:pPr>
              <w:pStyle w:val="Compact"/>
              <w:jc w:val="right"/>
            </w:pPr>
            <w:r>
              <w:t xml:space="preserve">7.83</w:t>
            </w:r>
          </w:p>
        </w:tc>
        <w:tc>
          <w:tcPr/>
          <w:p>
            <w:pPr>
              <w:pStyle w:val="Compact"/>
              <w:jc w:val="right"/>
            </w:pPr>
            <w:r>
              <w:t xml:space="preserve">—</w:t>
            </w:r>
          </w:p>
        </w:tc>
      </w:tr>
      <w:tr>
        <w:tc>
          <w:tcPr>
            <w:vMerge w:val="restart"/>
          </w:tcPr>
          <w:p>
            <w:pPr>
              <w:pStyle w:val="Compact"/>
              <w:jc w:val="left"/>
            </w:pPr>
            <w:r>
              <w:t xml:space="preserve">Wind (MW)</w:t>
            </w:r>
          </w:p>
        </w:tc>
        <w:tc>
          <w:tcPr/>
          <w:p>
            <w:pPr>
              <w:pStyle w:val="Compact"/>
              <w:jc w:val="left"/>
            </w:pPr>
            <w:r>
              <w:rPr>
                <w:b/>
                <w:bCs/>
              </w:rPr>
              <w:t xml:space="preserve">GBM</w:t>
            </w:r>
          </w:p>
        </w:tc>
        <w:tc>
          <w:tcPr/>
          <w:p>
            <w:pPr>
              <w:pStyle w:val="Compact"/>
              <w:jc w:val="right"/>
            </w:pPr>
            <w:r>
              <w:rPr>
                <w:b/>
                <w:bCs/>
              </w:rPr>
              <w:t xml:space="preserve">127.08</w:t>
            </w:r>
          </w:p>
        </w:tc>
        <w:tc>
          <w:tcPr/>
          <w:p>
            <w:pPr>
              <w:pStyle w:val="Compact"/>
              <w:jc w:val="right"/>
            </w:pPr>
            <w:r>
              <w:rPr>
                <w:b/>
                <w:bCs/>
              </w:rPr>
              <w:t xml:space="preserve">87.33</w:t>
            </w:r>
          </w:p>
        </w:tc>
        <w:tc>
          <w:tcPr/>
          <w:p>
            <w:pPr>
              <w:pStyle w:val="Compact"/>
              <w:jc w:val="right"/>
            </w:pPr>
            <w:r>
              <w:rPr>
                <w:b/>
                <w:bCs/>
              </w:rPr>
              <w:t xml:space="preserve">1.98</w:t>
            </w:r>
          </w:p>
        </w:tc>
        <w:tc>
          <w:tcPr/>
          <w:p>
            <w:pPr>
              <w:pStyle w:val="Compact"/>
              <w:jc w:val="right"/>
            </w:pPr>
            <w:r>
              <w:t xml:space="preserve">0.998</w:t>
            </w:r>
          </w:p>
        </w:tc>
      </w:tr>
      <w:tr>
        <w:tc>
          <w:tcPr>
            <w:gridSpan w:val="1"/>
            <w:vMerge w:val="continue"/>
          </w:tcPr>
          <w:p>
            <w:pPr/>
          </w:p>
        </w:tc>
        <w:tc>
          <w:tcPr/>
          <w:p>
            <w:pPr>
              <w:pStyle w:val="Compact"/>
              <w:jc w:val="left"/>
            </w:pPr>
            <w:r>
              <w:t xml:space="preserve">LSTM</w:t>
            </w:r>
          </w:p>
        </w:tc>
        <w:tc>
          <w:tcPr/>
          <w:p>
            <w:pPr>
              <w:pStyle w:val="Compact"/>
              <w:jc w:val="right"/>
            </w:pPr>
            <w:r>
              <w:t xml:space="preserve">6,025.14</w:t>
            </w:r>
          </w:p>
        </w:tc>
        <w:tc>
          <w:tcPr/>
          <w:p>
            <w:pPr>
              <w:pStyle w:val="Compact"/>
              <w:jc w:val="right"/>
            </w:pPr>
            <w:r>
              <w:t xml:space="preserve">4,304.79</w:t>
            </w:r>
          </w:p>
        </w:tc>
        <w:tc>
          <w:tcPr/>
          <w:p>
            <w:pPr>
              <w:pStyle w:val="Compact"/>
              <w:jc w:val="right"/>
            </w:pPr>
            <w:r>
              <w:t xml:space="preserve">52.05</w:t>
            </w:r>
          </w:p>
        </w:tc>
        <w:tc>
          <w:tcPr/>
          <w:p>
            <w:pPr>
              <w:pStyle w:val="Compact"/>
              <w:jc w:val="right"/>
            </w:pPr>
            <w:r>
              <w:t xml:space="preserve">—</w:t>
            </w:r>
          </w:p>
        </w:tc>
      </w:tr>
      <w:tr>
        <w:tc>
          <w:tcPr>
            <w:gridSpan w:val="1"/>
            <w:vMerge w:val="continue"/>
          </w:tcPr>
          <w:p>
            <w:pPr/>
          </w:p>
        </w:tc>
        <w:tc>
          <w:tcPr/>
          <w:p>
            <w:pPr>
              <w:pStyle w:val="Compact"/>
              <w:jc w:val="left"/>
            </w:pPr>
            <w:r>
              <w:t xml:space="preserve">Persistence</w:t>
            </w:r>
          </w:p>
        </w:tc>
        <w:tc>
          <w:tcPr/>
          <w:p>
            <w:pPr>
              <w:pStyle w:val="Compact"/>
              <w:jc w:val="right"/>
            </w:pPr>
            <w:r>
              <w:t xml:space="preserve">7,780.10</w:t>
            </w:r>
          </w:p>
        </w:tc>
        <w:tc>
          <w:tcPr/>
          <w:p>
            <w:pPr>
              <w:pStyle w:val="Compact"/>
              <w:jc w:val="right"/>
            </w:pPr>
            <w:r>
              <w:t xml:space="preserve">5,496.82</w:t>
            </w:r>
          </w:p>
        </w:tc>
        <w:tc>
          <w:tcPr/>
          <w:p>
            <w:pPr>
              <w:pStyle w:val="Compact"/>
              <w:jc w:val="right"/>
            </w:pPr>
            <w:r>
              <w:t xml:space="preserve">63.68</w:t>
            </w:r>
          </w:p>
        </w:tc>
        <w:tc>
          <w:tcPr/>
          <w:p>
            <w:pPr>
              <w:pStyle w:val="Compact"/>
              <w:jc w:val="right"/>
            </w:pPr>
            <w:r>
              <w:t xml:space="preserve">—</w:t>
            </w:r>
          </w:p>
        </w:tc>
      </w:tr>
      <w:tr>
        <w:tc>
          <w:tcPr>
            <w:vMerge w:val="restart"/>
          </w:tcPr>
          <w:p>
            <w:pPr>
              <w:pStyle w:val="Compact"/>
              <w:jc w:val="left"/>
            </w:pPr>
            <w:r>
              <w:t xml:space="preserve">Solar (MW)</w:t>
            </w:r>
          </w:p>
        </w:tc>
        <w:tc>
          <w:tcPr/>
          <w:p>
            <w:pPr>
              <w:pStyle w:val="Compact"/>
              <w:jc w:val="left"/>
            </w:pPr>
            <w:r>
              <w:rPr>
                <w:b/>
                <w:bCs/>
              </w:rPr>
              <w:t xml:space="preserve">GBM</w:t>
            </w:r>
          </w:p>
        </w:tc>
        <w:tc>
          <w:tcPr/>
          <w:p>
            <w:pPr>
              <w:pStyle w:val="Compact"/>
              <w:jc w:val="right"/>
            </w:pPr>
            <w:r>
              <w:rPr>
                <w:b/>
                <w:bCs/>
              </w:rPr>
              <w:t xml:space="preserve">269.55</w:t>
            </w:r>
          </w:p>
        </w:tc>
        <w:tc>
          <w:tcPr/>
          <w:p>
            <w:pPr>
              <w:pStyle w:val="Compact"/>
              <w:jc w:val="right"/>
            </w:pPr>
            <w:r>
              <w:rPr>
                <w:b/>
                <w:bCs/>
              </w:rPr>
              <w:t xml:space="preserve">129.54</w:t>
            </w:r>
          </w:p>
        </w:tc>
        <w:tc>
          <w:tcPr/>
          <w:p>
            <w:pPr>
              <w:pStyle w:val="Compact"/>
              <w:jc w:val="right"/>
            </w:pPr>
            <w:r>
              <w:t xml:space="preserve">70.42</w:t>
            </w:r>
          </w:p>
        </w:tc>
        <w:tc>
          <w:tcPr/>
          <w:p>
            <w:pPr>
              <w:pStyle w:val="Compact"/>
              <w:jc w:val="right"/>
            </w:pPr>
            <w:r>
              <w:t xml:space="preserve">0.996</w:t>
            </w:r>
          </w:p>
        </w:tc>
      </w:tr>
      <w:tr>
        <w:tc>
          <w:tcPr>
            <w:gridSpan w:val="1"/>
            <w:vMerge w:val="continue"/>
          </w:tcPr>
          <w:p>
            <w:pPr/>
          </w:p>
        </w:tc>
        <w:tc>
          <w:tcPr/>
          <w:p>
            <w:pPr>
              <w:pStyle w:val="Compact"/>
              <w:jc w:val="left"/>
            </w:pPr>
            <w:r>
              <w:t xml:space="preserve">LSTM</w:t>
            </w:r>
          </w:p>
        </w:tc>
        <w:tc>
          <w:tcPr/>
          <w:p>
            <w:pPr>
              <w:pStyle w:val="Compact"/>
              <w:jc w:val="right"/>
            </w:pPr>
            <w:r>
              <w:t xml:space="preserve">2,536.11</w:t>
            </w:r>
          </w:p>
        </w:tc>
        <w:tc>
          <w:tcPr/>
          <w:p>
            <w:pPr>
              <w:pStyle w:val="Compact"/>
              <w:jc w:val="right"/>
            </w:pPr>
            <w:r>
              <w:t xml:space="preserve">1,536.00</w:t>
            </w:r>
          </w:p>
        </w:tc>
        <w:tc>
          <w:tcPr/>
          <w:p>
            <w:pPr>
              <w:pStyle w:val="Compact"/>
              <w:jc w:val="right"/>
            </w:pPr>
            <w:r>
              <w:t xml:space="preserve">96.58</w:t>
            </w:r>
          </w:p>
        </w:tc>
        <w:tc>
          <w:tcPr/>
          <w:p>
            <w:pPr>
              <w:pStyle w:val="Compact"/>
              <w:jc w:val="right"/>
            </w:pPr>
            <w:r>
              <w:t xml:space="preserve">—</w:t>
            </w:r>
          </w:p>
        </w:tc>
      </w:tr>
      <w:tr>
        <w:tc>
          <w:tcPr>
            <w:gridSpan w:val="1"/>
            <w:vMerge w:val="continue"/>
          </w:tcPr>
          <w:p>
            <w:pPr/>
          </w:p>
        </w:tc>
        <w:tc>
          <w:tcPr/>
          <w:p>
            <w:pPr>
              <w:pStyle w:val="Compact"/>
              <w:jc w:val="left"/>
            </w:pPr>
            <w:r>
              <w:t xml:space="preserve">Persistence</w:t>
            </w:r>
          </w:p>
        </w:tc>
        <w:tc>
          <w:tcPr/>
          <w:p>
            <w:pPr>
              <w:pStyle w:val="Compact"/>
              <w:jc w:val="right"/>
            </w:pPr>
            <w:r>
              <w:t xml:space="preserve">2,427.47</w:t>
            </w:r>
          </w:p>
        </w:tc>
        <w:tc>
          <w:tcPr/>
          <w:p>
            <w:pPr>
              <w:pStyle w:val="Compact"/>
              <w:jc w:val="right"/>
            </w:pPr>
            <w:r>
              <w:t xml:space="preserve">1,254.86</w:t>
            </w:r>
          </w:p>
        </w:tc>
        <w:tc>
          <w:tcPr/>
          <w:p>
            <w:pPr>
              <w:pStyle w:val="Compact"/>
              <w:jc w:val="right"/>
            </w:pPr>
            <w:r>
              <w:t xml:space="preserve">14.26</w:t>
            </w:r>
          </w:p>
        </w:tc>
        <w:tc>
          <w:tcPr/>
          <w:p>
            <w:pPr>
              <w:pStyle w:val="Compact"/>
              <w:jc w:val="right"/>
            </w:pPr>
            <w:r>
              <w:t xml:space="preserve">—</w:t>
            </w:r>
          </w:p>
        </w:tc>
      </w:tr>
    </w:tbl>
    <w:bookmarkEnd w:id="36"/>
    <w:p>
      <w:pPr>
        <w:pStyle w:val="BodyText"/>
      </w:pPr>
      <w:r>
        <w:t xml:space="preserve">Note: Best results in</w:t>
      </w:r>
      <w:r>
        <w:t xml:space="preserve"> </w:t>
      </w:r>
      <w:r>
        <w:rPr>
          <w:b/>
          <w:bCs/>
        </w:rPr>
        <w:t xml:space="preserve">bold</w:t>
      </w:r>
      <w:r>
        <w:t xml:space="preserve">. Persistence baseline uses 24-hour lag.</w:t>
      </w:r>
    </w:p>
    <w:p>
      <w:pPr>
        <w:pStyle w:val="BodyText"/>
      </w:pPr>
      <w:r>
        <w:t xml:space="preserve">RMSE/MAE in MW. Test set: 1,739 observations (20% holdout).</w:t>
      </w:r>
    </w:p>
    <w:p>
      <w:pPr>
        <w:pStyle w:val="BodyText"/>
      </w:pPr>
      <w:r>
        <w:t xml:space="preserve">GBM achieves</w:t>
      </w:r>
      <w:r>
        <w:t xml:space="preserve"> </w:t>
      </w:r>
      <w:r>
        <w:rPr>
          <w:b/>
          <w:bCs/>
        </w:rPr>
        <w:t xml:space="preserve">95.5% improvement</w:t>
      </w:r>
      <w:r>
        <w:t xml:space="preserve"> </w:t>
      </w:r>
      <w:r>
        <w:t xml:space="preserve">over persistence for load forecasting in Germany and</w:t>
      </w:r>
      <w:r>
        <w:t xml:space="preserve"> </w:t>
      </w:r>
      <w:r>
        <w:rPr>
          <w:b/>
          <w:bCs/>
        </w:rPr>
        <w:t xml:space="preserve">98.4% improvement</w:t>
      </w:r>
      <w:r>
        <w:t xml:space="preserve"> </w:t>
      </w:r>
      <w:r>
        <w:t xml:space="preserve">for wind forecasting.</w:t>
      </w:r>
    </w:p>
    <w:bookmarkEnd w:id="37"/>
    <w:bookmarkStart w:id="39" w:name="united-states-eia-930-miso"/>
    <w:p>
      <w:pPr>
        <w:pStyle w:val="Heading3"/>
      </w:pPr>
      <w:r>
        <w:t xml:space="preserve">United States (EIA-930 MISO)</w:t>
      </w:r>
    </w:p>
    <w:bookmarkStart w:id="38" w:name="tab:forecast_us"/>
    <w:p>
      <w:pPr>
        <w:pStyle w:val="TableCaption"/>
      </w:pPr>
      <w:r>
        <w:t xml:space="preserve">Forecast Performance on USA (EIA-930 MISO) Dataset</w:t>
      </w:r>
    </w:p>
    <w:tbl>
      <w:tblPr>
        <w:tblStyle w:val="Table"/>
        <w:tblW w:type="auto" w:w="0"/>
        <w:tblLook w:firstRow="1" w:lastRow="0" w:firstColumn="0" w:lastColumn="0" w:noHBand="0" w:noVBand="0" w:val="0020"/>
        <w:tblCaption w:val="Forecast Performance on USA (EIA-930 MISO) Dataset"/>
      </w:tblPr>
      <w:tblGrid>
        <w:gridCol w:w="1320"/>
        <w:gridCol w:w="1320"/>
        <w:gridCol w:w="1320"/>
        <w:gridCol w:w="1320"/>
        <w:gridCol w:w="1320"/>
        <w:gridCol w:w="1320"/>
      </w:tblGrid>
      <w:tr>
        <w:trPr>
          <w:tblHeader w:val="on"/>
        </w:trPr>
        <w:tc>
          <w:tcPr/>
          <w:p>
            <w:pPr>
              <w:pStyle w:val="Compact"/>
              <w:jc w:val="left"/>
            </w:pPr>
            <w:r>
              <w:rPr>
                <w:b/>
                <w:bCs/>
              </w:rPr>
              <w:t xml:space="preserve">Target</w:t>
            </w:r>
          </w:p>
        </w:tc>
        <w:tc>
          <w:tcPr/>
          <w:p>
            <w:pPr>
              <w:pStyle w:val="Compact"/>
              <w:jc w:val="left"/>
            </w:pPr>
            <w:r>
              <w:rPr>
                <w:b/>
                <w:bCs/>
              </w:rPr>
              <w:t xml:space="preserve">Model</w:t>
            </w:r>
          </w:p>
        </w:tc>
        <w:tc>
          <w:tcPr/>
          <w:p>
            <w:pPr>
              <w:pStyle w:val="Compact"/>
              <w:jc w:val="right"/>
            </w:pPr>
            <w:r>
              <w:rPr>
                <w:b/>
                <w:bCs/>
              </w:rPr>
              <w:t xml:space="preserve">RMSE</w:t>
            </w:r>
          </w:p>
        </w:tc>
        <w:tc>
          <w:tcPr/>
          <w:p>
            <w:pPr>
              <w:pStyle w:val="Compact"/>
              <w:jc w:val="right"/>
            </w:pPr>
            <w:r>
              <w:rPr>
                <w:b/>
                <w:bCs/>
              </w:rPr>
              <w:t xml:space="preserve">MAE</w:t>
            </w:r>
          </w:p>
        </w:tc>
        <w:tc>
          <w:tcPr/>
          <w:p>
            <w:pPr>
              <w:pStyle w:val="Compact"/>
              <w:jc w:val="right"/>
            </w:pPr>
            <w:r>
              <w:rPr>
                <w:b/>
                <w:bCs/>
              </w:rPr>
              <w:t xml:space="preserve">sMAPE (%)</w:t>
            </w:r>
          </w:p>
        </w:tc>
        <w:tc>
          <w:tcPr/>
          <w:p>
            <w:pPr>
              <w:pStyle w:val="Compact"/>
              <w:jc w:val="right"/>
            </w:pPr>
            <w:r>
              <w:rPr>
                <w:b/>
                <w:bCs/>
              </w:rPr>
              <w:t xml:space="preserve">R</w:t>
            </w:r>
            <w:r>
              <w:rPr>
                <w:b/>
                <w:bCs/>
                <w:vertAlign w:val="superscript"/>
              </w:rPr>
              <w:t xml:space="preserve">2</w:t>
            </w:r>
          </w:p>
        </w:tc>
      </w:tr>
      <w:tr>
        <w:tc>
          <w:tcPr>
            <w:vMerge w:val="restart"/>
          </w:tcPr>
          <w:p>
            <w:pPr>
              <w:pStyle w:val="Compact"/>
              <w:jc w:val="left"/>
            </w:pPr>
            <w:r>
              <w:t xml:space="preserve">Load (MW)</w:t>
            </w:r>
          </w:p>
        </w:tc>
        <w:tc>
          <w:tcPr/>
          <w:p>
            <w:pPr>
              <w:pStyle w:val="Compact"/>
              <w:jc w:val="left"/>
            </w:pPr>
            <w:r>
              <w:rPr>
                <w:b/>
                <w:bCs/>
              </w:rPr>
              <w:t xml:space="preserve">GBM</w:t>
            </w:r>
          </w:p>
        </w:tc>
        <w:tc>
          <w:tcPr/>
          <w:p>
            <w:pPr>
              <w:pStyle w:val="Compact"/>
              <w:jc w:val="right"/>
            </w:pPr>
            <w:r>
              <w:rPr>
                <w:b/>
                <w:bCs/>
              </w:rPr>
              <w:t xml:space="preserve">211.11</w:t>
            </w:r>
          </w:p>
        </w:tc>
        <w:tc>
          <w:tcPr/>
          <w:p>
            <w:pPr>
              <w:pStyle w:val="Compact"/>
              <w:jc w:val="right"/>
            </w:pPr>
            <w:r>
              <w:rPr>
                <w:b/>
                <w:bCs/>
              </w:rPr>
              <w:t xml:space="preserve">111.45</w:t>
            </w:r>
          </w:p>
        </w:tc>
        <w:tc>
          <w:tcPr/>
          <w:p>
            <w:pPr>
              <w:pStyle w:val="Compact"/>
              <w:jc w:val="right"/>
            </w:pPr>
            <w:r>
              <w:rPr>
                <w:b/>
                <w:bCs/>
              </w:rPr>
              <w:t xml:space="preserve">0.14</w:t>
            </w:r>
          </w:p>
        </w:tc>
        <w:tc>
          <w:tcPr/>
          <w:p>
            <w:pPr>
              <w:pStyle w:val="Compact"/>
              <w:jc w:val="right"/>
            </w:pPr>
            <w:r>
              <w:t xml:space="preserve">0.999</w:t>
            </w:r>
          </w:p>
        </w:tc>
      </w:tr>
      <w:tr>
        <w:tc>
          <w:tcPr>
            <w:gridSpan w:val="1"/>
            <w:vMerge w:val="continue"/>
          </w:tcPr>
          <w:p>
            <w:pPr/>
          </w:p>
        </w:tc>
        <w:tc>
          <w:tcPr/>
          <w:p>
            <w:pPr>
              <w:pStyle w:val="Compact"/>
              <w:jc w:val="left"/>
            </w:pPr>
            <w:r>
              <w:t xml:space="preserve">Persistence</w:t>
            </w:r>
          </w:p>
        </w:tc>
        <w:tc>
          <w:tcPr/>
          <w:p>
            <w:pPr>
              <w:pStyle w:val="Compact"/>
              <w:jc w:val="right"/>
            </w:pPr>
            <w:r>
              <w:t xml:space="preserve">4,312.91</w:t>
            </w:r>
          </w:p>
        </w:tc>
        <w:tc>
          <w:tcPr/>
          <w:p>
            <w:pPr>
              <w:pStyle w:val="Compact"/>
              <w:jc w:val="right"/>
            </w:pPr>
            <w:r>
              <w:t xml:space="preserve">3,185.96</w:t>
            </w:r>
          </w:p>
        </w:tc>
        <w:tc>
          <w:tcPr/>
          <w:p>
            <w:pPr>
              <w:pStyle w:val="Compact"/>
              <w:jc w:val="right"/>
            </w:pPr>
            <w:r>
              <w:t xml:space="preserve">4.18</w:t>
            </w:r>
          </w:p>
        </w:tc>
        <w:tc>
          <w:tcPr/>
          <w:p>
            <w:pPr>
              <w:pStyle w:val="Compact"/>
              <w:jc w:val="right"/>
            </w:pPr>
            <w:r>
              <w:t xml:space="preserve">—</w:t>
            </w:r>
          </w:p>
        </w:tc>
      </w:tr>
      <w:tr>
        <w:tc>
          <w:tcPr>
            <w:vMerge w:val="restart"/>
          </w:tcPr>
          <w:p>
            <w:pPr>
              <w:pStyle w:val="Compact"/>
              <w:jc w:val="left"/>
            </w:pPr>
            <w:r>
              <w:t xml:space="preserve">Wind (MW)</w:t>
            </w:r>
          </w:p>
        </w:tc>
        <w:tc>
          <w:tcPr/>
          <w:p>
            <w:pPr>
              <w:pStyle w:val="Compact"/>
              <w:jc w:val="left"/>
            </w:pPr>
            <w:r>
              <w:t xml:space="preserve">GBM</w:t>
            </w:r>
          </w:p>
        </w:tc>
        <w:tc>
          <w:tcPr/>
          <w:p>
            <w:pPr>
              <w:pStyle w:val="Compact"/>
              <w:jc w:val="right"/>
            </w:pPr>
            <w:r>
              <w:t xml:space="preserve">12,411.63</w:t>
            </w:r>
          </w:p>
        </w:tc>
        <w:tc>
          <w:tcPr/>
          <w:p>
            <w:pPr>
              <w:pStyle w:val="Compact"/>
              <w:jc w:val="right"/>
            </w:pPr>
            <w:r>
              <w:t xml:space="preserve">10,782.01</w:t>
            </w:r>
          </w:p>
        </w:tc>
        <w:tc>
          <w:tcPr/>
          <w:p>
            <w:pPr>
              <w:pStyle w:val="Compact"/>
              <w:jc w:val="right"/>
            </w:pPr>
            <w:r>
              <w:t xml:space="preserve">196.70</w:t>
            </w:r>
          </w:p>
        </w:tc>
        <w:tc>
          <w:tcPr/>
          <w:p>
            <w:pPr>
              <w:pStyle w:val="Compact"/>
              <w:jc w:val="right"/>
            </w:pPr>
            <w:r>
              <w:t xml:space="preserve">0.812</w:t>
            </w:r>
          </w:p>
        </w:tc>
      </w:tr>
      <w:tr>
        <w:tc>
          <w:tcPr>
            <w:gridSpan w:val="1"/>
            <w:vMerge w:val="continue"/>
          </w:tcPr>
          <w:p>
            <w:pPr/>
          </w:p>
        </w:tc>
        <w:tc>
          <w:tcPr/>
          <w:p>
            <w:pPr>
              <w:pStyle w:val="Compact"/>
              <w:jc w:val="left"/>
            </w:pPr>
            <w:r>
              <w:t xml:space="preserve">Persistence</w:t>
            </w:r>
          </w:p>
        </w:tc>
        <w:tc>
          <w:tcPr/>
          <w:p>
            <w:pPr>
              <w:pStyle w:val="Compact"/>
              <w:jc w:val="right"/>
            </w:pPr>
            <w:r>
              <w:t xml:space="preserve">5,621.33</w:t>
            </w:r>
          </w:p>
        </w:tc>
        <w:tc>
          <w:tcPr/>
          <w:p>
            <w:pPr>
              <w:pStyle w:val="Compact"/>
              <w:jc w:val="right"/>
            </w:pPr>
            <w:r>
              <w:t xml:space="preserve">4,102.89</w:t>
            </w:r>
          </w:p>
        </w:tc>
        <w:tc>
          <w:tcPr/>
          <w:p>
            <w:pPr>
              <w:pStyle w:val="Compact"/>
              <w:jc w:val="right"/>
            </w:pPr>
            <w:r>
              <w:t xml:space="preserve">82.45</w:t>
            </w:r>
          </w:p>
        </w:tc>
        <w:tc>
          <w:tcPr/>
          <w:p>
            <w:pPr>
              <w:pStyle w:val="Compact"/>
              <w:jc w:val="right"/>
            </w:pPr>
            <w:r>
              <w:t xml:space="preserve">—</w:t>
            </w:r>
          </w:p>
        </w:tc>
      </w:tr>
      <w:tr>
        <w:tc>
          <w:tcPr>
            <w:vMerge w:val="restart"/>
          </w:tcPr>
          <w:p>
            <w:pPr>
              <w:pStyle w:val="Compact"/>
              <w:jc w:val="left"/>
            </w:pPr>
            <w:r>
              <w:t xml:space="preserve">Solar (MW)</w:t>
            </w:r>
          </w:p>
        </w:tc>
        <w:tc>
          <w:tcPr/>
          <w:p>
            <w:pPr>
              <w:pStyle w:val="Compact"/>
              <w:jc w:val="left"/>
            </w:pPr>
            <w:r>
              <w:rPr>
                <w:b/>
                <w:bCs/>
              </w:rPr>
              <w:t xml:space="preserve">GBM</w:t>
            </w:r>
          </w:p>
        </w:tc>
        <w:tc>
          <w:tcPr/>
          <w:p>
            <w:pPr>
              <w:pStyle w:val="Compact"/>
              <w:jc w:val="right"/>
            </w:pPr>
            <w:r>
              <w:rPr>
                <w:b/>
                <w:bCs/>
              </w:rPr>
              <w:t xml:space="preserve">4,760.94</w:t>
            </w:r>
          </w:p>
        </w:tc>
        <w:tc>
          <w:tcPr/>
          <w:p>
            <w:pPr>
              <w:pStyle w:val="Compact"/>
              <w:jc w:val="right"/>
            </w:pPr>
            <w:r>
              <w:rPr>
                <w:b/>
                <w:bCs/>
              </w:rPr>
              <w:t xml:space="preserve">2,829.77</w:t>
            </w:r>
          </w:p>
        </w:tc>
        <w:tc>
          <w:tcPr/>
          <w:p>
            <w:pPr>
              <w:pStyle w:val="Compact"/>
              <w:jc w:val="right"/>
            </w:pPr>
            <w:r>
              <w:t xml:space="preserve">186.10</w:t>
            </w:r>
          </w:p>
        </w:tc>
        <w:tc>
          <w:tcPr/>
          <w:p>
            <w:pPr>
              <w:pStyle w:val="Compact"/>
              <w:jc w:val="right"/>
            </w:pPr>
            <w:r>
              <w:t xml:space="preserve">0.892</w:t>
            </w:r>
          </w:p>
        </w:tc>
      </w:tr>
      <w:tr>
        <w:tc>
          <w:tcPr>
            <w:gridSpan w:val="1"/>
            <w:vMerge w:val="continue"/>
          </w:tcPr>
          <w:p>
            <w:pPr/>
          </w:p>
        </w:tc>
        <w:tc>
          <w:tcPr/>
          <w:p>
            <w:pPr>
              <w:pStyle w:val="Compact"/>
              <w:jc w:val="left"/>
            </w:pPr>
            <w:r>
              <w:t xml:space="preserve">Persistence</w:t>
            </w:r>
          </w:p>
        </w:tc>
        <w:tc>
          <w:tcPr/>
          <w:p>
            <w:pPr>
              <w:pStyle w:val="Compact"/>
              <w:jc w:val="right"/>
            </w:pPr>
            <w:r>
              <w:t xml:space="preserve">7,234.12</w:t>
            </w:r>
          </w:p>
        </w:tc>
        <w:tc>
          <w:tcPr/>
          <w:p>
            <w:pPr>
              <w:pStyle w:val="Compact"/>
              <w:jc w:val="right"/>
            </w:pPr>
            <w:r>
              <w:t xml:space="preserve">4,891.23</w:t>
            </w:r>
          </w:p>
        </w:tc>
        <w:tc>
          <w:tcPr/>
          <w:p>
            <w:pPr>
              <w:pStyle w:val="Compact"/>
              <w:jc w:val="right"/>
            </w:pPr>
            <w:r>
              <w:t xml:space="preserve">198.32</w:t>
            </w:r>
          </w:p>
        </w:tc>
        <w:tc>
          <w:tcPr/>
          <w:p>
            <w:pPr>
              <w:pStyle w:val="Compact"/>
              <w:jc w:val="right"/>
            </w:pPr>
            <w:r>
              <w:t xml:space="preserve">—</w:t>
            </w:r>
          </w:p>
        </w:tc>
      </w:tr>
    </w:tbl>
    <w:bookmarkEnd w:id="38"/>
    <w:p>
      <w:pPr>
        <w:pStyle w:val="BodyText"/>
      </w:pPr>
      <w:r>
        <w:t xml:space="preserve">Note: EIA-930 data spans 2019–2024, 92,382 hourly observations.</w:t>
      </w:r>
    </w:p>
    <w:p>
      <w:pPr>
        <w:pStyle w:val="BodyText"/>
      </w:pPr>
      <w:r>
        <w:t xml:space="preserve">MISO region (Midcontinent Independent System Operator).</w:t>
      </w:r>
    </w:p>
    <w:p>
      <w:pPr>
        <w:pStyle w:val="BodyText"/>
      </w:pPr>
      <w:r>
        <w:t xml:space="preserve">Test set: 9,239 observations (10% holdout).</w:t>
      </w:r>
    </w:p>
    <w:p>
      <w:pPr>
        <w:pStyle w:val="BodyText"/>
      </w:pPr>
      <w:r>
        <w:t xml:space="preserve">The US dataset presents additional challenges due to its larger scale and longer time span, with GBM still outperforming alternatives for load forecasting.</w:t>
      </w:r>
    </w:p>
    <w:bookmarkEnd w:id="39"/>
    <w:bookmarkEnd w:id="40"/>
    <w:bookmarkStart w:id="42" w:name="uncertainty-quantification-1"/>
    <w:p>
      <w:pPr>
        <w:pStyle w:val="Heading2"/>
      </w:pPr>
      <w:r>
        <w:t xml:space="preserve">Uncertainty Quantification</w:t>
      </w:r>
    </w:p>
    <w:bookmarkStart w:id="41" w:name="tab:conformal"/>
    <w:p>
      <w:pPr>
        <w:pStyle w:val="TableCaption"/>
      </w:pPr>
      <w:r>
        <w:t xml:space="preserve">Conformal Prediction Coverage (90% Nominal)</w:t>
      </w:r>
    </w:p>
    <w:tbl>
      <w:tblPr>
        <w:tblStyle w:val="Table"/>
        <w:tblW w:type="auto" w:w="0"/>
        <w:tblLook w:firstRow="1" w:lastRow="0" w:firstColumn="0" w:lastColumn="0" w:noHBand="0" w:noVBand="0" w:val="0020"/>
        <w:tblCaption w:val="Conformal Prediction Coverage (90% Nominal)"/>
      </w:tblPr>
      <w:tblGrid>
        <w:gridCol w:w="1584"/>
        <w:gridCol w:w="1584"/>
        <w:gridCol w:w="1584"/>
        <w:gridCol w:w="1584"/>
        <w:gridCol w:w="1584"/>
      </w:tblGrid>
      <w:tr>
        <w:trPr>
          <w:tblHeader w:val="on"/>
        </w:trPr>
        <w:tc>
          <w:tcPr/>
          <w:p>
            <w:pPr>
              <w:pStyle w:val="Compact"/>
              <w:jc w:val="left"/>
            </w:pPr>
            <w:r>
              <w:rPr>
                <w:b/>
                <w:bCs/>
              </w:rPr>
              <w:t xml:space="preserve">Dataset</w:t>
            </w:r>
          </w:p>
        </w:tc>
        <w:tc>
          <w:tcPr/>
          <w:p>
            <w:pPr>
              <w:pStyle w:val="Compact"/>
              <w:jc w:val="left"/>
            </w:pPr>
            <w:r>
              <w:rPr>
                <w:b/>
                <w:bCs/>
              </w:rPr>
              <w:t xml:space="preserve">Target</w:t>
            </w:r>
          </w:p>
        </w:tc>
        <w:tc>
          <w:tcPr/>
          <w:p>
            <w:pPr>
              <w:pStyle w:val="Compact"/>
              <w:jc w:val="center"/>
            </w:pPr>
            <w:r>
              <w:rPr>
                <w:b/>
                <w:bCs/>
              </w:rPr>
              <w:t xml:space="preserve">PICP (%)</w:t>
            </w:r>
          </w:p>
        </w:tc>
        <w:tc>
          <w:tcPr/>
          <w:p>
            <w:pPr>
              <w:pStyle w:val="Compact"/>
              <w:jc w:val="center"/>
            </w:pPr>
            <w:r>
              <w:rPr>
                <w:b/>
                <w:bCs/>
              </w:rPr>
              <w:t xml:space="preserve">MPIW (MW)</w:t>
            </w:r>
          </w:p>
        </w:tc>
        <w:tc>
          <w:tcPr/>
          <w:p>
            <w:pPr>
              <w:pStyle w:val="Compact"/>
              <w:jc w:val="center"/>
            </w:pPr>
            <w:r>
              <w:rPr>
                <w:b/>
                <w:bCs/>
              </w:rPr>
              <w:t xml:space="preserve">N</w:t>
            </w:r>
            <w:r>
              <w:rPr>
                <w:b/>
                <w:bCs/>
                <w:vertAlign w:val="subscript"/>
              </w:rPr>
              <w:t xml:space="preserve">test</w:t>
            </w:r>
          </w:p>
        </w:tc>
      </w:tr>
      <w:tr>
        <w:tc>
          <w:tcPr>
            <w:vMerge w:val="restart"/>
          </w:tcPr>
          <w:p>
            <w:pPr>
              <w:pStyle w:val="Compact"/>
              <w:jc w:val="left"/>
            </w:pPr>
            <w:r>
              <w:t xml:space="preserve">Germany (OPSD)</w:t>
            </w:r>
          </w:p>
        </w:tc>
        <w:tc>
          <w:tcPr/>
          <w:p>
            <w:pPr>
              <w:pStyle w:val="Compact"/>
              <w:jc w:val="left"/>
            </w:pPr>
            <w:r>
              <w:t xml:space="preserve">Load</w:t>
            </w:r>
          </w:p>
        </w:tc>
        <w:tc>
          <w:tcPr/>
          <w:p>
            <w:pPr>
              <w:pStyle w:val="Compact"/>
              <w:jc w:val="center"/>
            </w:pPr>
            <w:r>
              <w:rPr>
                <w:b/>
                <w:bCs/>
              </w:rPr>
              <w:t xml:space="preserve">92.4</w:t>
            </w:r>
          </w:p>
        </w:tc>
        <w:tc>
          <w:tcPr/>
          <w:p>
            <w:pPr>
              <w:pStyle w:val="Compact"/>
              <w:jc w:val="center"/>
            </w:pPr>
            <w:r>
              <w:t xml:space="preserve">742.65</w:t>
            </w:r>
          </w:p>
        </w:tc>
        <w:tc>
          <w:tcPr/>
          <w:p>
            <w:pPr>
              <w:pStyle w:val="Compact"/>
              <w:jc w:val="center"/>
            </w:pPr>
            <w:r>
              <w:t xml:space="preserve">1,739</w:t>
            </w:r>
          </w:p>
        </w:tc>
      </w:tr>
      <w:tr>
        <w:tc>
          <w:tcPr>
            <w:gridSpan w:val="1"/>
            <w:vMerge w:val="continue"/>
          </w:tcPr>
          <w:p>
            <w:pPr/>
          </w:p>
        </w:tc>
        <w:tc>
          <w:tcPr/>
          <w:p>
            <w:pPr>
              <w:pStyle w:val="Compact"/>
              <w:jc w:val="left"/>
            </w:pPr>
            <w:r>
              <w:t xml:space="preserve">Wind</w:t>
            </w:r>
          </w:p>
        </w:tc>
        <w:tc>
          <w:tcPr/>
          <w:p>
            <w:pPr>
              <w:pStyle w:val="Compact"/>
              <w:jc w:val="center"/>
            </w:pPr>
            <w:r>
              <w:t xml:space="preserve">89.4</w:t>
            </w:r>
          </w:p>
        </w:tc>
        <w:tc>
          <w:tcPr/>
          <w:p>
            <w:pPr>
              <w:pStyle w:val="Compact"/>
              <w:jc w:val="center"/>
            </w:pPr>
            <w:r>
              <w:t xml:space="preserve">350.77</w:t>
            </w:r>
          </w:p>
        </w:tc>
        <w:tc>
          <w:tcPr/>
          <w:p>
            <w:pPr>
              <w:pStyle w:val="Compact"/>
              <w:jc w:val="center"/>
            </w:pPr>
            <w:r>
              <w:t xml:space="preserve">1,739</w:t>
            </w:r>
          </w:p>
        </w:tc>
      </w:tr>
      <w:tr>
        <w:tc>
          <w:tcPr>
            <w:gridSpan w:val="1"/>
            <w:vMerge w:val="continue"/>
          </w:tcPr>
          <w:p>
            <w:pPr/>
          </w:p>
        </w:tc>
        <w:tc>
          <w:tcPr/>
          <w:p>
            <w:pPr>
              <w:pStyle w:val="Compact"/>
              <w:jc w:val="left"/>
            </w:pPr>
            <w:r>
              <w:t xml:space="preserve">Solar</w:t>
            </w:r>
          </w:p>
        </w:tc>
        <w:tc>
          <w:tcPr/>
          <w:p>
            <w:pPr>
              <w:pStyle w:val="Compact"/>
              <w:jc w:val="center"/>
            </w:pPr>
            <w:r>
              <w:t xml:space="preserve">87.0</w:t>
            </w:r>
          </w:p>
        </w:tc>
        <w:tc>
          <w:tcPr/>
          <w:p>
            <w:pPr>
              <w:pStyle w:val="Compact"/>
              <w:jc w:val="center"/>
            </w:pPr>
            <w:r>
              <w:t xml:space="preserve">622.67</w:t>
            </w:r>
          </w:p>
        </w:tc>
        <w:tc>
          <w:tcPr/>
          <w:p>
            <w:pPr>
              <w:pStyle w:val="Compact"/>
              <w:jc w:val="center"/>
            </w:pPr>
            <w:r>
              <w:t xml:space="preserve">1,739</w:t>
            </w:r>
          </w:p>
        </w:tc>
      </w:tr>
      <w:tr>
        <w:tc>
          <w:tcPr>
            <w:vMerge w:val="restart"/>
          </w:tcPr>
          <w:p>
            <w:pPr>
              <w:pStyle w:val="Compact"/>
              <w:jc w:val="left"/>
            </w:pPr>
            <w:r>
              <w:t xml:space="preserve">USA (EIA-930)</w:t>
            </w:r>
          </w:p>
        </w:tc>
        <w:tc>
          <w:tcPr/>
          <w:p>
            <w:pPr>
              <w:pStyle w:val="Compact"/>
              <w:jc w:val="left"/>
            </w:pPr>
            <w:r>
              <w:t xml:space="preserve">Load</w:t>
            </w:r>
          </w:p>
        </w:tc>
        <w:tc>
          <w:tcPr/>
          <w:p>
            <w:pPr>
              <w:pStyle w:val="Compact"/>
              <w:jc w:val="center"/>
            </w:pPr>
            <w:r>
              <w:rPr>
                <w:b/>
                <w:bCs/>
              </w:rPr>
              <w:t xml:space="preserve">90.1</w:t>
            </w:r>
          </w:p>
        </w:tc>
        <w:tc>
          <w:tcPr/>
          <w:p>
            <w:pPr>
              <w:pStyle w:val="Compact"/>
              <w:jc w:val="center"/>
            </w:pPr>
            <w:r>
              <w:t xml:space="preserve">439.01</w:t>
            </w:r>
          </w:p>
        </w:tc>
        <w:tc>
          <w:tcPr/>
          <w:p>
            <w:pPr>
              <w:pStyle w:val="Compact"/>
              <w:jc w:val="center"/>
            </w:pPr>
            <w:r>
              <w:t xml:space="preserve">9,239</w:t>
            </w:r>
          </w:p>
        </w:tc>
      </w:tr>
      <w:tr>
        <w:tc>
          <w:tcPr>
            <w:gridSpan w:val="1"/>
            <w:vMerge w:val="continue"/>
          </w:tcPr>
          <w:p>
            <w:pPr/>
          </w:p>
        </w:tc>
        <w:tc>
          <w:tcPr/>
          <w:p>
            <w:pPr>
              <w:pStyle w:val="Compact"/>
              <w:jc w:val="left"/>
            </w:pPr>
            <w:r>
              <w:t xml:space="preserve">Wind</w:t>
            </w:r>
          </w:p>
        </w:tc>
        <w:tc>
          <w:tcPr/>
          <w:p>
            <w:pPr>
              <w:pStyle w:val="Compact"/>
              <w:jc w:val="center"/>
            </w:pPr>
            <w:r>
              <w:t xml:space="preserve">79.7</w:t>
            </w:r>
          </w:p>
        </w:tc>
        <w:tc>
          <w:tcPr/>
          <w:p>
            <w:pPr>
              <w:pStyle w:val="Compact"/>
              <w:jc w:val="center"/>
            </w:pPr>
            <w:r>
              <w:t xml:space="preserve">35,590</w:t>
            </w:r>
          </w:p>
        </w:tc>
        <w:tc>
          <w:tcPr/>
          <w:p>
            <w:pPr>
              <w:pStyle w:val="Compact"/>
              <w:jc w:val="center"/>
            </w:pPr>
            <w:r>
              <w:t xml:space="preserve">9,239</w:t>
            </w:r>
          </w:p>
        </w:tc>
      </w:tr>
      <w:tr>
        <w:tc>
          <w:tcPr>
            <w:gridSpan w:val="1"/>
            <w:vMerge w:val="continue"/>
          </w:tcPr>
          <w:p>
            <w:pPr/>
          </w:p>
        </w:tc>
        <w:tc>
          <w:tcPr/>
          <w:p>
            <w:pPr>
              <w:pStyle w:val="Compact"/>
              <w:jc w:val="left"/>
            </w:pPr>
            <w:r>
              <w:t xml:space="preserve">Solar</w:t>
            </w:r>
          </w:p>
        </w:tc>
        <w:tc>
          <w:tcPr/>
          <w:p>
            <w:pPr>
              <w:pStyle w:val="Compact"/>
              <w:jc w:val="center"/>
            </w:pPr>
            <w:r>
              <w:t xml:space="preserve">69.9</w:t>
            </w:r>
          </w:p>
        </w:tc>
        <w:tc>
          <w:tcPr/>
          <w:p>
            <w:pPr>
              <w:pStyle w:val="Compact"/>
              <w:jc w:val="center"/>
            </w:pPr>
            <w:r>
              <w:t xml:space="preserve">11,332</w:t>
            </w:r>
          </w:p>
        </w:tc>
        <w:tc>
          <w:tcPr/>
          <w:p>
            <w:pPr>
              <w:pStyle w:val="Compact"/>
              <w:jc w:val="center"/>
            </w:pPr>
            <w:r>
              <w:t xml:space="preserve">9,239</w:t>
            </w:r>
          </w:p>
        </w:tc>
      </w:tr>
    </w:tbl>
    <w:bookmarkEnd w:id="41"/>
    <w:p>
      <w:pPr>
        <w:pStyle w:val="BodyText"/>
      </w:pPr>
      <w:r>
        <w:t xml:space="preserve">Note: PICP = Prediction Interval Coverage Probability (target: 90%).</w:t>
      </w:r>
    </w:p>
    <w:p>
      <w:pPr>
        <w:pStyle w:val="BodyText"/>
      </w:pPr>
      <w:r>
        <w:t xml:space="preserve">MPIW = Mean Prediction Interval Width.</w:t>
      </w:r>
    </w:p>
    <w:p>
      <w:pPr>
        <w:pStyle w:val="BodyText"/>
      </w:pPr>
      <w:r>
        <w:t xml:space="preserve">Split conformal prediction with 500-sample calibration set.</w:t>
      </w:r>
    </w:p>
    <w:p>
      <w:pPr>
        <w:pStyle w:val="BodyText"/>
      </w:pPr>
      <w:r>
        <w:rPr>
          <w:b/>
          <w:bCs/>
        </w:rPr>
        <w:t xml:space="preserve">Bold</w:t>
      </w:r>
      <w:r>
        <w:t xml:space="preserve"> </w:t>
      </w:r>
      <w:r>
        <w:t xml:space="preserve">indicates near-nominal coverage (</w:t>
      </w:r>
      <m:oMath>
        <m:r>
          <m:rPr>
            <m:sty m:val="p"/>
          </m:rPr>
          <m:t>≥</m:t>
        </m:r>
      </m:oMath>
      <w:r>
        <w:t xml:space="preserve">90%).</w:t>
      </w:r>
    </w:p>
    <w:p>
      <w:pPr>
        <w:pStyle w:val="BodyText"/>
      </w:pPr>
      <w:r>
        <w:t xml:space="preserve">Load forecasts achieve near-nominal coverage (</w:t>
      </w:r>
      <m:oMath>
        <m:r>
          <m:rPr>
            <m:sty m:val="p"/>
          </m:rPr>
          <m:t>≥</m:t>
        </m:r>
      </m:oMath>
      <w:r>
        <w:t xml:space="preserve">90%), validating our conformal calibration approach.</w:t>
      </w:r>
    </w:p>
    <w:bookmarkEnd w:id="42"/>
    <w:bookmarkStart w:id="45" w:name="optimization-impact"/>
    <w:p>
      <w:pPr>
        <w:pStyle w:val="Heading2"/>
      </w:pPr>
      <w:r>
        <w:t xml:space="preserve">Optimization Impact</w:t>
      </w:r>
    </w:p>
    <w:bookmarkStart w:id="43" w:name="tab:optimization"/>
    <w:p>
      <w:pPr>
        <w:pStyle w:val="TableCaption"/>
      </w:pPr>
      <w:r>
        <w:t xml:space="preserve">Dispatch Optimization Impact (7-Day Evaluation Window)</w:t>
      </w:r>
    </w:p>
    <w:tbl>
      <w:tblPr>
        <w:tblStyle w:val="Table"/>
        <w:tblW w:type="auto" w:w="0"/>
        <w:tblLook w:firstRow="1" w:lastRow="0" w:firstColumn="0" w:lastColumn="0" w:noHBand="0" w:noVBand="0" w:val="0020"/>
        <w:tblCaption w:val="Dispatch Optimization Impact (7-Day Evaluation Window)"/>
      </w:tblPr>
      <w:tblGrid>
        <w:gridCol w:w="1980"/>
        <w:gridCol w:w="1980"/>
        <w:gridCol w:w="1980"/>
        <w:gridCol w:w="1980"/>
      </w:tblGrid>
      <w:tr>
        <w:trPr>
          <w:tblHeader w:val="on"/>
        </w:trPr>
        <w:tc>
          <w:tcPr/>
          <w:p>
            <w:pPr>
              <w:pStyle w:val="Compact"/>
              <w:jc w:val="left"/>
            </w:pPr>
            <w:r>
              <w:rPr>
                <w:b/>
                <w:bCs/>
              </w:rPr>
              <w:t xml:space="preserve">Policy</w:t>
            </w:r>
          </w:p>
        </w:tc>
        <w:tc>
          <w:tcPr/>
          <w:p>
            <w:pPr>
              <w:pStyle w:val="Compact"/>
              <w:jc w:val="right"/>
            </w:pPr>
            <w:r>
              <w:rPr>
                <w:b/>
                <w:bCs/>
              </w:rPr>
              <w:t xml:space="preserve">Cost (USD)</w:t>
            </w:r>
          </w:p>
        </w:tc>
        <w:tc>
          <w:tcPr/>
          <w:p>
            <w:pPr>
              <w:pStyle w:val="Compact"/>
              <w:jc w:val="right"/>
            </w:pPr>
            <w:r>
              <w:rPr>
                <w:b/>
                <w:bCs/>
              </w:rPr>
              <w:t xml:space="preserve">Carbon (kg)</w:t>
            </w:r>
          </w:p>
        </w:tc>
        <w:tc>
          <w:tcPr/>
          <w:p>
            <w:pPr>
              <w:pStyle w:val="Compact"/>
              <w:jc w:val="right"/>
            </w:pPr>
            <w:r>
              <w:rPr>
                <w:b/>
                <w:bCs/>
              </w:rPr>
              <w:t xml:space="preserve">Carbon Cost (USD)</w:t>
            </w:r>
          </w:p>
        </w:tc>
      </w:tr>
      <w:tr>
        <w:tc>
          <w:tcPr/>
          <w:p>
            <w:pPr>
              <w:pStyle w:val="Compact"/>
              <w:jc w:val="left"/>
            </w:pPr>
            <w:r>
              <w:t xml:space="preserve">Grid-only baseline</w:t>
            </w:r>
          </w:p>
        </w:tc>
        <w:tc>
          <w:tcPr/>
          <w:p>
            <w:pPr>
              <w:pStyle w:val="Compact"/>
              <w:jc w:val="right"/>
            </w:pPr>
            <w:r>
              <w:t xml:space="preserve">154,773,463</w:t>
            </w:r>
          </w:p>
        </w:tc>
        <w:tc>
          <w:tcPr/>
          <w:p>
            <w:pPr>
              <w:pStyle w:val="Compact"/>
              <w:jc w:val="right"/>
            </w:pPr>
            <w:r>
              <w:t xml:space="preserve">1,461,641,243</w:t>
            </w:r>
          </w:p>
        </w:tc>
        <w:tc>
          <w:tcPr/>
          <w:p>
            <w:pPr>
              <w:pStyle w:val="Compact"/>
              <w:jc w:val="right"/>
            </w:pPr>
            <w:r>
              <w:t xml:space="preserve">73,082,062</w:t>
            </w:r>
          </w:p>
        </w:tc>
      </w:tr>
      <w:tr>
        <w:tc>
          <w:tcPr/>
          <w:p>
            <w:pPr>
              <w:pStyle w:val="Compact"/>
              <w:jc w:val="left"/>
            </w:pPr>
            <w:r>
              <w:t xml:space="preserve">Naïve battery (fixed schedule)</w:t>
            </w:r>
          </w:p>
        </w:tc>
        <w:tc>
          <w:tcPr/>
          <w:p>
            <w:pPr>
              <w:pStyle w:val="Compact"/>
              <w:jc w:val="right"/>
            </w:pPr>
            <w:r>
              <w:t xml:space="preserve">154,200,946</w:t>
            </w:r>
          </w:p>
        </w:tc>
        <w:tc>
          <w:tcPr/>
          <w:p>
            <w:pPr>
              <w:pStyle w:val="Compact"/>
              <w:jc w:val="right"/>
            </w:pPr>
            <w:r>
              <w:t xml:space="preserve">1,454,657,899</w:t>
            </w:r>
          </w:p>
        </w:tc>
        <w:tc>
          <w:tcPr/>
          <w:p>
            <w:pPr>
              <w:pStyle w:val="Compact"/>
              <w:jc w:val="right"/>
            </w:pPr>
            <w:r>
              <w:t xml:space="preserve">72,732,895</w:t>
            </w:r>
          </w:p>
        </w:tc>
      </w:tr>
      <w:tr>
        <w:tc>
          <w:tcPr/>
          <w:p>
            <w:pPr>
              <w:pStyle w:val="Compact"/>
              <w:jc w:val="left"/>
            </w:pPr>
            <w:r>
              <w:t xml:space="preserve">Peak-shaving heuristic</w:t>
            </w:r>
          </w:p>
        </w:tc>
        <w:tc>
          <w:tcPr/>
          <w:p>
            <w:pPr>
              <w:pStyle w:val="Compact"/>
              <w:jc w:val="right"/>
            </w:pPr>
            <w:r>
              <w:t xml:space="preserve">155,096,309</w:t>
            </w:r>
          </w:p>
        </w:tc>
        <w:tc>
          <w:tcPr/>
          <w:p>
            <w:pPr>
              <w:pStyle w:val="Compact"/>
              <w:jc w:val="right"/>
            </w:pPr>
            <w:r>
              <w:t xml:space="preserve">1,465,616,653</w:t>
            </w:r>
          </w:p>
        </w:tc>
        <w:tc>
          <w:tcPr/>
          <w:p>
            <w:pPr>
              <w:pStyle w:val="Compact"/>
              <w:jc w:val="right"/>
            </w:pPr>
            <w:r>
              <w:t xml:space="preserve">73,280,833</w:t>
            </w:r>
          </w:p>
        </w:tc>
      </w:tr>
      <w:tr>
        <w:tc>
          <w:tcPr/>
          <w:p>
            <w:pPr>
              <w:pStyle w:val="Compact"/>
              <w:jc w:val="left"/>
            </w:pPr>
            <w:r>
              <w:t xml:space="preserve">Price-greedy (MPC-style)</w:t>
            </w:r>
          </w:p>
        </w:tc>
        <w:tc>
          <w:tcPr/>
          <w:p>
            <w:pPr>
              <w:pStyle w:val="Compact"/>
              <w:jc w:val="right"/>
            </w:pPr>
            <w:r>
              <w:t xml:space="preserve">154,098,660</w:t>
            </w:r>
          </w:p>
        </w:tc>
        <w:tc>
          <w:tcPr/>
          <w:p>
            <w:pPr>
              <w:pStyle w:val="Compact"/>
              <w:jc w:val="right"/>
            </w:pPr>
            <w:r>
              <w:t xml:space="preserve">1,457,458,734</w:t>
            </w:r>
          </w:p>
        </w:tc>
        <w:tc>
          <w:tcPr/>
          <w:p>
            <w:pPr>
              <w:pStyle w:val="Compact"/>
              <w:jc w:val="right"/>
            </w:pPr>
            <w:r>
              <w:t xml:space="preserve">72,872,937</w:t>
            </w:r>
          </w:p>
        </w:tc>
      </w:tr>
      <w:tr>
        <w:tc>
          <w:tcPr/>
          <w:p>
            <w:pPr>
              <w:pStyle w:val="Compact"/>
              <w:jc w:val="left"/>
            </w:pPr>
            <w:r>
              <w:rPr>
                <w:b/>
                <w:bCs/>
              </w:rPr>
              <w:t xml:space="preserve">GridPulse (forecast-optimized)</w:t>
            </w:r>
          </w:p>
        </w:tc>
        <w:tc>
          <w:tcPr/>
          <w:p>
            <w:pPr>
              <w:pStyle w:val="Compact"/>
              <w:jc w:val="right"/>
            </w:pPr>
            <w:r>
              <w:rPr>
                <w:b/>
                <w:bCs/>
              </w:rPr>
              <w:t xml:space="preserve">150,305,711</w:t>
            </w:r>
          </w:p>
        </w:tc>
        <w:tc>
          <w:tcPr/>
          <w:p>
            <w:pPr>
              <w:pStyle w:val="Compact"/>
              <w:jc w:val="right"/>
            </w:pPr>
            <w:r>
              <w:rPr>
                <w:b/>
                <w:bCs/>
              </w:rPr>
              <w:t xml:space="preserve">1,453,149,137</w:t>
            </w:r>
          </w:p>
        </w:tc>
        <w:tc>
          <w:tcPr/>
          <w:p>
            <w:pPr>
              <w:pStyle w:val="Compact"/>
              <w:jc w:val="right"/>
            </w:pPr>
            <w:r>
              <w:rPr>
                <w:b/>
                <w:bCs/>
              </w:rPr>
              <w:t xml:space="preserve">72,657,457</w:t>
            </w:r>
          </w:p>
        </w:tc>
      </w:tr>
      <w:tr>
        <w:tc>
          <w:tcPr/>
          <w:p>
            <w:pPr>
              <w:pStyle w:val="Compact"/>
              <w:jc w:val="left"/>
            </w:pPr>
            <w:r>
              <w:t xml:space="preserve">Oracle (perfect forecast)</w:t>
            </w:r>
          </w:p>
        </w:tc>
        <w:tc>
          <w:tcPr/>
          <w:p>
            <w:pPr>
              <w:pStyle w:val="Compact"/>
              <w:jc w:val="right"/>
            </w:pPr>
            <w:r>
              <w:t xml:space="preserve">150,305,711</w:t>
            </w:r>
          </w:p>
        </w:tc>
        <w:tc>
          <w:tcPr/>
          <w:p>
            <w:pPr>
              <w:pStyle w:val="Compact"/>
              <w:jc w:val="right"/>
            </w:pPr>
            <w:r>
              <w:t xml:space="preserve">1,453,149,137</w:t>
            </w:r>
          </w:p>
        </w:tc>
        <w:tc>
          <w:tcPr/>
          <w:p>
            <w:pPr>
              <w:pStyle w:val="Compact"/>
              <w:jc w:val="right"/>
            </w:pPr>
            <w:r>
              <w:t xml:space="preserve">72,657,457</w:t>
            </w:r>
          </w:p>
        </w:tc>
      </w:tr>
    </w:tbl>
    <w:bookmarkEnd w:id="43"/>
    <w:bookmarkStart w:id="44" w:name="tab:optimization"/>
    <w:p>
      <w:pPr>
        <w:pStyle w:val="TableCaption"/>
      </w:pPr>
      <w:r>
        <w:t xml:space="preserve">Dispatch Optimization Impact (7-Day Evaluation Window)</w:t>
      </w:r>
    </w:p>
    <w:tbl>
      <w:tblPr>
        <w:tblStyle w:val="Table"/>
        <w:tblW w:type="auto" w:w="0"/>
        <w:tblLook w:firstRow="1" w:lastRow="0" w:firstColumn="0" w:lastColumn="0" w:noHBand="0" w:noVBand="0" w:val="0020"/>
        <w:tblCaption w:val="Dispatch Optimization Impact (7-Day Evaluation Window)"/>
      </w:tblPr>
      <w:tblGrid>
        <w:gridCol w:w="2640"/>
        <w:gridCol w:w="2640"/>
        <w:gridCol w:w="2640"/>
      </w:tblGrid>
      <w:tr>
        <w:trPr>
          <w:tblHeader w:val="on"/>
        </w:trPr>
        <w:tc>
          <w:tcPr/>
          <w:p>
            <w:pPr>
              <w:pStyle w:val="Compact"/>
              <w:jc w:val="left"/>
            </w:pPr>
            <w:r>
              <w:rPr>
                <w:b/>
                <w:bCs/>
              </w:rPr>
              <w:t xml:space="preserve">Comparison</w:t>
            </w:r>
          </w:p>
        </w:tc>
        <w:tc>
          <w:tcPr/>
          <w:p>
            <w:pPr>
              <w:pStyle w:val="Compact"/>
              <w:jc w:val="right"/>
            </w:pPr>
            <w:r>
              <w:rPr>
                <w:b/>
                <w:bCs/>
              </w:rPr>
              <w:t xml:space="preserve">Cost Savings</w:t>
            </w:r>
          </w:p>
        </w:tc>
        <w:tc>
          <w:tcPr/>
          <w:p>
            <w:pPr>
              <w:pStyle w:val="Compact"/>
              <w:jc w:val="right"/>
            </w:pPr>
            <w:r>
              <w:rPr>
                <w:b/>
                <w:bCs/>
              </w:rPr>
              <w:t xml:space="preserve">Carbon Reduction</w:t>
            </w:r>
          </w:p>
        </w:tc>
      </w:tr>
      <w:tr>
        <w:tc>
          <w:tcPr/>
          <w:p>
            <w:pPr>
              <w:pStyle w:val="Compact"/>
              <w:jc w:val="left"/>
            </w:pPr>
            <w:r>
              <w:t xml:space="preserve">GridPulse vs. Grid-only</w:t>
            </w:r>
          </w:p>
        </w:tc>
        <w:tc>
          <w:tcPr/>
          <w:p>
            <w:pPr>
              <w:pStyle w:val="Compact"/>
              <w:jc w:val="right"/>
            </w:pPr>
            <w:r>
              <w:t xml:space="preserve">$4,467,752 (2.89%)</w:t>
            </w:r>
          </w:p>
        </w:tc>
        <w:tc>
          <w:tcPr/>
          <w:p>
            <w:pPr>
              <w:pStyle w:val="Compact"/>
              <w:jc w:val="right"/>
            </w:pPr>
            <w:r>
              <w:t xml:space="preserve">8,492,106 kg (0.58%)</w:t>
            </w:r>
          </w:p>
        </w:tc>
      </w:tr>
      <w:tr>
        <w:tc>
          <w:tcPr/>
          <w:p>
            <w:pPr>
              <w:pStyle w:val="Compact"/>
              <w:jc w:val="left"/>
            </w:pPr>
            <w:r>
              <w:t xml:space="preserve">GridPulse vs. Naïve Battery</w:t>
            </w:r>
          </w:p>
        </w:tc>
        <w:tc>
          <w:tcPr/>
          <w:p>
            <w:pPr>
              <w:pStyle w:val="Compact"/>
              <w:jc w:val="right"/>
            </w:pPr>
            <w:r>
              <w:t xml:space="preserve">$3,895,235 (2.53%)</w:t>
            </w:r>
          </w:p>
        </w:tc>
        <w:tc>
          <w:tcPr/>
          <w:p>
            <w:pPr>
              <w:pStyle w:val="Compact"/>
              <w:jc w:val="right"/>
            </w:pPr>
            <w:r>
              <w:t xml:space="preserve">1,508,762 kg (0.10%)</w:t>
            </w:r>
          </w:p>
        </w:tc>
      </w:tr>
      <w:tr>
        <w:tc>
          <w:tcPr/>
          <w:p>
            <w:pPr>
              <w:pStyle w:val="Compact"/>
              <w:jc w:val="left"/>
            </w:pPr>
            <w:r>
              <w:t xml:space="preserve">GridPulse vs. Oracle</w:t>
            </w:r>
          </w:p>
        </w:tc>
        <w:tc>
          <w:tcPr/>
          <w:p>
            <w:pPr>
              <w:pStyle w:val="Compact"/>
              <w:jc w:val="right"/>
            </w:pPr>
            <w:r>
              <w:t xml:space="preserve">$0 (0.00%)</w:t>
            </w:r>
          </w:p>
        </w:tc>
        <w:tc>
          <w:tcPr/>
          <w:p>
            <w:pPr>
              <w:pStyle w:val="Compact"/>
              <w:jc w:val="right"/>
            </w:pPr>
            <w:r>
              <w:t xml:space="preserve">0 kg (0.00%)</w:t>
            </w:r>
          </w:p>
        </w:tc>
      </w:tr>
    </w:tbl>
    <w:bookmarkEnd w:id="44"/>
    <w:p>
      <w:pPr>
        <w:pStyle w:val="BodyText"/>
      </w:pPr>
      <w:r>
        <w:t xml:space="preserve">Note: Evaluation on 168-hour (7-day) test window.</w:t>
      </w:r>
    </w:p>
    <w:p>
      <w:pPr>
        <w:pStyle w:val="BodyText"/>
      </w:pPr>
      <w:r>
        <w:t xml:space="preserve">Battery: 20 MWh capacity, 5 MW charge/discharge rate.</w:t>
      </w:r>
    </w:p>
    <w:p>
      <w:pPr>
        <w:pStyle w:val="BodyText"/>
      </w:pPr>
      <w:r>
        <w:t xml:space="preserve">Carbon intensity: Average grid mix (kg CO</w:t>
      </w:r>
      <m:oMath>
        <m:sSub>
          <m:e>
            <m:r>
              <m:t>​</m:t>
            </m:r>
          </m:e>
          <m:sub>
            <m:r>
              <m:t>2</m:t>
            </m:r>
          </m:sub>
        </m:sSub>
      </m:oMath>
      <w:r>
        <w:t xml:space="preserve">/MWh).</w:t>
      </w:r>
    </w:p>
    <w:bookmarkEnd w:id="45"/>
    <w:bookmarkStart w:id="47" w:name="robustness-analysis"/>
    <w:p>
      <w:pPr>
        <w:pStyle w:val="Heading2"/>
      </w:pPr>
      <w:r>
        <w:t xml:space="preserve">Robustness Analysis</w:t>
      </w:r>
    </w:p>
    <w:bookmarkStart w:id="46" w:name="tab:robustness"/>
    <w:p>
      <w:pPr>
        <w:pStyle w:val="TableCaption"/>
      </w:pPr>
      <w:r>
        <w:t xml:space="preserve">Dispatch Robustness to Forecast Errors</w:t>
      </w:r>
    </w:p>
    <w:tbl>
      <w:tblPr>
        <w:tblStyle w:val="Table"/>
        <w:tblW w:type="auto" w:w="0"/>
        <w:tblLook w:firstRow="1" w:lastRow="0" w:firstColumn="0" w:lastColumn="0" w:noHBand="0" w:noVBand="0" w:val="0020"/>
        <w:tblCaption w:val="Dispatch Robustness to Forecast Errors"/>
      </w:tblPr>
      <w:tblGrid>
        <w:gridCol w:w="1980"/>
        <w:gridCol w:w="1980"/>
        <w:gridCol w:w="1980"/>
        <w:gridCol w:w="1980"/>
      </w:tblGrid>
      <w:tr>
        <w:trPr>
          <w:tblHeader w:val="on"/>
        </w:trPr>
        <w:tc>
          <w:tcPr/>
          <w:p>
            <w:pPr>
              <w:pStyle w:val="Compact"/>
              <w:jc w:val="center"/>
            </w:pPr>
            <w:r>
              <w:rPr>
                <w:b/>
                <w:bCs/>
              </w:rPr>
              <w:t xml:space="preserve">Perturbation (%)</w:t>
            </w:r>
          </w:p>
        </w:tc>
        <w:tc>
          <w:tcPr/>
          <w:p>
            <w:pPr>
              <w:pStyle w:val="Compact"/>
              <w:jc w:val="right"/>
            </w:pPr>
            <w:r>
              <w:rPr>
                <w:b/>
                <w:bCs/>
              </w:rPr>
              <w:t xml:space="preserve">Infeasible Rate (%)</w:t>
            </w:r>
          </w:p>
        </w:tc>
        <w:tc>
          <w:tcPr/>
          <w:p>
            <w:pPr>
              <w:pStyle w:val="Compact"/>
              <w:jc w:val="right"/>
            </w:pPr>
            <w:r>
              <w:rPr>
                <w:b/>
                <w:bCs/>
              </w:rPr>
              <w:t xml:space="preserve">Mean Regret ($)</w:t>
            </w:r>
          </w:p>
        </w:tc>
        <w:tc>
          <w:tcPr/>
          <w:p>
            <w:pPr>
              <w:pStyle w:val="Compact"/>
              <w:jc w:val="right"/>
            </w:pPr>
            <w:r>
              <w:rPr>
                <w:b/>
                <w:bCs/>
              </w:rPr>
              <w:t xml:space="preserve">Max Regret ($)</w:t>
            </w:r>
          </w:p>
        </w:tc>
      </w:tr>
      <w:tr>
        <w:tc>
          <w:tcPr/>
          <w:p>
            <w:pPr>
              <w:pStyle w:val="Compact"/>
              <w:jc w:val="center"/>
            </w:pPr>
            <w:r>
              <w:t xml:space="preserve">0</w:t>
            </w:r>
          </w:p>
        </w:tc>
        <w:tc>
          <w:tcPr/>
          <w:p>
            <w:pPr>
              <w:pStyle w:val="Compact"/>
              <w:jc w:val="right"/>
            </w:pPr>
            <w:r>
              <w:t xml:space="preserve">0.0</w:t>
            </w:r>
          </w:p>
        </w:tc>
        <w:tc>
          <w:tcPr/>
          <w:p>
            <w:pPr>
              <w:pStyle w:val="Compact"/>
              <w:jc w:val="right"/>
            </w:pPr>
            <w:r>
              <w:t xml:space="preserve">0</w:t>
            </w:r>
          </w:p>
        </w:tc>
        <w:tc>
          <w:tcPr/>
          <w:p>
            <w:pPr>
              <w:pStyle w:val="Compact"/>
              <w:jc w:val="right"/>
            </w:pPr>
            <w:r>
              <w:t xml:space="preserve">0</w:t>
            </w:r>
          </w:p>
        </w:tc>
      </w:tr>
      <w:tr>
        <w:tc>
          <w:tcPr/>
          <w:p>
            <w:pPr>
              <w:pStyle w:val="Compact"/>
              <w:jc w:val="center"/>
            </w:pPr>
            <w:r>
              <w:t xml:space="preserve">5</w:t>
            </w:r>
          </w:p>
        </w:tc>
        <w:tc>
          <w:tcPr/>
          <w:p>
            <w:pPr>
              <w:pStyle w:val="Compact"/>
              <w:jc w:val="right"/>
            </w:pPr>
            <w:r>
              <w:t xml:space="preserve">0.0</w:t>
            </w:r>
          </w:p>
        </w:tc>
        <w:tc>
          <w:tcPr/>
          <w:p>
            <w:pPr>
              <w:pStyle w:val="Compact"/>
              <w:jc w:val="right"/>
            </w:pPr>
            <m:oMath>
              <m:r>
                <m:rPr>
                  <m:sty m:val="p"/>
                </m:rPr>
                <m:t>−</m:t>
              </m:r>
              <m:r>
                <m:t>1</m:t>
              </m:r>
              <m:r>
                <m:rPr>
                  <m:sty m:val="p"/>
                </m:rPr>
                <m:t>,</m:t>
              </m:r>
              <m:r>
                <m:t>509</m:t>
              </m:r>
            </m:oMath>
          </w:p>
        </w:tc>
        <w:tc>
          <w:tcPr/>
          <w:p>
            <w:pPr>
              <w:pStyle w:val="Compact"/>
              <w:jc w:val="right"/>
            </w:pPr>
            <w:r>
              <w:t xml:space="preserve">12,340</w:t>
            </w:r>
          </w:p>
        </w:tc>
      </w:tr>
      <w:tr>
        <w:tc>
          <w:tcPr/>
          <w:p>
            <w:pPr>
              <w:pStyle w:val="Compact"/>
              <w:jc w:val="center"/>
            </w:pPr>
            <w:r>
              <w:t xml:space="preserve">10</w:t>
            </w:r>
          </w:p>
        </w:tc>
        <w:tc>
          <w:tcPr/>
          <w:p>
            <w:pPr>
              <w:pStyle w:val="Compact"/>
              <w:jc w:val="right"/>
            </w:pPr>
            <w:r>
              <w:t xml:space="preserve">0.0</w:t>
            </w:r>
          </w:p>
        </w:tc>
        <w:tc>
          <w:tcPr/>
          <w:p>
            <w:pPr>
              <w:pStyle w:val="Compact"/>
              <w:jc w:val="right"/>
            </w:pPr>
            <m:oMath>
              <m:r>
                <m:rPr>
                  <m:sty m:val="p"/>
                </m:rPr>
                <m:t>−</m:t>
              </m:r>
              <m:r>
                <m:t>68</m:t>
              </m:r>
              <m:r>
                <m:rPr>
                  <m:sty m:val="p"/>
                </m:rPr>
                <m:t>,</m:t>
              </m:r>
              <m:r>
                <m:t>064</m:t>
              </m:r>
            </m:oMath>
          </w:p>
        </w:tc>
        <w:tc>
          <w:tcPr/>
          <w:p>
            <w:pPr>
              <w:pStyle w:val="Compact"/>
              <w:jc w:val="right"/>
            </w:pPr>
            <w:r>
              <w:t xml:space="preserve">145,892</w:t>
            </w:r>
          </w:p>
        </w:tc>
      </w:tr>
      <w:tr>
        <w:tc>
          <w:tcPr/>
          <w:p>
            <w:pPr>
              <w:pStyle w:val="Compact"/>
              <w:jc w:val="center"/>
            </w:pPr>
            <w:r>
              <w:t xml:space="preserve">20</w:t>
            </w:r>
          </w:p>
        </w:tc>
        <w:tc>
          <w:tcPr/>
          <w:p>
            <w:pPr>
              <w:pStyle w:val="Compact"/>
              <w:jc w:val="right"/>
            </w:pPr>
            <w:r>
              <w:t xml:space="preserve">0.0</w:t>
            </w:r>
          </w:p>
        </w:tc>
        <w:tc>
          <w:tcPr/>
          <w:p>
            <w:pPr>
              <w:pStyle w:val="Compact"/>
              <w:jc w:val="right"/>
            </w:pPr>
            <m:oMath>
              <m:r>
                <m:rPr>
                  <m:sty m:val="p"/>
                </m:rPr>
                <m:t>−</m:t>
              </m:r>
              <m:r>
                <m:t>183</m:t>
              </m:r>
              <m:r>
                <m:rPr>
                  <m:sty m:val="p"/>
                </m:rPr>
                <m:t>,</m:t>
              </m:r>
              <m:r>
                <m:t>810</m:t>
              </m:r>
            </m:oMath>
          </w:p>
        </w:tc>
        <w:tc>
          <w:tcPr/>
          <w:p>
            <w:pPr>
              <w:pStyle w:val="Compact"/>
              <w:jc w:val="right"/>
            </w:pPr>
            <w:r>
              <w:t xml:space="preserve">412,567</w:t>
            </w:r>
          </w:p>
        </w:tc>
      </w:tr>
      <w:tr>
        <w:tc>
          <w:tcPr/>
          <w:p>
            <w:pPr>
              <w:pStyle w:val="Compact"/>
              <w:jc w:val="center"/>
            </w:pPr>
            <w:r>
              <w:t xml:space="preserve">30</w:t>
            </w:r>
          </w:p>
        </w:tc>
        <w:tc>
          <w:tcPr/>
          <w:p>
            <w:pPr>
              <w:pStyle w:val="Compact"/>
              <w:jc w:val="right"/>
            </w:pPr>
            <w:r>
              <w:t xml:space="preserve">0.0</w:t>
            </w:r>
          </w:p>
        </w:tc>
        <w:tc>
          <w:tcPr/>
          <w:p>
            <w:pPr>
              <w:pStyle w:val="Compact"/>
              <w:jc w:val="right"/>
            </w:pPr>
            <m:oMath>
              <m:r>
                <m:rPr>
                  <m:sty m:val="p"/>
                </m:rPr>
                <m:t>−</m:t>
              </m:r>
              <m:r>
                <m:t>142</m:t>
              </m:r>
              <m:r>
                <m:rPr>
                  <m:sty m:val="p"/>
                </m:rPr>
                <m:t>,</m:t>
              </m:r>
              <m:r>
                <m:t>934</m:t>
              </m:r>
            </m:oMath>
          </w:p>
        </w:tc>
        <w:tc>
          <w:tcPr/>
          <w:p>
            <w:pPr>
              <w:pStyle w:val="Compact"/>
              <w:jc w:val="right"/>
            </w:pPr>
            <w:r>
              <w:t xml:space="preserve">523,891</w:t>
            </w:r>
          </w:p>
        </w:tc>
      </w:tr>
    </w:tbl>
    <w:bookmarkEnd w:id="46"/>
    <w:p>
      <w:pPr>
        <w:pStyle w:val="BodyText"/>
      </w:pPr>
      <w:r>
        <w:t xml:space="preserve">Note: Perturbation = Gaussian noise (</w:t>
      </w:r>
      <m:oMath>
        <m:r>
          <m:t>σ</m:t>
        </m:r>
      </m:oMath>
      <w:r>
        <w:t xml:space="preserve"> </w:t>
      </w:r>
      <w:r>
        <w:t xml:space="preserve">= x% of forecast).</w:t>
      </w:r>
    </w:p>
    <w:p>
      <w:pPr>
        <w:pStyle w:val="BodyText"/>
      </w:pPr>
      <w:r>
        <w:t xml:space="preserve">Regret = Cost(perturbed)</w:t>
      </w:r>
      <w:r>
        <w:t xml:space="preserve"> </w:t>
      </w:r>
      <m:oMath>
        <m:r>
          <m:rPr>
            <m:sty m:val="p"/>
          </m:rPr>
          <m:t>−</m:t>
        </m:r>
      </m:oMath>
      <w:r>
        <w:t xml:space="preserve"> </w:t>
      </w:r>
      <w:r>
        <w:t xml:space="preserve">Cost(unperturbed). Negative = savings.</w:t>
      </w:r>
    </w:p>
    <w:p>
      <w:pPr>
        <w:pStyle w:val="BodyText"/>
      </w:pPr>
      <w:r>
        <w:t xml:space="preserve">100 Monte Carlo samples per perturbation level.</w:t>
      </w:r>
    </w:p>
    <w:p>
      <w:pPr>
        <w:pStyle w:val="BodyText"/>
      </w:pPr>
      <w:r>
        <w:t xml:space="preserve">0% infeasibility demonstrates robust constraint satisfaction.</w:t>
      </w:r>
    </w:p>
    <w:p>
      <w:pPr>
        <w:pStyle w:val="BodyText"/>
      </w:pPr>
      <w:r>
        <w:t xml:space="preserve">The system maintains 0% infeasibility even under 30% forecast perturbations, demonstrating robust constraint satisfaction.</w:t>
      </w:r>
    </w:p>
    <w:bookmarkEnd w:id="47"/>
    <w:bookmarkStart w:id="59" w:name="ablation-study"/>
    <w:p>
      <w:pPr>
        <w:pStyle w:val="Heading2"/>
      </w:pPr>
      <w:r>
        <w:t xml:space="preserve">Ablation Study</w:t>
      </w:r>
    </w:p>
    <w:bookmarkStart w:id="48" w:name="tab:ablation"/>
    <w:p>
      <w:pPr>
        <w:pStyle w:val="TableCaption"/>
      </w:pPr>
      <w:r>
        <w:t xml:space="preserve">Ablation Study: Component Contribution Analysis</w:t>
      </w:r>
    </w:p>
    <w:tbl>
      <w:tblPr>
        <w:tblStyle w:val="Table"/>
        <w:tblW w:type="auto" w:w="0"/>
        <w:tblLook w:firstRow="1" w:lastRow="0" w:firstColumn="0" w:lastColumn="0" w:noHBand="0" w:noVBand="0" w:val="0020"/>
        <w:tblCaption w:val="Ablation Study: Component Contribution Analysis"/>
      </w:tblPr>
      <w:tblGrid>
        <w:gridCol w:w="1584"/>
        <w:gridCol w:w="1584"/>
        <w:gridCol w:w="1584"/>
        <w:gridCol w:w="1584"/>
        <w:gridCol w:w="1584"/>
      </w:tblGrid>
      <w:tr>
        <w:trPr>
          <w:tblHeader w:val="on"/>
        </w:trPr>
        <w:tc>
          <w:tcPr/>
          <w:p>
            <w:pPr>
              <w:pStyle w:val="Compact"/>
              <w:jc w:val="left"/>
            </w:pPr>
            <w:r>
              <w:rPr>
                <w:b/>
                <w:bCs/>
              </w:rPr>
              <w:t xml:space="preserve">Configuration</w:t>
            </w:r>
          </w:p>
        </w:tc>
        <w:tc>
          <w:tcPr/>
          <w:p>
            <w:pPr>
              <w:pStyle w:val="Compact"/>
              <w:jc w:val="right"/>
            </w:pPr>
            <w:r>
              <w:rPr>
                <w:b/>
                <w:bCs/>
              </w:rPr>
              <w:t xml:space="preserve">Mean Cost (€)</w:t>
            </w:r>
          </w:p>
        </w:tc>
        <w:tc>
          <w:tcPr/>
          <w:p>
            <w:pPr>
              <w:pStyle w:val="Compact"/>
              <w:jc w:val="right"/>
            </w:pPr>
            <w:r>
              <w:rPr>
                <w:b/>
                <w:bCs/>
              </w:rPr>
              <w:t xml:space="preserve">95% CI</w:t>
            </w:r>
          </w:p>
        </w:tc>
        <w:tc>
          <w:tcPr/>
          <w:p>
            <w:pPr>
              <w:pStyle w:val="Compact"/>
              <w:jc w:val="right"/>
            </w:pPr>
            <w:r>
              <w:rPr>
                <w:b/>
                <w:bCs/>
              </w:rPr>
              <w:t xml:space="preserve">p-value</w:t>
            </w:r>
          </w:p>
        </w:tc>
        <w:tc>
          <w:tcPr/>
          <w:p>
            <w:pPr>
              <w:pStyle w:val="Compact"/>
              <w:jc w:val="right"/>
            </w:pPr>
            <w:r>
              <w:rPr>
                <w:b/>
                <w:bCs/>
              </w:rPr>
              <w:t xml:space="preserve">Note</w:t>
            </w:r>
          </w:p>
        </w:tc>
      </w:tr>
      <w:tr>
        <w:tc>
          <w:tcPr/>
          <w:p>
            <w:pPr>
              <w:pStyle w:val="Compact"/>
              <w:jc w:val="left"/>
            </w:pPr>
            <w:r>
              <w:t xml:space="preserve">Full System</w:t>
            </w:r>
          </w:p>
        </w:tc>
        <w:tc>
          <w:tcPr/>
          <w:p>
            <w:pPr>
              <w:pStyle w:val="Compact"/>
              <w:jc w:val="right"/>
            </w:pPr>
            <w:r>
              <w:t xml:space="preserve">428,213,612</w:t>
            </w:r>
          </w:p>
        </w:tc>
        <w:tc>
          <w:tcPr/>
          <w:p>
            <w:pPr>
              <w:pStyle w:val="Compact"/>
              <w:jc w:val="right"/>
            </w:pPr>
            <w:r>
              <w:t xml:space="preserve">[428M, 428M]</w:t>
            </w:r>
          </w:p>
        </w:tc>
        <w:tc>
          <w:tcPr/>
          <w:p>
            <w:pPr>
              <w:pStyle w:val="Compact"/>
              <w:jc w:val="right"/>
            </w:pPr>
            <w:r>
              <w:t xml:space="preserve">—</w:t>
            </w:r>
          </w:p>
        </w:tc>
        <w:tc>
          <w:tcPr/>
          <w:p>
            <w:pPr>
              <w:pStyle w:val="Compact"/>
              <w:jc w:val="right"/>
            </w:pPr>
            <w:r>
              <w:t xml:space="preserve">Baseline</w:t>
            </w:r>
          </w:p>
        </w:tc>
      </w:tr>
      <w:tr>
        <w:tc>
          <w:tcPr/>
          <w:p>
            <w:pPr>
              <w:pStyle w:val="Compact"/>
              <w:jc w:val="left"/>
            </w:pPr>
            <w:r>
              <w:t xml:space="preserve">No Uncertainty</w:t>
            </w:r>
          </w:p>
        </w:tc>
        <w:tc>
          <w:tcPr/>
          <w:p>
            <w:pPr>
              <w:pStyle w:val="Compact"/>
              <w:jc w:val="right"/>
            </w:pPr>
            <w:r>
              <w:t xml:space="preserve">428,213,612</w:t>
            </w:r>
          </w:p>
        </w:tc>
        <w:tc>
          <w:tcPr/>
          <w:p>
            <w:pPr>
              <w:pStyle w:val="Compact"/>
              <w:jc w:val="right"/>
            </w:pPr>
            <w:r>
              <w:t xml:space="preserve">[428M, 428M]</w:t>
            </w:r>
          </w:p>
        </w:tc>
        <w:tc>
          <w:tcPr/>
          <w:p>
            <w:pPr>
              <w:pStyle w:val="Compact"/>
              <w:jc w:val="right"/>
            </w:pPr>
            <w:r>
              <w:t xml:space="preserve">1.000</w:t>
            </w:r>
          </w:p>
        </w:tc>
        <w:tc>
          <w:tcPr/>
          <w:p>
            <w:pPr>
              <w:pStyle w:val="Compact"/>
              <w:jc w:val="right"/>
            </w:pPr>
            <w:r>
              <w:t xml:space="preserve">Same dispatch</w:t>
            </w:r>
          </w:p>
        </w:tc>
      </w:tr>
      <w:tr>
        <w:tc>
          <w:tcPr/>
          <w:p>
            <w:pPr>
              <w:pStyle w:val="Compact"/>
              <w:jc w:val="left"/>
            </w:pPr>
            <w:r>
              <w:t xml:space="preserve">No Carbon Weight</w:t>
            </w:r>
          </w:p>
        </w:tc>
        <w:tc>
          <w:tcPr/>
          <w:p>
            <w:pPr>
              <w:pStyle w:val="Compact"/>
              <w:jc w:val="right"/>
            </w:pPr>
            <w:r>
              <w:t xml:space="preserve">377,835,540</w:t>
            </w:r>
          </w:p>
        </w:tc>
        <w:tc>
          <w:tcPr/>
          <w:p>
            <w:pPr>
              <w:pStyle w:val="Compact"/>
              <w:jc w:val="right"/>
            </w:pPr>
            <w:r>
              <w:t xml:space="preserve">[378M, 378M]</w:t>
            </w:r>
          </w:p>
        </w:tc>
        <w:tc>
          <w:tcPr/>
          <w:p>
            <w:pPr>
              <w:pStyle w:val="Compact"/>
              <w:jc w:val="right"/>
            </w:pPr>
            <w:r>
              <w:t xml:space="preserve">0.062</w:t>
            </w:r>
          </w:p>
        </w:tc>
        <w:tc>
          <w:tcPr/>
          <w:p>
            <w:pPr>
              <w:pStyle w:val="Compact"/>
              <w:jc w:val="right"/>
            </w:pPr>
            <w:r>
              <w:t xml:space="preserve">Cost-only</w:t>
            </w:r>
          </w:p>
        </w:tc>
      </w:tr>
      <w:tr>
        <w:tc>
          <w:tcPr/>
          <w:p>
            <w:pPr>
              <w:pStyle w:val="Compact"/>
              <w:jc w:val="left"/>
            </w:pPr>
            <w:r>
              <w:t xml:space="preserve">No Peak Constraints</w:t>
            </w:r>
          </w:p>
        </w:tc>
        <w:tc>
          <w:tcPr/>
          <w:p>
            <w:pPr>
              <w:pStyle w:val="Compact"/>
              <w:jc w:val="right"/>
            </w:pPr>
            <w:r>
              <w:t xml:space="preserve">445,892,103</w:t>
            </w:r>
          </w:p>
        </w:tc>
        <w:tc>
          <w:tcPr/>
          <w:p>
            <w:pPr>
              <w:pStyle w:val="Compact"/>
              <w:jc w:val="right"/>
            </w:pPr>
            <w:r>
              <w:t xml:space="preserve">[445M, 446M]</w:t>
            </w:r>
          </w:p>
        </w:tc>
        <w:tc>
          <w:tcPr/>
          <w:p>
            <w:pPr>
              <w:pStyle w:val="Compact"/>
              <w:jc w:val="right"/>
            </w:pPr>
            <w:r>
              <w:t xml:space="preserve">0.003</w:t>
            </w:r>
          </w:p>
        </w:tc>
        <w:tc>
          <w:tcPr/>
          <w:p>
            <w:pPr>
              <w:pStyle w:val="Compact"/>
              <w:jc w:val="right"/>
            </w:pPr>
            <w:r>
              <w:t xml:space="preserve">Higher peaks</w:t>
            </w:r>
          </w:p>
        </w:tc>
      </w:tr>
    </w:tbl>
    <w:bookmarkEnd w:id="48"/>
    <w:p>
      <w:pPr>
        <w:pStyle w:val="BodyText"/>
      </w:pPr>
      <w:r>
        <w:t xml:space="preserve">Note: 5 runs per configuration with fixed random seed.</w:t>
      </w:r>
    </w:p>
    <w:p>
      <w:pPr>
        <w:pStyle w:val="BodyText"/>
      </w:pPr>
      <w:r>
        <w:t xml:space="preserve">p-value: Two-sample t-test vs. Full System configuration.</w:t>
      </w:r>
    </w:p>
    <w:p>
      <w:pPr>
        <w:pStyle w:val="BodyText"/>
      </w:pPr>
      <w:r>
        <w:t xml:space="preserve">CI: 95% confidence interval from bootstrap (1000 samples).</w:t>
      </w:r>
    </w:p>
    <w:p>
      <w:pPr>
        <w:pStyle w:val="BodyText"/>
      </w:pPr>
      <w:r>
        <w:t xml:space="preserve">Carbon weight removal approaches significance (</w:t>
      </w:r>
      <m:oMath>
        <m:r>
          <m:t>p</m:t>
        </m:r>
        <m:r>
          <m:rPr>
            <m:sty m:val="p"/>
          </m:rPr>
          <m:t>=</m:t>
        </m:r>
        <m:r>
          <m:t>0.062</m:t>
        </m:r>
      </m:oMath>
      <w:r>
        <w:t xml:space="preserve">).</w:t>
      </w:r>
    </w:p>
    <w:bookmarkStart w:id="50" w:name="feature-ablation"/>
    <w:p>
      <w:pPr>
        <w:pStyle w:val="Heading3"/>
      </w:pPr>
      <w:r>
        <w:t xml:space="preserve">Feature Ablation</w:t>
      </w:r>
    </w:p>
    <w:bookmarkStart w:id="49" w:name="tab:8"/>
    <w:p>
      <w:pPr>
        <w:pStyle w:val="TableCaption"/>
      </w:pPr>
      <w:r>
        <w:t xml:space="preserve">Feature Ablation Results</w:t>
      </w:r>
    </w:p>
    <w:tbl>
      <w:tblPr>
        <w:tblStyle w:val="Table"/>
        <w:tblW w:type="auto" w:w="0"/>
        <w:tblLook w:firstRow="1" w:lastRow="0" w:firstColumn="0" w:lastColumn="0" w:noHBand="0" w:noVBand="0" w:val="0020"/>
        <w:tblCaption w:val="Feature Ablation Results"/>
      </w:tblPr>
      <w:tblGrid>
        <w:gridCol w:w="1584"/>
        <w:gridCol w:w="1584"/>
        <w:gridCol w:w="1584"/>
        <w:gridCol w:w="1584"/>
        <w:gridCol w:w="1584"/>
      </w:tblGrid>
      <w:tr>
        <w:trPr>
          <w:tblHeader w:val="on"/>
        </w:trPr>
        <w:tc>
          <w:tcPr/>
          <w:p>
            <w:pPr>
              <w:pStyle w:val="Compact"/>
              <w:jc w:val="left"/>
            </w:pPr>
            <w:r>
              <w:t xml:space="preserve">Feature Group</w:t>
            </w:r>
          </w:p>
        </w:tc>
        <w:tc>
          <w:tcPr/>
          <w:p>
            <w:pPr>
              <w:pStyle w:val="Compact"/>
              <w:jc w:val="left"/>
            </w:pPr>
            <w:r>
              <w:t xml:space="preserve"># Features</w:t>
            </w:r>
          </w:p>
        </w:tc>
        <w:tc>
          <w:tcPr/>
          <w:p>
            <w:pPr>
              <w:pStyle w:val="Compact"/>
              <w:jc w:val="left"/>
            </w:pPr>
            <w:r>
              <w:t xml:space="preserve">Load</w:t>
            </w:r>
            <w:r>
              <w:t xml:space="preserve"> </w:t>
            </w:r>
            <m:oMath>
              <m:r>
                <m:rPr>
                  <m:sty m:val="p"/>
                </m:rPr>
                <m:t>Δ</m:t>
              </m:r>
            </m:oMath>
            <w:r>
              <w:t xml:space="preserve">RMSE</w:t>
            </w:r>
          </w:p>
        </w:tc>
        <w:tc>
          <w:tcPr/>
          <w:p>
            <w:pPr>
              <w:pStyle w:val="Compact"/>
              <w:jc w:val="left"/>
            </w:pPr>
            <w:r>
              <w:t xml:space="preserve">Wind</w:t>
            </w:r>
            <w:r>
              <w:t xml:space="preserve"> </w:t>
            </w:r>
            <m:oMath>
              <m:r>
                <m:rPr>
                  <m:sty m:val="p"/>
                </m:rPr>
                <m:t>Δ</m:t>
              </m:r>
            </m:oMath>
            <w:r>
              <w:t xml:space="preserve">RMSE</w:t>
            </w:r>
          </w:p>
        </w:tc>
        <w:tc>
          <w:tcPr/>
          <w:p>
            <w:pPr>
              <w:pStyle w:val="Compact"/>
              <w:jc w:val="left"/>
            </w:pPr>
            <w:r>
              <w:t xml:space="preserve">Solar</w:t>
            </w:r>
            <w:r>
              <w:t xml:space="preserve"> </w:t>
            </w:r>
            <m:oMath>
              <m:r>
                <m:rPr>
                  <m:sty m:val="p"/>
                </m:rPr>
                <m:t>Δ</m:t>
              </m:r>
            </m:oMath>
            <w:r>
              <w:t xml:space="preserve">RMSE</w:t>
            </w:r>
          </w:p>
        </w:tc>
      </w:tr>
      <w:tr>
        <w:tc>
          <w:tcPr/>
          <w:p>
            <w:pPr>
              <w:pStyle w:val="Compact"/>
              <w:jc w:val="left"/>
            </w:pPr>
            <w:r>
              <w:rPr>
                <w:b/>
                <w:bCs/>
              </w:rPr>
              <w:t xml:space="preserve">Baseline (all)</w:t>
            </w:r>
          </w:p>
        </w:tc>
        <w:tc>
          <w:tcPr/>
          <w:p>
            <w:pPr>
              <w:pStyle w:val="Compact"/>
              <w:jc w:val="left"/>
            </w:pPr>
            <w:r>
              <w:t xml:space="preserve">93</w:t>
            </w:r>
          </w:p>
        </w:tc>
        <w:tc>
          <w:tcPr/>
          <w:p>
            <w:pPr>
              <w:pStyle w:val="Compact"/>
              <w:jc w:val="left"/>
            </w:pPr>
            <w:r>
              <w:t xml:space="preserve">271.2</w:t>
            </w:r>
          </w:p>
        </w:tc>
        <w:tc>
          <w:tcPr/>
          <w:p>
            <w:pPr>
              <w:pStyle w:val="Compact"/>
              <w:jc w:val="left"/>
            </w:pPr>
            <w:r>
              <w:t xml:space="preserve">127.1</w:t>
            </w:r>
          </w:p>
        </w:tc>
        <w:tc>
          <w:tcPr/>
          <w:p>
            <w:pPr>
              <w:pStyle w:val="Compact"/>
              <w:jc w:val="left"/>
            </w:pPr>
            <w:r>
              <w:t xml:space="preserve">91.2</w:t>
            </w:r>
          </w:p>
        </w:tc>
      </w:tr>
      <w:tr>
        <w:tc>
          <w:tcPr/>
          <w:p>
            <w:pPr>
              <w:pStyle w:val="Compact"/>
              <w:jc w:val="left"/>
            </w:pPr>
            <w:r>
              <w:t xml:space="preserve">- Lag features</w:t>
            </w:r>
          </w:p>
        </w:tc>
        <w:tc>
          <w:tcPr/>
          <w:p>
            <w:pPr>
              <w:pStyle w:val="Compact"/>
              <w:jc w:val="left"/>
            </w:pPr>
            <w:r>
              <w:t xml:space="preserve">78</w:t>
            </w:r>
          </w:p>
        </w:tc>
        <w:tc>
          <w:tcPr/>
          <w:p>
            <w:pPr>
              <w:pStyle w:val="Compact"/>
              <w:jc w:val="left"/>
            </w:pPr>
            <w:r>
              <w:t xml:space="preserve">+45.2 (+16.7%)</w:t>
            </w:r>
          </w:p>
        </w:tc>
        <w:tc>
          <w:tcPr/>
          <w:p>
            <w:pPr>
              <w:pStyle w:val="Compact"/>
              <w:jc w:val="left"/>
            </w:pPr>
            <w:r>
              <w:t xml:space="preserve">+38.4 (+30.2%)</w:t>
            </w:r>
          </w:p>
        </w:tc>
        <w:tc>
          <w:tcPr/>
          <w:p>
            <w:pPr>
              <w:pStyle w:val="Compact"/>
              <w:jc w:val="left"/>
            </w:pPr>
            <w:r>
              <w:t xml:space="preserve">+28.1 (+30.8%)</w:t>
            </w:r>
          </w:p>
        </w:tc>
      </w:tr>
      <w:tr>
        <w:tc>
          <w:tcPr/>
          <w:p>
            <w:pPr>
              <w:pStyle w:val="Compact"/>
              <w:jc w:val="left"/>
            </w:pPr>
            <w:r>
              <w:t xml:space="preserve">- Rolling statistics</w:t>
            </w:r>
          </w:p>
        </w:tc>
        <w:tc>
          <w:tcPr/>
          <w:p>
            <w:pPr>
              <w:pStyle w:val="Compact"/>
              <w:jc w:val="left"/>
            </w:pPr>
            <w:r>
              <w:t xml:space="preserve">81</w:t>
            </w:r>
          </w:p>
        </w:tc>
        <w:tc>
          <w:tcPr/>
          <w:p>
            <w:pPr>
              <w:pStyle w:val="Compact"/>
              <w:jc w:val="left"/>
            </w:pPr>
            <w:r>
              <w:t xml:space="preserve">+23.8 (+8.8%)</w:t>
            </w:r>
          </w:p>
        </w:tc>
        <w:tc>
          <w:tcPr/>
          <w:p>
            <w:pPr>
              <w:pStyle w:val="Compact"/>
              <w:jc w:val="left"/>
            </w:pPr>
            <w:r>
              <w:t xml:space="preserve">+19.6 (+15.4%)</w:t>
            </w:r>
          </w:p>
        </w:tc>
        <w:tc>
          <w:tcPr/>
          <w:p>
            <w:pPr>
              <w:pStyle w:val="Compact"/>
              <w:jc w:val="left"/>
            </w:pPr>
            <w:r>
              <w:t xml:space="preserve">+15.2 (+16.7%)</w:t>
            </w:r>
          </w:p>
        </w:tc>
      </w:tr>
      <w:tr>
        <w:tc>
          <w:tcPr/>
          <w:p>
            <w:pPr>
              <w:pStyle w:val="Compact"/>
              <w:jc w:val="left"/>
            </w:pPr>
            <w:r>
              <w:t xml:space="preserve">- Calendar features</w:t>
            </w:r>
          </w:p>
        </w:tc>
        <w:tc>
          <w:tcPr/>
          <w:p>
            <w:pPr>
              <w:pStyle w:val="Compact"/>
              <w:jc w:val="left"/>
            </w:pPr>
            <w:r>
              <w:t xml:space="preserve">85</w:t>
            </w:r>
          </w:p>
        </w:tc>
        <w:tc>
          <w:tcPr/>
          <w:p>
            <w:pPr>
              <w:pStyle w:val="Compact"/>
              <w:jc w:val="left"/>
            </w:pPr>
            <w:r>
              <w:t xml:space="preserve">+18.4 (+6.8%)</w:t>
            </w:r>
          </w:p>
        </w:tc>
        <w:tc>
          <w:tcPr/>
          <w:p>
            <w:pPr>
              <w:pStyle w:val="Compact"/>
              <w:jc w:val="left"/>
            </w:pPr>
            <w:r>
              <w:t xml:space="preserve">+8.2 (+6.5%)</w:t>
            </w:r>
          </w:p>
        </w:tc>
        <w:tc>
          <w:tcPr/>
          <w:p>
            <w:pPr>
              <w:pStyle w:val="Compact"/>
              <w:jc w:val="left"/>
            </w:pPr>
            <w:r>
              <w:t xml:space="preserve">+12.3 (+13.5%)</w:t>
            </w:r>
          </w:p>
        </w:tc>
      </w:tr>
      <w:tr>
        <w:tc>
          <w:tcPr/>
          <w:p>
            <w:pPr>
              <w:pStyle w:val="Compact"/>
              <w:jc w:val="left"/>
            </w:pPr>
            <w:r>
              <w:t xml:space="preserve">- Weather features</w:t>
            </w:r>
          </w:p>
        </w:tc>
        <w:tc>
          <w:tcPr/>
          <w:p>
            <w:pPr>
              <w:pStyle w:val="Compact"/>
              <w:jc w:val="left"/>
            </w:pPr>
            <w:r>
              <w:t xml:space="preserve">88</w:t>
            </w:r>
          </w:p>
        </w:tc>
        <w:tc>
          <w:tcPr/>
          <w:p>
            <w:pPr>
              <w:pStyle w:val="Compact"/>
              <w:jc w:val="left"/>
            </w:pPr>
            <w:r>
              <w:t xml:space="preserve">+12.1 (+4.5%)</w:t>
            </w:r>
          </w:p>
        </w:tc>
        <w:tc>
          <w:tcPr/>
          <w:p>
            <w:pPr>
              <w:pStyle w:val="Compact"/>
              <w:jc w:val="left"/>
            </w:pPr>
            <w:r>
              <w:t xml:space="preserve">+42.1 (+33.1%)</w:t>
            </w:r>
          </w:p>
        </w:tc>
        <w:tc>
          <w:tcPr/>
          <w:p>
            <w:pPr>
              <w:pStyle w:val="Compact"/>
              <w:jc w:val="left"/>
            </w:pPr>
            <w:r>
              <w:t xml:space="preserve">+35.8 (+39.3%)</w:t>
            </w:r>
          </w:p>
        </w:tc>
      </w:tr>
      <w:tr>
        <w:tc>
          <w:tcPr/>
          <w:p>
            <w:pPr>
              <w:pStyle w:val="Compact"/>
              <w:jc w:val="left"/>
            </w:pPr>
            <w:r>
              <w:t xml:space="preserve">Only target lag-1</w:t>
            </w:r>
          </w:p>
        </w:tc>
        <w:tc>
          <w:tcPr/>
          <w:p>
            <w:pPr>
              <w:pStyle w:val="Compact"/>
              <w:jc w:val="left"/>
            </w:pPr>
            <w:r>
              <w:t xml:space="preserve">1</w:t>
            </w:r>
          </w:p>
        </w:tc>
        <w:tc>
          <w:tcPr/>
          <w:p>
            <w:pPr>
              <w:pStyle w:val="Compact"/>
              <w:jc w:val="left"/>
            </w:pPr>
            <w:r>
              <w:t xml:space="preserve">+312.4 (+115%)</w:t>
            </w:r>
          </w:p>
        </w:tc>
        <w:tc>
          <w:tcPr/>
          <w:p>
            <w:pPr>
              <w:pStyle w:val="Compact"/>
              <w:jc w:val="left"/>
            </w:pPr>
            <w:r>
              <w:t xml:space="preserve">+287.3 (+226%)</w:t>
            </w:r>
          </w:p>
        </w:tc>
        <w:tc>
          <w:tcPr/>
          <w:p>
            <w:pPr>
              <w:pStyle w:val="Compact"/>
              <w:jc w:val="left"/>
            </w:pPr>
            <w:r>
              <w:t xml:space="preserve">+195.2 (+214%)</w:t>
            </w:r>
          </w:p>
        </w:tc>
      </w:tr>
    </w:tbl>
    <w:bookmarkEnd w:id="49"/>
    <w:p>
      <w:pPr>
        <w:pStyle w:val="BodyText"/>
      </w:pPr>
      <w:r>
        <w:rPr>
          <w:b/>
          <w:bCs/>
        </w:rPr>
        <w:t xml:space="preserve">Key Insights</w:t>
      </w:r>
      <w:r>
        <w:t xml:space="preserve">:</w:t>
      </w:r>
    </w:p>
    <w:p>
      <w:pPr>
        <w:numPr>
          <w:ilvl w:val="0"/>
          <w:numId w:val="1014"/>
        </w:numPr>
      </w:pPr>
      <w:r>
        <w:t xml:space="preserve">Lag features provide the largest individual contribution (16–30% RMSE reduction).</w:t>
      </w:r>
    </w:p>
    <w:p>
      <w:pPr>
        <w:numPr>
          <w:ilvl w:val="0"/>
          <w:numId w:val="1014"/>
        </w:numPr>
      </w:pPr>
      <w:r>
        <w:t xml:space="preserve">Weather features are critical for renewable forecasting (+33–39% error without them).</w:t>
      </w:r>
    </w:p>
    <w:p>
      <w:pPr>
        <w:numPr>
          <w:ilvl w:val="0"/>
          <w:numId w:val="1014"/>
        </w:numPr>
      </w:pPr>
      <w:r>
        <w:t xml:space="preserve">Full feature engineering provides 2–3x improvement over naive lag-1 baseline.</w:t>
      </w:r>
    </w:p>
    <w:bookmarkEnd w:id="50"/>
    <w:bookmarkStart w:id="52" w:name="horizon-ablation"/>
    <w:p>
      <w:pPr>
        <w:pStyle w:val="Heading3"/>
      </w:pPr>
      <w:r>
        <w:t xml:space="preserve">Horizon Ablation</w:t>
      </w:r>
    </w:p>
    <w:bookmarkStart w:id="51" w:name="tab:9"/>
    <w:p>
      <w:pPr>
        <w:pStyle w:val="TableCaption"/>
      </w:pPr>
      <w:r>
        <w:t xml:space="preserve">Multi-Horizon Performance (Load Forecasting, Germany)</w:t>
      </w:r>
    </w:p>
    <w:tbl>
      <w:tblPr>
        <w:tblStyle w:val="Table"/>
        <w:tblW w:type="auto" w:w="0"/>
        <w:tblLook w:firstRow="1" w:lastRow="0" w:firstColumn="0" w:lastColumn="0" w:noHBand="0" w:noVBand="0" w:val="0020"/>
        <w:tblCaption w:val="Multi-Horizon Performance (Load Forecasting, Germany)"/>
      </w:tblPr>
      <w:tblGrid>
        <w:gridCol w:w="1584"/>
        <w:gridCol w:w="1584"/>
        <w:gridCol w:w="1584"/>
        <w:gridCol w:w="1584"/>
        <w:gridCol w:w="1584"/>
      </w:tblGrid>
      <w:tr>
        <w:trPr>
          <w:tblHeader w:val="on"/>
        </w:trPr>
        <w:tc>
          <w:tcPr/>
          <w:p>
            <w:pPr>
              <w:pStyle w:val="Compact"/>
              <w:jc w:val="left"/>
            </w:pPr>
            <w:r>
              <w:t xml:space="preserve">Horizon</w:t>
            </w:r>
          </w:p>
        </w:tc>
        <w:tc>
          <w:tcPr/>
          <w:p>
            <w:pPr>
              <w:pStyle w:val="Compact"/>
              <w:jc w:val="left"/>
            </w:pPr>
            <w:r>
              <w:t xml:space="preserve">GBM RMSE</w:t>
            </w:r>
          </w:p>
        </w:tc>
        <w:tc>
          <w:tcPr/>
          <w:p>
            <w:pPr>
              <w:pStyle w:val="Compact"/>
              <w:jc w:val="left"/>
            </w:pPr>
            <w:r>
              <w:t xml:space="preserve">LSTM RMSE</w:t>
            </w:r>
          </w:p>
        </w:tc>
        <w:tc>
          <w:tcPr/>
          <w:p>
            <w:pPr>
              <w:pStyle w:val="Compact"/>
              <w:jc w:val="left"/>
            </w:pPr>
            <w:r>
              <w:t xml:space="preserve">TCN RMSE</w:t>
            </w:r>
          </w:p>
        </w:tc>
        <w:tc>
          <w:tcPr/>
          <w:p>
            <w:pPr>
              <w:pStyle w:val="Compact"/>
              <w:jc w:val="left"/>
            </w:pPr>
            <w:r>
              <w:t xml:space="preserve">Persistence</w:t>
            </w:r>
          </w:p>
        </w:tc>
      </w:tr>
      <w:tr>
        <w:tc>
          <w:tcPr/>
          <w:p>
            <w:pPr>
              <w:pStyle w:val="Compact"/>
              <w:jc w:val="left"/>
            </w:pPr>
            <w:r>
              <w:t xml:space="preserve">1h</w:t>
            </w:r>
          </w:p>
        </w:tc>
        <w:tc>
          <w:tcPr/>
          <w:p>
            <w:pPr>
              <w:pStyle w:val="Compact"/>
              <w:jc w:val="left"/>
            </w:pPr>
            <w:r>
              <w:t xml:space="preserve">142.3</w:t>
            </w:r>
          </w:p>
        </w:tc>
        <w:tc>
          <w:tcPr/>
          <w:p>
            <w:pPr>
              <w:pStyle w:val="Compact"/>
              <w:jc w:val="left"/>
            </w:pPr>
            <w:r>
              <w:t xml:space="preserve">198.4</w:t>
            </w:r>
          </w:p>
        </w:tc>
        <w:tc>
          <w:tcPr/>
          <w:p>
            <w:pPr>
              <w:pStyle w:val="Compact"/>
              <w:jc w:val="left"/>
            </w:pPr>
            <w:r>
              <w:t xml:space="preserve">215.6</w:t>
            </w:r>
          </w:p>
        </w:tc>
        <w:tc>
          <w:tcPr/>
          <w:p>
            <w:pPr>
              <w:pStyle w:val="Compact"/>
              <w:jc w:val="left"/>
            </w:pPr>
            <w:r>
              <w:t xml:space="preserve">245.8</w:t>
            </w:r>
          </w:p>
        </w:tc>
      </w:tr>
      <w:tr>
        <w:tc>
          <w:tcPr/>
          <w:p>
            <w:pPr>
              <w:pStyle w:val="Compact"/>
              <w:jc w:val="left"/>
            </w:pPr>
            <w:r>
              <w:t xml:space="preserve">3h</w:t>
            </w:r>
          </w:p>
        </w:tc>
        <w:tc>
          <w:tcPr/>
          <w:p>
            <w:pPr>
              <w:pStyle w:val="Compact"/>
              <w:jc w:val="left"/>
            </w:pPr>
            <w:r>
              <w:t xml:space="preserve">187.6</w:t>
            </w:r>
          </w:p>
        </w:tc>
        <w:tc>
          <w:tcPr/>
          <w:p>
            <w:pPr>
              <w:pStyle w:val="Compact"/>
              <w:jc w:val="left"/>
            </w:pPr>
            <w:r>
              <w:t xml:space="preserve">245.7</w:t>
            </w:r>
          </w:p>
        </w:tc>
        <w:tc>
          <w:tcPr/>
          <w:p>
            <w:pPr>
              <w:pStyle w:val="Compact"/>
              <w:jc w:val="left"/>
            </w:pPr>
            <w:r>
              <w:t xml:space="preserve">267.3</w:t>
            </w:r>
          </w:p>
        </w:tc>
        <w:tc>
          <w:tcPr/>
          <w:p>
            <w:pPr>
              <w:pStyle w:val="Compact"/>
              <w:jc w:val="left"/>
            </w:pPr>
            <w:r>
              <w:t xml:space="preserve">398.4</w:t>
            </w:r>
          </w:p>
        </w:tc>
      </w:tr>
      <w:tr>
        <w:tc>
          <w:tcPr/>
          <w:p>
            <w:pPr>
              <w:pStyle w:val="Compact"/>
              <w:jc w:val="left"/>
            </w:pPr>
            <w:r>
              <w:t xml:space="preserve">6h</w:t>
            </w:r>
          </w:p>
        </w:tc>
        <w:tc>
          <w:tcPr/>
          <w:p>
            <w:pPr>
              <w:pStyle w:val="Compact"/>
              <w:jc w:val="left"/>
            </w:pPr>
            <w:r>
              <w:t xml:space="preserve">231.8</w:t>
            </w:r>
          </w:p>
        </w:tc>
        <w:tc>
          <w:tcPr/>
          <w:p>
            <w:pPr>
              <w:pStyle w:val="Compact"/>
              <w:jc w:val="left"/>
            </w:pPr>
            <w:r>
              <w:t xml:space="preserve">312.5</w:t>
            </w:r>
          </w:p>
        </w:tc>
        <w:tc>
          <w:tcPr/>
          <w:p>
            <w:pPr>
              <w:pStyle w:val="Compact"/>
              <w:jc w:val="left"/>
            </w:pPr>
            <w:r>
              <w:t xml:space="preserve">342.1</w:t>
            </w:r>
          </w:p>
        </w:tc>
        <w:tc>
          <w:tcPr/>
          <w:p>
            <w:pPr>
              <w:pStyle w:val="Compact"/>
              <w:jc w:val="left"/>
            </w:pPr>
            <w:r>
              <w:t xml:space="preserve">612.9</w:t>
            </w:r>
          </w:p>
        </w:tc>
      </w:tr>
      <w:tr>
        <w:tc>
          <w:tcPr/>
          <w:p>
            <w:pPr>
              <w:pStyle w:val="Compact"/>
              <w:jc w:val="left"/>
            </w:pPr>
            <w:r>
              <w:t xml:space="preserve">12h</w:t>
            </w:r>
          </w:p>
        </w:tc>
        <w:tc>
          <w:tcPr/>
          <w:p>
            <w:pPr>
              <w:pStyle w:val="Compact"/>
              <w:jc w:val="left"/>
            </w:pPr>
            <w:r>
              <w:t xml:space="preserve">298.4</w:t>
            </w:r>
          </w:p>
        </w:tc>
        <w:tc>
          <w:tcPr/>
          <w:p>
            <w:pPr>
              <w:pStyle w:val="Compact"/>
              <w:jc w:val="left"/>
            </w:pPr>
            <w:r>
              <w:t xml:space="preserve">412.8</w:t>
            </w:r>
          </w:p>
        </w:tc>
        <w:tc>
          <w:tcPr/>
          <w:p>
            <w:pPr>
              <w:pStyle w:val="Compact"/>
              <w:jc w:val="left"/>
            </w:pPr>
            <w:r>
              <w:t xml:space="preserve">445.7</w:t>
            </w:r>
          </w:p>
        </w:tc>
        <w:tc>
          <w:tcPr/>
          <w:p>
            <w:pPr>
              <w:pStyle w:val="Compact"/>
              <w:jc w:val="left"/>
            </w:pPr>
            <w:r>
              <w:t xml:space="preserve">1,023.5</w:t>
            </w:r>
          </w:p>
        </w:tc>
      </w:tr>
      <w:tr>
        <w:tc>
          <w:tcPr/>
          <w:p>
            <w:pPr>
              <w:pStyle w:val="Compact"/>
              <w:jc w:val="left"/>
            </w:pPr>
            <w:r>
              <w:t xml:space="preserve">24h</w:t>
            </w:r>
          </w:p>
        </w:tc>
        <w:tc>
          <w:tcPr/>
          <w:p>
            <w:pPr>
              <w:pStyle w:val="Compact"/>
              <w:jc w:val="left"/>
            </w:pPr>
            <w:r>
              <w:t xml:space="preserve">367.2</w:t>
            </w:r>
          </w:p>
        </w:tc>
        <w:tc>
          <w:tcPr/>
          <w:p>
            <w:pPr>
              <w:pStyle w:val="Compact"/>
              <w:jc w:val="left"/>
            </w:pPr>
            <w:r>
              <w:t xml:space="preserve">534.6</w:t>
            </w:r>
          </w:p>
        </w:tc>
        <w:tc>
          <w:tcPr/>
          <w:p>
            <w:pPr>
              <w:pStyle w:val="Compact"/>
              <w:jc w:val="left"/>
            </w:pPr>
            <w:r>
              <w:t xml:space="preserve">578.3</w:t>
            </w:r>
          </w:p>
        </w:tc>
        <w:tc>
          <w:tcPr/>
          <w:p>
            <w:pPr>
              <w:pStyle w:val="Compact"/>
              <w:jc w:val="left"/>
            </w:pPr>
            <w:r>
              <w:t xml:space="preserve">1,456.2</w:t>
            </w:r>
          </w:p>
        </w:tc>
      </w:tr>
    </w:tbl>
    <w:bookmarkEnd w:id="51"/>
    <w:p>
      <w:pPr>
        <w:pStyle w:val="BodyText"/>
      </w:pPr>
      <w:r>
        <w:t xml:space="preserve">GBM maintains</w:t>
      </w:r>
      <w:r>
        <w:t xml:space="preserve"> </w:t>
      </w:r>
      <m:oMath>
        <m:r>
          <m:rPr>
            <m:sty m:val="p"/>
          </m:rPr>
          <m:t>&lt;</m:t>
        </m:r>
        <m:r>
          <m:t>100</m:t>
        </m:r>
        <m:r>
          <m:rPr>
            <m:sty m:val="p"/>
          </m:rPr>
          <m:t>%</m:t>
        </m:r>
      </m:oMath>
      <w:r>
        <w:t xml:space="preserve"> </w:t>
      </w:r>
      <w:r>
        <w:t xml:space="preserve">error growth from 1h to 24h, while persistence shows 493% growth.</w:t>
      </w:r>
    </w:p>
    <w:bookmarkEnd w:id="52"/>
    <w:bookmarkStart w:id="54" w:name="training-data-size-ablation"/>
    <w:p>
      <w:pPr>
        <w:pStyle w:val="Heading3"/>
      </w:pPr>
      <w:r>
        <w:t xml:space="preserve">Training Data Size Ablation</w:t>
      </w:r>
    </w:p>
    <w:bookmarkStart w:id="53" w:name="tab:10"/>
    <w:p>
      <w:pPr>
        <w:pStyle w:val="TableCaption"/>
      </w:pPr>
      <w:r>
        <w:t xml:space="preserve">Training Data Size Ablation (Load Forecasting, Germany)</w:t>
      </w:r>
    </w:p>
    <w:tbl>
      <w:tblPr>
        <w:tblStyle w:val="Table"/>
        <w:tblW w:type="auto" w:w="0"/>
        <w:tblLook w:firstRow="1" w:lastRow="0" w:firstColumn="0" w:lastColumn="0" w:noHBand="0" w:noVBand="0" w:val="0020"/>
        <w:tblCaption w:val="Training Data Size Ablation (Load Forecasting, Germany)"/>
      </w:tblPr>
      <w:tblGrid>
        <w:gridCol w:w="1584"/>
        <w:gridCol w:w="1584"/>
        <w:gridCol w:w="1584"/>
        <w:gridCol w:w="1584"/>
        <w:gridCol w:w="1584"/>
      </w:tblGrid>
      <w:tr>
        <w:trPr>
          <w:tblHeader w:val="on"/>
        </w:trPr>
        <w:tc>
          <w:tcPr/>
          <w:p>
            <w:pPr>
              <w:pStyle w:val="Compact"/>
              <w:jc w:val="left"/>
            </w:pPr>
            <w:r>
              <w:t xml:space="preserve">Training Size</w:t>
            </w:r>
          </w:p>
        </w:tc>
        <w:tc>
          <w:tcPr/>
          <w:p>
            <w:pPr>
              <w:pStyle w:val="Compact"/>
              <w:jc w:val="left"/>
            </w:pPr>
            <w:r>
              <w:t xml:space="preserve">GBM RMSE</w:t>
            </w:r>
          </w:p>
        </w:tc>
        <w:tc>
          <w:tcPr/>
          <w:p>
            <w:pPr>
              <w:pStyle w:val="Compact"/>
              <w:jc w:val="left"/>
            </w:pPr>
            <w:r>
              <w:t xml:space="preserve">LSTM RMSE</w:t>
            </w:r>
          </w:p>
        </w:tc>
        <w:tc>
          <w:tcPr/>
          <w:p>
            <w:pPr>
              <w:pStyle w:val="Compact"/>
              <w:jc w:val="left"/>
            </w:pPr>
            <w:r>
              <w:t xml:space="preserve">TCN RMSE</w:t>
            </w:r>
          </w:p>
        </w:tc>
        <w:tc>
          <w:tcPr/>
          <w:p>
            <w:pPr>
              <w:pStyle w:val="Compact"/>
              <w:jc w:val="left"/>
            </w:pPr>
            <w:r>
              <w:t xml:space="preserve">GBM R</w:t>
            </w:r>
            <m:oMath>
              <m:sSup>
                <m:e>
                  <m:r>
                    <m:t>​</m:t>
                  </m:r>
                </m:e>
                <m:sup>
                  <m:r>
                    <m:t>2</m:t>
                  </m:r>
                </m:sup>
              </m:sSup>
            </m:oMath>
          </w:p>
        </w:tc>
      </w:tr>
      <w:tr>
        <w:tc>
          <w:tcPr/>
          <w:p>
            <w:pPr>
              <w:pStyle w:val="Compact"/>
              <w:jc w:val="left"/>
            </w:pPr>
            <w:r>
              <w:t xml:space="preserve">1,000 samples</w:t>
            </w:r>
          </w:p>
        </w:tc>
        <w:tc>
          <w:tcPr/>
          <w:p>
            <w:pPr>
              <w:pStyle w:val="Compact"/>
              <w:jc w:val="left"/>
            </w:pPr>
            <w:r>
              <w:t xml:space="preserve">512.3</w:t>
            </w:r>
          </w:p>
        </w:tc>
        <w:tc>
          <w:tcPr/>
          <w:p>
            <w:pPr>
              <w:pStyle w:val="Compact"/>
              <w:jc w:val="left"/>
            </w:pPr>
            <w:r>
              <w:t xml:space="preserve">1,234.5</w:t>
            </w:r>
          </w:p>
        </w:tc>
        <w:tc>
          <w:tcPr/>
          <w:p>
            <w:pPr>
              <w:pStyle w:val="Compact"/>
              <w:jc w:val="left"/>
            </w:pPr>
            <w:r>
              <w:t xml:space="preserve">1,456.7</w:t>
            </w:r>
          </w:p>
        </w:tc>
        <w:tc>
          <w:tcPr/>
          <w:p>
            <w:pPr>
              <w:pStyle w:val="Compact"/>
              <w:jc w:val="left"/>
            </w:pPr>
            <w:r>
              <w:t xml:space="preserve">0.967</w:t>
            </w:r>
          </w:p>
        </w:tc>
      </w:tr>
      <w:tr>
        <w:tc>
          <w:tcPr/>
          <w:p>
            <w:pPr>
              <w:pStyle w:val="Compact"/>
              <w:jc w:val="left"/>
            </w:pPr>
            <w:r>
              <w:t xml:space="preserve">5,000 samples</w:t>
            </w:r>
          </w:p>
        </w:tc>
        <w:tc>
          <w:tcPr/>
          <w:p>
            <w:pPr>
              <w:pStyle w:val="Compact"/>
              <w:jc w:val="left"/>
            </w:pPr>
            <w:r>
              <w:t xml:space="preserve">345.6</w:t>
            </w:r>
          </w:p>
        </w:tc>
        <w:tc>
          <w:tcPr/>
          <w:p>
            <w:pPr>
              <w:pStyle w:val="Compact"/>
              <w:jc w:val="left"/>
            </w:pPr>
            <w:r>
              <w:t xml:space="preserve">623.4</w:t>
            </w:r>
          </w:p>
        </w:tc>
        <w:tc>
          <w:tcPr/>
          <w:p>
            <w:pPr>
              <w:pStyle w:val="Compact"/>
              <w:jc w:val="left"/>
            </w:pPr>
            <w:r>
              <w:t xml:space="preserve">712.8</w:t>
            </w:r>
          </w:p>
        </w:tc>
        <w:tc>
          <w:tcPr/>
          <w:p>
            <w:pPr>
              <w:pStyle w:val="Compact"/>
              <w:jc w:val="left"/>
            </w:pPr>
            <w:r>
              <w:t xml:space="preserve">0.985</w:t>
            </w:r>
          </w:p>
        </w:tc>
      </w:tr>
      <w:tr>
        <w:tc>
          <w:tcPr/>
          <w:p>
            <w:pPr>
              <w:pStyle w:val="Compact"/>
              <w:jc w:val="left"/>
            </w:pPr>
            <w:r>
              <w:t xml:space="preserve">10,000 samples</w:t>
            </w:r>
          </w:p>
        </w:tc>
        <w:tc>
          <w:tcPr/>
          <w:p>
            <w:pPr>
              <w:pStyle w:val="Compact"/>
              <w:jc w:val="left"/>
            </w:pPr>
            <w:r>
              <w:t xml:space="preserve">298.4</w:t>
            </w:r>
          </w:p>
        </w:tc>
        <w:tc>
          <w:tcPr/>
          <w:p>
            <w:pPr>
              <w:pStyle w:val="Compact"/>
              <w:jc w:val="left"/>
            </w:pPr>
            <w:r>
              <w:t xml:space="preserve">456.7</w:t>
            </w:r>
          </w:p>
        </w:tc>
        <w:tc>
          <w:tcPr/>
          <w:p>
            <w:pPr>
              <w:pStyle w:val="Compact"/>
              <w:jc w:val="left"/>
            </w:pPr>
            <w:r>
              <w:t xml:space="preserve">523.4</w:t>
            </w:r>
          </w:p>
        </w:tc>
        <w:tc>
          <w:tcPr/>
          <w:p>
            <w:pPr>
              <w:pStyle w:val="Compact"/>
              <w:jc w:val="left"/>
            </w:pPr>
            <w:r>
              <w:t xml:space="preserve">0.989</w:t>
            </w:r>
          </w:p>
        </w:tc>
      </w:tr>
      <w:tr>
        <w:tc>
          <w:tcPr/>
          <w:p>
            <w:pPr>
              <w:pStyle w:val="Compact"/>
              <w:jc w:val="left"/>
            </w:pPr>
            <w:r>
              <w:t xml:space="preserve">15,000 samples</w:t>
            </w:r>
          </w:p>
        </w:tc>
        <w:tc>
          <w:tcPr/>
          <w:p>
            <w:pPr>
              <w:pStyle w:val="Compact"/>
              <w:jc w:val="left"/>
            </w:pPr>
            <w:r>
              <w:t xml:space="preserve">275.1</w:t>
            </w:r>
          </w:p>
        </w:tc>
        <w:tc>
          <w:tcPr/>
          <w:p>
            <w:pPr>
              <w:pStyle w:val="Compact"/>
              <w:jc w:val="left"/>
            </w:pPr>
            <w:r>
              <w:t xml:space="preserve">342.1</w:t>
            </w:r>
          </w:p>
        </w:tc>
        <w:tc>
          <w:tcPr/>
          <w:p>
            <w:pPr>
              <w:pStyle w:val="Compact"/>
              <w:jc w:val="left"/>
            </w:pPr>
            <w:r>
              <w:t xml:space="preserve">387.4</w:t>
            </w:r>
          </w:p>
        </w:tc>
        <w:tc>
          <w:tcPr/>
          <w:p>
            <w:pPr>
              <w:pStyle w:val="Compact"/>
              <w:jc w:val="left"/>
            </w:pPr>
            <w:r>
              <w:t xml:space="preserve">0.991</w:t>
            </w:r>
          </w:p>
        </w:tc>
      </w:tr>
      <w:tr>
        <w:tc>
          <w:tcPr/>
          <w:p>
            <w:pPr>
              <w:pStyle w:val="Compact"/>
              <w:jc w:val="left"/>
            </w:pPr>
            <w:r>
              <w:t xml:space="preserve">Full (17,377)</w:t>
            </w:r>
          </w:p>
        </w:tc>
        <w:tc>
          <w:tcPr/>
          <w:p>
            <w:pPr>
              <w:pStyle w:val="Compact"/>
              <w:jc w:val="left"/>
            </w:pPr>
            <w:r>
              <w:t xml:space="preserve">271.2</w:t>
            </w:r>
          </w:p>
        </w:tc>
        <w:tc>
          <w:tcPr/>
          <w:p>
            <w:pPr>
              <w:pStyle w:val="Compact"/>
              <w:jc w:val="left"/>
            </w:pPr>
            <w:r>
              <w:t xml:space="preserve">312.5</w:t>
            </w:r>
          </w:p>
        </w:tc>
        <w:tc>
          <w:tcPr/>
          <w:p>
            <w:pPr>
              <w:pStyle w:val="Compact"/>
              <w:jc w:val="left"/>
            </w:pPr>
            <w:r>
              <w:t xml:space="preserve">356.2</w:t>
            </w:r>
          </w:p>
        </w:tc>
        <w:tc>
          <w:tcPr/>
          <w:p>
            <w:pPr>
              <w:pStyle w:val="Compact"/>
              <w:jc w:val="left"/>
            </w:pPr>
            <w:r>
              <w:t xml:space="preserve">0.999</w:t>
            </w:r>
          </w:p>
        </w:tc>
      </w:tr>
    </w:tbl>
    <w:bookmarkEnd w:id="53"/>
    <w:p>
      <w:pPr>
        <w:pStyle w:val="BodyText"/>
      </w:pPr>
      <w:r>
        <w:t xml:space="preserve">GBM achieves 96.7%</w:t>
      </w:r>
      <w:r>
        <w:t xml:space="preserve"> </w:t>
      </w:r>
      <m:oMath>
        <m:sSup>
          <m:e>
            <m:r>
              <m:t>R</m:t>
            </m:r>
          </m:e>
          <m:sup>
            <m:r>
              <m:t>2</m:t>
            </m:r>
          </m:sup>
        </m:sSup>
      </m:oMath>
      <w:r>
        <w:t xml:space="preserve"> </w:t>
      </w:r>
      <w:r>
        <w:t xml:space="preserve">with only 1,000 samples; deep learning requires more than 15K for competitive performance.</w:t>
      </w:r>
    </w:p>
    <w:bookmarkEnd w:id="54"/>
    <w:bookmarkStart w:id="56" w:name="optimization-component-ablation"/>
    <w:p>
      <w:pPr>
        <w:pStyle w:val="Heading3"/>
      </w:pPr>
      <w:r>
        <w:t xml:space="preserve">Optimization Component Ablation</w:t>
      </w:r>
    </w:p>
    <w:bookmarkStart w:id="55" w:name="tab:11"/>
    <w:p>
      <w:pPr>
        <w:pStyle w:val="TableCaption"/>
      </w:pPr>
      <w:r>
        <w:t xml:space="preserve">Optimization Ablation Study (5 runs each, Germany)</w:t>
      </w:r>
    </w:p>
    <w:tbl>
      <w:tblPr>
        <w:tblStyle w:val="Table"/>
        <w:tblW w:type="auto" w:w="0"/>
        <w:tblLook w:firstRow="1" w:lastRow="0" w:firstColumn="0" w:lastColumn="0" w:noHBand="0" w:noVBand="0" w:val="0020"/>
        <w:tblCaption w:val="Optimization Ablation Study (5 runs each, Germany)"/>
      </w:tblPr>
      <w:tblGrid>
        <w:gridCol w:w="1584"/>
        <w:gridCol w:w="1584"/>
        <w:gridCol w:w="1584"/>
        <w:gridCol w:w="1584"/>
        <w:gridCol w:w="1584"/>
      </w:tblGrid>
      <w:tr>
        <w:trPr>
          <w:tblHeader w:val="on"/>
        </w:trPr>
        <w:tc>
          <w:tcPr/>
          <w:p>
            <w:pPr>
              <w:pStyle w:val="Compact"/>
              <w:jc w:val="left"/>
            </w:pPr>
            <w:r>
              <w:t xml:space="preserve">Configuration</w:t>
            </w:r>
          </w:p>
        </w:tc>
        <w:tc>
          <w:tcPr/>
          <w:p>
            <w:pPr>
              <w:pStyle w:val="Compact"/>
              <w:jc w:val="left"/>
            </w:pPr>
            <w:r>
              <w:t xml:space="preserve">Mean Cost</w:t>
            </w:r>
          </w:p>
        </w:tc>
        <w:tc>
          <w:tcPr/>
          <w:p>
            <w:pPr>
              <w:pStyle w:val="Compact"/>
              <w:jc w:val="left"/>
            </w:pPr>
            <w:r>
              <w:t xml:space="preserve">95% CI</w:t>
            </w:r>
          </w:p>
        </w:tc>
        <w:tc>
          <w:tcPr/>
          <w:p>
            <w:pPr>
              <w:pStyle w:val="Compact"/>
              <w:jc w:val="left"/>
            </w:pPr>
            <w:r>
              <w:t xml:space="preserve">Carbon (kg)</w:t>
            </w:r>
          </w:p>
        </w:tc>
        <w:tc>
          <w:tcPr/>
          <w:p>
            <w:pPr>
              <w:pStyle w:val="Compact"/>
              <w:jc w:val="left"/>
            </w:pPr>
            <w:r>
              <w:t xml:space="preserve">p-value</w:t>
            </w:r>
          </w:p>
        </w:tc>
      </w:tr>
      <w:tr>
        <w:tc>
          <w:tcPr/>
          <w:p>
            <w:pPr>
              <w:pStyle w:val="Compact"/>
              <w:jc w:val="left"/>
            </w:pPr>
            <w:r>
              <w:t xml:space="preserve">Full System</w:t>
            </w:r>
          </w:p>
        </w:tc>
        <w:tc>
          <w:tcPr/>
          <w:p>
            <w:pPr>
              <w:pStyle w:val="Compact"/>
              <w:jc w:val="left"/>
            </w:pPr>
            <w:r>
              <w:t xml:space="preserve">€428.21M</w:t>
            </w:r>
          </w:p>
        </w:tc>
        <w:tc>
          <w:tcPr/>
          <w:p>
            <w:pPr>
              <w:pStyle w:val="Compact"/>
              <w:jc w:val="left"/>
            </w:pPr>
            <w:r>
              <w:t xml:space="preserve">[428.0, 428.4]</w:t>
            </w:r>
          </w:p>
        </w:tc>
        <w:tc>
          <w:tcPr/>
          <w:p>
            <w:pPr>
              <w:pStyle w:val="Compact"/>
              <w:jc w:val="left"/>
            </w:pPr>
            <w:r>
              <w:t xml:space="preserve">2,731.9M</w:t>
            </w:r>
          </w:p>
        </w:tc>
        <w:tc>
          <w:tcPr/>
          <w:p>
            <w:pPr>
              <w:pStyle w:val="Compact"/>
              <w:jc w:val="left"/>
            </w:pPr>
            <w:r>
              <w:t xml:space="preserve">–</w:t>
            </w:r>
          </w:p>
        </w:tc>
      </w:tr>
      <w:tr>
        <w:tc>
          <w:tcPr/>
          <w:p>
            <w:pPr>
              <w:pStyle w:val="Compact"/>
              <w:jc w:val="left"/>
            </w:pPr>
            <w:r>
              <w:t xml:space="preserve">No Uncertainty</w:t>
            </w:r>
          </w:p>
        </w:tc>
        <w:tc>
          <w:tcPr/>
          <w:p>
            <w:pPr>
              <w:pStyle w:val="Compact"/>
              <w:jc w:val="left"/>
            </w:pPr>
            <w:r>
              <w:t xml:space="preserve">€428.21M</w:t>
            </w:r>
          </w:p>
        </w:tc>
        <w:tc>
          <w:tcPr/>
          <w:p>
            <w:pPr>
              <w:pStyle w:val="Compact"/>
              <w:jc w:val="left"/>
            </w:pPr>
            <w:r>
              <w:t xml:space="preserve">[428.0, 428.4]</w:t>
            </w:r>
          </w:p>
        </w:tc>
        <w:tc>
          <w:tcPr/>
          <w:p>
            <w:pPr>
              <w:pStyle w:val="Compact"/>
              <w:jc w:val="left"/>
            </w:pPr>
            <w:r>
              <w:t xml:space="preserve">2,731.9M</w:t>
            </w:r>
          </w:p>
        </w:tc>
        <w:tc>
          <w:tcPr/>
          <w:p>
            <w:pPr>
              <w:pStyle w:val="Compact"/>
              <w:jc w:val="left"/>
            </w:pPr>
            <w:r>
              <w:t xml:space="preserve">1.000</w:t>
            </w:r>
          </w:p>
        </w:tc>
      </w:tr>
      <w:tr>
        <w:tc>
          <w:tcPr/>
          <w:p>
            <w:pPr>
              <w:pStyle w:val="Compact"/>
              <w:jc w:val="left"/>
            </w:pPr>
            <w:r>
              <w:t xml:space="preserve">No Carbon Penalty</w:t>
            </w:r>
          </w:p>
        </w:tc>
        <w:tc>
          <w:tcPr/>
          <w:p>
            <w:pPr>
              <w:pStyle w:val="Compact"/>
              <w:jc w:val="left"/>
            </w:pPr>
            <w:r>
              <w:t xml:space="preserve">€377.84M</w:t>
            </w:r>
          </w:p>
        </w:tc>
        <w:tc>
          <w:tcPr/>
          <w:p>
            <w:pPr>
              <w:pStyle w:val="Compact"/>
              <w:jc w:val="left"/>
            </w:pPr>
            <w:r>
              <w:t xml:space="preserve">[377.6, 378.1]</w:t>
            </w:r>
          </w:p>
        </w:tc>
        <w:tc>
          <w:tcPr/>
          <w:p>
            <w:pPr>
              <w:pStyle w:val="Compact"/>
              <w:jc w:val="left"/>
            </w:pPr>
            <w:r>
              <w:t xml:space="preserve">2,748.2M</w:t>
            </w:r>
          </w:p>
        </w:tc>
        <w:tc>
          <w:tcPr/>
          <w:p>
            <w:pPr>
              <w:pStyle w:val="Compact"/>
              <w:jc w:val="left"/>
            </w:pPr>
            <w:r>
              <w:t xml:space="preserve">0.062</w:t>
            </w:r>
          </w:p>
        </w:tc>
      </w:tr>
      <w:tr>
        <w:tc>
          <w:tcPr/>
          <w:p>
            <w:pPr>
              <w:pStyle w:val="Compact"/>
              <w:jc w:val="left"/>
            </w:pPr>
            <w:r>
              <w:t xml:space="preserve">No Battery</w:t>
            </w:r>
          </w:p>
        </w:tc>
        <w:tc>
          <w:tcPr/>
          <w:p>
            <w:pPr>
              <w:pStyle w:val="Compact"/>
              <w:jc w:val="left"/>
            </w:pPr>
            <w:r>
              <w:t xml:space="preserve">€445.67M</w:t>
            </w:r>
          </w:p>
        </w:tc>
        <w:tc>
          <w:tcPr/>
          <w:p>
            <w:pPr>
              <w:pStyle w:val="Compact"/>
              <w:jc w:val="left"/>
            </w:pPr>
            <w:r>
              <w:t xml:space="preserve">[445.4, 445.9]</w:t>
            </w:r>
          </w:p>
        </w:tc>
        <w:tc>
          <w:tcPr/>
          <w:p>
            <w:pPr>
              <w:pStyle w:val="Compact"/>
              <w:jc w:val="left"/>
            </w:pPr>
            <w:r>
              <w:t xml:space="preserve">2,812.4M</w:t>
            </w:r>
          </w:p>
        </w:tc>
        <w:tc>
          <w:tcPr/>
          <w:p>
            <w:pPr>
              <w:pStyle w:val="Compact"/>
              <w:jc w:val="left"/>
            </w:pPr>
            <w:r>
              <w:t xml:space="preserve">&lt;0.001***</w:t>
            </w:r>
          </w:p>
        </w:tc>
      </w:tr>
      <w:tr>
        <w:tc>
          <w:tcPr/>
          <w:p>
            <w:pPr>
              <w:pStyle w:val="Compact"/>
              <w:jc w:val="left"/>
            </w:pPr>
            <w:r>
              <w:t xml:space="preserve">Persistence Forecast</w:t>
            </w:r>
          </w:p>
        </w:tc>
        <w:tc>
          <w:tcPr/>
          <w:p>
            <w:pPr>
              <w:pStyle w:val="Compact"/>
              <w:jc w:val="left"/>
            </w:pPr>
            <w:r>
              <w:t xml:space="preserve">€498.32M</w:t>
            </w:r>
          </w:p>
        </w:tc>
        <w:tc>
          <w:tcPr/>
          <w:p>
            <w:pPr>
              <w:pStyle w:val="Compact"/>
              <w:jc w:val="left"/>
            </w:pPr>
            <w:r>
              <w:t xml:space="preserve">[497.8, 498.8]</w:t>
            </w:r>
          </w:p>
        </w:tc>
        <w:tc>
          <w:tcPr/>
          <w:p>
            <w:pPr>
              <w:pStyle w:val="Compact"/>
              <w:jc w:val="left"/>
            </w:pPr>
            <w:r>
              <w:t xml:space="preserve">2,894.6M</w:t>
            </w:r>
          </w:p>
        </w:tc>
        <w:tc>
          <w:tcPr/>
          <w:p>
            <w:pPr>
              <w:pStyle w:val="Compact"/>
              <w:jc w:val="left"/>
            </w:pPr>
            <w:r>
              <w:t xml:space="preserve">&lt;0.001***</w:t>
            </w:r>
          </w:p>
        </w:tc>
      </w:tr>
    </w:tbl>
    <w:bookmarkEnd w:id="55"/>
    <w:p>
      <w:pPr>
        <w:pStyle w:val="BodyText"/>
      </w:pPr>
      <w:r>
        <w:t xml:space="preserve">Statistical significance: ***</w:t>
      </w:r>
      <w:r>
        <w:t xml:space="preserve"> </w:t>
      </w:r>
      <m:oMath>
        <m:r>
          <m:t>p</m:t>
        </m:r>
        <m:r>
          <m:rPr>
            <m:sty m:val="p"/>
          </m:rPr>
          <m:t>&lt;</m:t>
        </m:r>
        <m:r>
          <m:t>0.001</m:t>
        </m:r>
      </m:oMath>
      <w:r>
        <w:t xml:space="preserve">; *</w:t>
      </w:r>
      <w:r>
        <w:t xml:space="preserve"> </w:t>
      </w:r>
      <m:oMath>
        <m:r>
          <m:t>p</m:t>
        </m:r>
        <m:r>
          <m:rPr>
            <m:sty m:val="p"/>
          </m:rPr>
          <m:t>&lt;</m:t>
        </m:r>
        <m:r>
          <m:t>0.05</m:t>
        </m:r>
      </m:oMath>
      <w:r>
        <w:t xml:space="preserve">.</w:t>
      </w:r>
    </w:p>
    <w:p>
      <w:pPr>
        <w:pStyle w:val="BodyText"/>
      </w:pPr>
      <w:r>
        <w:rPr>
          <w:b/>
          <w:bCs/>
        </w:rPr>
        <w:t xml:space="preserve">Key Insights</w:t>
      </w:r>
      <w:r>
        <w:t xml:space="preserve">:</w:t>
      </w:r>
    </w:p>
    <w:p>
      <w:pPr>
        <w:numPr>
          <w:ilvl w:val="0"/>
          <w:numId w:val="1015"/>
        </w:numPr>
      </w:pPr>
      <w:r>
        <w:t xml:space="preserve">Battery storage provides €17.5M savings vs no-battery baseline.</w:t>
      </w:r>
    </w:p>
    <w:p>
      <w:pPr>
        <w:numPr>
          <w:ilvl w:val="0"/>
          <w:numId w:val="1015"/>
        </w:numPr>
      </w:pPr>
      <w:r>
        <w:t xml:space="preserve">ML forecasting saves €70M vs persistence-based dispatch.</w:t>
      </w:r>
    </w:p>
    <w:p>
      <w:pPr>
        <w:numPr>
          <w:ilvl w:val="0"/>
          <w:numId w:val="1015"/>
        </w:numPr>
      </w:pPr>
      <w:r>
        <w:t xml:space="preserve">Carbon penalty shows marginal significance (</w:t>
      </w:r>
      <m:oMath>
        <m:r>
          <m:t>p</m:t>
        </m:r>
        <m:r>
          <m:rPr>
            <m:sty m:val="p"/>
          </m:rPr>
          <m:t>=</m:t>
        </m:r>
        <m:r>
          <m:t>0.062</m:t>
        </m:r>
      </m:oMath>
      <w:r>
        <w:t xml:space="preserve">), suggesting carbon pricing needs to increase for stronger economic signal.</w:t>
      </w:r>
    </w:p>
    <w:bookmarkEnd w:id="56"/>
    <w:bookmarkStart w:id="58" w:name="model-architecture-ablation"/>
    <w:p>
      <w:pPr>
        <w:pStyle w:val="Heading3"/>
      </w:pPr>
      <w:r>
        <w:t xml:space="preserve">Model Architecture Ablation</w:t>
      </w:r>
    </w:p>
    <w:bookmarkStart w:id="57" w:name="tab:12"/>
    <w:p>
      <w:pPr>
        <w:pStyle w:val="TableCaption"/>
      </w:pPr>
      <w:r>
        <w:t xml:space="preserve">LSTM Architecture Ablation</w:t>
      </w:r>
    </w:p>
    <w:tbl>
      <w:tblPr>
        <w:tblStyle w:val="Table"/>
        <w:tblW w:type="auto" w:w="0"/>
        <w:tblLook w:firstRow="1" w:lastRow="0" w:firstColumn="0" w:lastColumn="0" w:noHBand="0" w:noVBand="0" w:val="0020"/>
        <w:tblCaption w:val="LSTM Architecture Ablation"/>
      </w:tblPr>
      <w:tblGrid>
        <w:gridCol w:w="1584"/>
        <w:gridCol w:w="1584"/>
        <w:gridCol w:w="1584"/>
        <w:gridCol w:w="1584"/>
        <w:gridCol w:w="1584"/>
      </w:tblGrid>
      <w:tr>
        <w:trPr>
          <w:tblHeader w:val="on"/>
        </w:trPr>
        <w:tc>
          <w:tcPr/>
          <w:p>
            <w:pPr>
              <w:pStyle w:val="Compact"/>
              <w:jc w:val="left"/>
            </w:pPr>
            <w:r>
              <w:t xml:space="preserve">LSTM Variant</w:t>
            </w:r>
          </w:p>
        </w:tc>
        <w:tc>
          <w:tcPr/>
          <w:p>
            <w:pPr>
              <w:pStyle w:val="Compact"/>
              <w:jc w:val="left"/>
            </w:pPr>
            <w:r>
              <w:t xml:space="preserve">Hidden Size</w:t>
            </w:r>
          </w:p>
        </w:tc>
        <w:tc>
          <w:tcPr/>
          <w:p>
            <w:pPr>
              <w:pStyle w:val="Compact"/>
              <w:jc w:val="left"/>
            </w:pPr>
            <w:r>
              <w:t xml:space="preserve">Layers</w:t>
            </w:r>
          </w:p>
        </w:tc>
        <w:tc>
          <w:tcPr/>
          <w:p>
            <w:pPr>
              <w:pStyle w:val="Compact"/>
              <w:jc w:val="left"/>
            </w:pPr>
            <w:r>
              <w:t xml:space="preserve">RMSE</w:t>
            </w:r>
          </w:p>
        </w:tc>
        <w:tc>
          <w:tcPr/>
          <w:p>
            <w:pPr>
              <w:pStyle w:val="Compact"/>
              <w:jc w:val="left"/>
            </w:pPr>
            <w:r>
              <w:t xml:space="preserve">Training Time</w:t>
            </w:r>
          </w:p>
        </w:tc>
      </w:tr>
      <w:tr>
        <w:tc>
          <w:tcPr/>
          <w:p>
            <w:pPr>
              <w:pStyle w:val="Compact"/>
              <w:jc w:val="left"/>
            </w:pPr>
            <w:r>
              <w:t xml:space="preserve">Small</w:t>
            </w:r>
          </w:p>
        </w:tc>
        <w:tc>
          <w:tcPr/>
          <w:p>
            <w:pPr>
              <w:pStyle w:val="Compact"/>
              <w:jc w:val="left"/>
            </w:pPr>
            <w:r>
              <w:t xml:space="preserve">32</w:t>
            </w:r>
          </w:p>
        </w:tc>
        <w:tc>
          <w:tcPr/>
          <w:p>
            <w:pPr>
              <w:pStyle w:val="Compact"/>
              <w:jc w:val="left"/>
            </w:pPr>
            <w:r>
              <w:t xml:space="preserve">1</w:t>
            </w:r>
          </w:p>
        </w:tc>
        <w:tc>
          <w:tcPr/>
          <w:p>
            <w:pPr>
              <w:pStyle w:val="Compact"/>
              <w:jc w:val="left"/>
            </w:pPr>
            <w:r>
              <w:t xml:space="preserve">456.2</w:t>
            </w:r>
          </w:p>
        </w:tc>
        <w:tc>
          <w:tcPr/>
          <w:p>
            <w:pPr>
              <w:pStyle w:val="Compact"/>
              <w:jc w:val="left"/>
            </w:pPr>
            <w:r>
              <w:t xml:space="preserve">2.1 min</w:t>
            </w:r>
          </w:p>
        </w:tc>
      </w:tr>
      <w:tr>
        <w:tc>
          <w:tcPr/>
          <w:p>
            <w:pPr>
              <w:pStyle w:val="Compact"/>
              <w:jc w:val="left"/>
            </w:pPr>
            <w:r>
              <w:t xml:space="preserve">Medium</w:t>
            </w:r>
          </w:p>
        </w:tc>
        <w:tc>
          <w:tcPr/>
          <w:p>
            <w:pPr>
              <w:pStyle w:val="Compact"/>
              <w:jc w:val="left"/>
            </w:pPr>
            <w:r>
              <w:t xml:space="preserve">64</w:t>
            </w:r>
          </w:p>
        </w:tc>
        <w:tc>
          <w:tcPr/>
          <w:p>
            <w:pPr>
              <w:pStyle w:val="Compact"/>
              <w:jc w:val="left"/>
            </w:pPr>
            <w:r>
              <w:t xml:space="preserve">2</w:t>
            </w:r>
          </w:p>
        </w:tc>
        <w:tc>
          <w:tcPr/>
          <w:p>
            <w:pPr>
              <w:pStyle w:val="Compact"/>
              <w:jc w:val="left"/>
            </w:pPr>
            <w:r>
              <w:t xml:space="preserve">312.5</w:t>
            </w:r>
          </w:p>
        </w:tc>
        <w:tc>
          <w:tcPr/>
          <w:p>
            <w:pPr>
              <w:pStyle w:val="Compact"/>
              <w:jc w:val="left"/>
            </w:pPr>
            <w:r>
              <w:t xml:space="preserve">8.4 min</w:t>
            </w:r>
          </w:p>
        </w:tc>
      </w:tr>
      <w:tr>
        <w:tc>
          <w:tcPr/>
          <w:p>
            <w:pPr>
              <w:pStyle w:val="Compact"/>
              <w:jc w:val="left"/>
            </w:pPr>
            <w:r>
              <w:t xml:space="preserve">Large</w:t>
            </w:r>
          </w:p>
        </w:tc>
        <w:tc>
          <w:tcPr/>
          <w:p>
            <w:pPr>
              <w:pStyle w:val="Compact"/>
              <w:jc w:val="left"/>
            </w:pPr>
            <w:r>
              <w:t xml:space="preserve">128</w:t>
            </w:r>
          </w:p>
        </w:tc>
        <w:tc>
          <w:tcPr/>
          <w:p>
            <w:pPr>
              <w:pStyle w:val="Compact"/>
              <w:jc w:val="left"/>
            </w:pPr>
            <w:r>
              <w:t xml:space="preserve">3</w:t>
            </w:r>
          </w:p>
        </w:tc>
        <w:tc>
          <w:tcPr/>
          <w:p>
            <w:pPr>
              <w:pStyle w:val="Compact"/>
              <w:jc w:val="left"/>
            </w:pPr>
            <w:r>
              <w:t xml:space="preserve">298.7</w:t>
            </w:r>
          </w:p>
        </w:tc>
        <w:tc>
          <w:tcPr/>
          <w:p>
            <w:pPr>
              <w:pStyle w:val="Compact"/>
              <w:jc w:val="left"/>
            </w:pPr>
            <w:r>
              <w:t xml:space="preserve">18.2 min</w:t>
            </w:r>
          </w:p>
        </w:tc>
      </w:tr>
      <w:tr>
        <w:tc>
          <w:tcPr/>
          <w:p>
            <w:pPr>
              <w:pStyle w:val="Compact"/>
              <w:jc w:val="left"/>
            </w:pPr>
            <w:r>
              <w:t xml:space="preserve">Very Large</w:t>
            </w:r>
          </w:p>
        </w:tc>
        <w:tc>
          <w:tcPr/>
          <w:p>
            <w:pPr>
              <w:pStyle w:val="Compact"/>
              <w:jc w:val="left"/>
            </w:pPr>
            <w:r>
              <w:t xml:space="preserve">256</w:t>
            </w:r>
          </w:p>
        </w:tc>
        <w:tc>
          <w:tcPr/>
          <w:p>
            <w:pPr>
              <w:pStyle w:val="Compact"/>
              <w:jc w:val="left"/>
            </w:pPr>
            <w:r>
              <w:t xml:space="preserve">4</w:t>
            </w:r>
          </w:p>
        </w:tc>
        <w:tc>
          <w:tcPr/>
          <w:p>
            <w:pPr>
              <w:pStyle w:val="Compact"/>
              <w:jc w:val="left"/>
            </w:pPr>
            <w:r>
              <w:t xml:space="preserve">301.2</w:t>
            </w:r>
          </w:p>
        </w:tc>
        <w:tc>
          <w:tcPr/>
          <w:p>
            <w:pPr>
              <w:pStyle w:val="Compact"/>
              <w:jc w:val="left"/>
            </w:pPr>
            <w:r>
              <w:t xml:space="preserve">42.1 min</w:t>
            </w:r>
          </w:p>
        </w:tc>
      </w:tr>
    </w:tbl>
    <w:bookmarkEnd w:id="57"/>
    <w:p>
      <w:pPr>
        <w:pStyle w:val="BodyText"/>
      </w:pPr>
      <w:r>
        <w:t xml:space="preserve">Optimal architecture is</w:t>
      </w:r>
      <w:r>
        <w:t xml:space="preserve"> </w:t>
      </w:r>
      <w:r>
        <w:t xml:space="preserve">“Large”</w:t>
      </w:r>
      <w:r>
        <w:t xml:space="preserve"> </w:t>
      </w:r>
      <w:r>
        <w:t xml:space="preserve">(128 hidden, 3 layers); beyond this, overfitting occurs.</w:t>
      </w:r>
    </w:p>
    <w:bookmarkEnd w:id="58"/>
    <w:bookmarkEnd w:id="59"/>
    <w:bookmarkEnd w:id="60"/>
    <w:bookmarkStart w:id="64" w:name="system-architecture"/>
    <w:p>
      <w:pPr>
        <w:pStyle w:val="Heading1"/>
      </w:pPr>
      <w:r>
        <w:t xml:space="preserve">System Architecture</w:t>
      </w:r>
    </w:p>
    <w:bookmarkStart w:id="61" w:name="training-pipeline"/>
    <w:p>
      <w:pPr>
        <w:pStyle w:val="Heading2"/>
      </w:pPr>
      <w:r>
        <w:t xml:space="preserve">Training Pipeline</w:t>
      </w:r>
    </w:p>
    <w:p>
      <w:pPr>
        <w:pStyle w:val="SourceCode"/>
      </w:pPr>
      <w:r>
        <w:rPr>
          <w:rStyle w:val="VerbatimChar"/>
        </w:rPr>
        <w:t xml:space="preserve">+-------------+    +----------------+    +-------------+</w:t>
      </w:r>
      <w:r>
        <w:br/>
      </w:r>
      <w:r>
        <w:rPr>
          <w:rStyle w:val="VerbatimChar"/>
        </w:rPr>
        <w:t xml:space="preserve">| Raw Data    | --&gt;| Feature Eng.   | --&gt;| Train/Val   |</w:t>
      </w:r>
      <w:r>
        <w:br/>
      </w:r>
      <w:r>
        <w:rPr>
          <w:rStyle w:val="VerbatimChar"/>
        </w:rPr>
        <w:t xml:space="preserve">| (OPSD/EIA)  |    | Pipeline       |    | Split       |</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v</w:t>
      </w:r>
      <w:r>
        <w:br/>
      </w:r>
      <w:r>
        <w:rPr>
          <w:rStyle w:val="VerbatimChar"/>
        </w:rPr>
        <w:t xml:space="preserve">+-------------+    +----------------+    +-------------+</w:t>
      </w:r>
      <w:r>
        <w:br/>
      </w:r>
      <w:r>
        <w:rPr>
          <w:rStyle w:val="VerbatimChar"/>
        </w:rPr>
        <w:t xml:space="preserve">| GBM/LSTM/   | --&gt;| Conformal      | --&gt;| Model       |</w:t>
      </w:r>
      <w:r>
        <w:br/>
      </w:r>
      <w:r>
        <w:rPr>
          <w:rStyle w:val="VerbatimChar"/>
        </w:rPr>
        <w:t xml:space="preserve">| TCN Training|    | Calibration    |    | Registry    |</w:t>
      </w:r>
      <w:r>
        <w:br/>
      </w:r>
      <w:r>
        <w:rPr>
          <w:rStyle w:val="VerbatimChar"/>
        </w:rPr>
        <w:t xml:space="preserve">+-------------+    +----------------+    +-------------+</w:t>
      </w:r>
    </w:p>
    <w:bookmarkEnd w:id="61"/>
    <w:bookmarkStart w:id="62" w:name="inference-pipeline"/>
    <w:p>
      <w:pPr>
        <w:pStyle w:val="Heading2"/>
      </w:pPr>
      <w:r>
        <w:t xml:space="preserve">Inference Pipeline</w:t>
      </w:r>
    </w:p>
    <w:p>
      <w:pPr>
        <w:pStyle w:val="SourceCode"/>
      </w:pPr>
      <w:r>
        <w:rPr>
          <w:rStyle w:val="VerbatimChar"/>
        </w:rPr>
        <w:t xml:space="preserve">+-------------+    +----------------+    +-------------+</w:t>
      </w:r>
      <w:r>
        <w:br/>
      </w:r>
      <w:r>
        <w:rPr>
          <w:rStyle w:val="VerbatimChar"/>
        </w:rPr>
        <w:t xml:space="preserve">| Live Data   | --&gt;| Forecast       | --&gt;| Dispatch    |</w:t>
      </w:r>
      <w:r>
        <w:br/>
      </w:r>
      <w:r>
        <w:rPr>
          <w:rStyle w:val="VerbatimChar"/>
        </w:rPr>
        <w:t xml:space="preserve">| Ingestion   |    | Generation     |    | Optimization|</w:t>
      </w:r>
      <w:r>
        <w:br/>
      </w:r>
      <w:r>
        <w:rPr>
          <w:rStyle w:val="VerbatimChar"/>
        </w:rPr>
        <w:t xml:space="preserve">+-------------+    +----------------+    +-------------+</w:t>
      </w:r>
      <w:r>
        <w:br/>
      </w:r>
      <w:r>
        <w:rPr>
          <w:rStyle w:val="VerbatimChar"/>
        </w:rPr>
        <w:t xml:space="preserve">      |                 |                    |</w:t>
      </w:r>
      <w:r>
        <w:br/>
      </w:r>
      <w:r>
        <w:rPr>
          <w:rStyle w:val="VerbatimChar"/>
        </w:rPr>
        <w:t xml:space="preserve">      v                 v                    v</w:t>
      </w:r>
      <w:r>
        <w:br/>
      </w:r>
      <w:r>
        <w:rPr>
          <w:rStyle w:val="VerbatimChar"/>
        </w:rPr>
        <w:t xml:space="preserve">+-------------+    +----------------+    +-------------+</w:t>
      </w:r>
      <w:r>
        <w:br/>
      </w:r>
      <w:r>
        <w:rPr>
          <w:rStyle w:val="VerbatimChar"/>
        </w:rPr>
        <w:t xml:space="preserve">| Drift       |    | Uncertainty    |    | Battery     |</w:t>
      </w:r>
      <w:r>
        <w:br/>
      </w:r>
      <w:r>
        <w:rPr>
          <w:rStyle w:val="VerbatimChar"/>
        </w:rPr>
        <w:t xml:space="preserve">| Monitoring  |    | Intervals      |    | Schedule    |</w:t>
      </w:r>
      <w:r>
        <w:br/>
      </w:r>
      <w:r>
        <w:rPr>
          <w:rStyle w:val="VerbatimChar"/>
        </w:rPr>
        <w:t xml:space="preserve">+-------------+    +----------------+    +-------------+</w:t>
      </w:r>
    </w:p>
    <w:bookmarkEnd w:id="62"/>
    <w:bookmarkStart w:id="63" w:name="deployment"/>
    <w:p>
      <w:pPr>
        <w:pStyle w:val="Heading2"/>
      </w:pPr>
      <w:r>
        <w:t xml:space="preserve">Deployment</w:t>
      </w:r>
    </w:p>
    <w:p>
      <w:pPr>
        <w:pStyle w:val="FirstParagraph"/>
      </w:pPr>
      <w:r>
        <w:t xml:space="preserve">The system is deployed with:</w:t>
      </w:r>
    </w:p>
    <w:p>
      <w:pPr>
        <w:numPr>
          <w:ilvl w:val="0"/>
          <w:numId w:val="1016"/>
        </w:numPr>
      </w:pPr>
      <w:r>
        <w:rPr>
          <w:b/>
          <w:bCs/>
        </w:rPr>
        <w:t xml:space="preserve">API Service</w:t>
      </w:r>
      <w:r>
        <w:t xml:space="preserve">: FastAPI with health/readiness probes</w:t>
      </w:r>
    </w:p>
    <w:p>
      <w:pPr>
        <w:numPr>
          <w:ilvl w:val="0"/>
          <w:numId w:val="1016"/>
        </w:numPr>
      </w:pPr>
      <w:r>
        <w:rPr>
          <w:b/>
          <w:bCs/>
        </w:rPr>
        <w:t xml:space="preserve">Dashboard</w:t>
      </w:r>
      <w:r>
        <w:t xml:space="preserve">: Next.js with real-time visualization</w:t>
      </w:r>
    </w:p>
    <w:p>
      <w:pPr>
        <w:numPr>
          <w:ilvl w:val="0"/>
          <w:numId w:val="1016"/>
        </w:numPr>
      </w:pPr>
      <w:r>
        <w:rPr>
          <w:b/>
          <w:bCs/>
        </w:rPr>
        <w:t xml:space="preserve">Monitoring</w:t>
      </w:r>
      <w:r>
        <w:t xml:space="preserve">: Drift detection with KS-test (</w:t>
      </w:r>
      <m:oMath>
        <m:r>
          <m:t>p</m:t>
        </m:r>
        <m:r>
          <m:rPr>
            <m:sty m:val="p"/>
          </m:rPr>
          <m:t>&lt;</m:t>
        </m:r>
        <m:r>
          <m:t>0.05</m:t>
        </m:r>
      </m:oMath>
      <w:r>
        <w:t xml:space="preserve"> </w:t>
      </w:r>
      <w:r>
        <w:t xml:space="preserve">threshold)</w:t>
      </w:r>
    </w:p>
    <w:p>
      <w:pPr>
        <w:numPr>
          <w:ilvl w:val="0"/>
          <w:numId w:val="1016"/>
        </w:numPr>
      </w:pPr>
      <w:r>
        <w:rPr>
          <w:b/>
          <w:bCs/>
        </w:rPr>
        <w:t xml:space="preserve">Retraining</w:t>
      </w:r>
      <w:r>
        <w:t xml:space="preserve">: Automated triggers on drift detection</w:t>
      </w:r>
    </w:p>
    <w:bookmarkEnd w:id="63"/>
    <w:bookmarkEnd w:id="64"/>
    <w:bookmarkStart w:id="74" w:name="discussion"/>
    <w:p>
      <w:pPr>
        <w:pStyle w:val="Heading1"/>
      </w:pPr>
      <w:r>
        <w:t xml:space="preserve">Discussion</w:t>
      </w:r>
    </w:p>
    <w:bookmarkStart w:id="66" w:name="model-selection-why-gbm-dominates"/>
    <w:p>
      <w:pPr>
        <w:pStyle w:val="Heading2"/>
      </w:pPr>
      <w:r>
        <w:t xml:space="preserve">Model Selection: Why GBM Dominates</w:t>
      </w:r>
    </w:p>
    <w:p>
      <w:pPr>
        <w:pStyle w:val="FirstParagraph"/>
      </w:pPr>
      <w:r>
        <w:t xml:space="preserve">Our experiments reveal GBM consistently outperforms LSTM and TCN across both datasets. We identify three primary factors explaining this performance gap:</w:t>
      </w:r>
    </w:p>
    <w:p>
      <w:pPr>
        <w:pStyle w:val="BodyText"/>
      </w:pPr>
      <w:r>
        <w:rPr>
          <w:b/>
          <w:bCs/>
        </w:rPr>
        <w:t xml:space="preserve">Factor 1: Feature Engineering Effectiveness</w:t>
      </w:r>
      <w:r>
        <w:t xml:space="preserve">. Our 93 engineered features capture domain-specific patterns (hourly profiles, weekly seasonality, holiday effects) that GBM exploits efficiently. Deep learning models must learn these representations from raw data, requiring more samples than available in our 17,377-observation German dataset.</w:t>
      </w:r>
    </w:p>
    <w:p>
      <w:pPr>
        <w:pStyle w:val="BodyText"/>
      </w:pPr>
      <w:r>
        <w:rPr>
          <w:b/>
          <w:bCs/>
        </w:rPr>
        <w:t xml:space="preserve">Factor 2: Tabular Data Regime</w:t>
      </w:r>
      <w:r>
        <w:t xml:space="preserve">. Consistent with</w:t>
      </w:r>
      <w:r>
        <w:t xml:space="preserve"> </w:t>
      </w:r>
      <w:r>
        <w:t xml:space="preserve">, tree-based methods excel on structured tabular data with heterogeneous features. Energy datasets combine categorical (hour, day-of-week), continuous (temperature), and derived features (rolling means) – a combination where boosting’s adaptive weighting provides advantage.</w:t>
      </w:r>
    </w:p>
    <w:p>
      <w:pPr>
        <w:pStyle w:val="BodyText"/>
      </w:pPr>
      <w:r>
        <w:rPr>
          <w:b/>
          <w:bCs/>
        </w:rPr>
        <w:t xml:space="preserve">Factor 3: Sample Efficiency</w:t>
      </w:r>
      <w:r>
        <w:t xml:space="preserve">. With roughly 17K training samples, deep models show signs of underfitting. Our LSTM achieves</w:t>
      </w:r>
      <w:r>
        <w:t xml:space="preserve"> </w:t>
      </w:r>
      <m:oMath>
        <m:sSup>
          <m:e>
            <m:r>
              <m:t>R</m:t>
            </m:r>
          </m:e>
          <m:sup>
            <m:r>
              <m:t>2</m:t>
            </m:r>
          </m:sup>
        </m:sSup>
        <m:r>
          <m:rPr>
            <m:sty m:val="p"/>
          </m:rPr>
          <m:t>=</m:t>
        </m:r>
        <m:r>
          <m:t>0.93</m:t>
        </m:r>
      </m:oMath>
      <w:r>
        <w:t xml:space="preserve"> </w:t>
      </w:r>
      <w:r>
        <w:t xml:space="preserve">vs GBM’s</w:t>
      </w:r>
      <w:r>
        <w:t xml:space="preserve"> </w:t>
      </w:r>
      <m:oMath>
        <m:sSup>
          <m:e>
            <m:r>
              <m:t>R</m:t>
            </m:r>
          </m:e>
          <m:sup>
            <m:r>
              <m:t>2</m:t>
            </m:r>
          </m:sup>
        </m:sSup>
        <m:r>
          <m:rPr>
            <m:sty m:val="p"/>
          </m:rPr>
          <m:t>=</m:t>
        </m:r>
        <m:r>
          <m:t>0.999</m:t>
        </m:r>
      </m:oMath>
      <w:r>
        <w:t xml:space="preserve">, a gap that likely narrows with larger datasets (as suggested by EIA-930’s improved LSTM relative performance with 92K samples).</w:t>
      </w:r>
    </w:p>
    <w:bookmarkStart w:id="65" w:name="tab:model_selection"/>
    <w:p>
      <w:pPr>
        <w:pStyle w:val="TableCaption"/>
      </w:pPr>
      <w:r>
        <w:t xml:space="preserve">Model Selection Guidelines</w:t>
      </w:r>
    </w:p>
    <w:tbl>
      <w:tblPr>
        <w:tblStyle w:val="Table"/>
        <w:tblW w:type="auto" w:w="0"/>
        <w:tblLook w:firstRow="1" w:lastRow="0" w:firstColumn="0" w:lastColumn="0" w:noHBand="0" w:noVBand="0" w:val="0020"/>
        <w:tblCaption w:val="Model Selection Guidelines"/>
      </w:tblPr>
      <w:tblGrid>
        <w:gridCol w:w="2640"/>
        <w:gridCol w:w="2640"/>
        <w:gridCol w:w="2640"/>
      </w:tblGrid>
      <w:tr>
        <w:trPr>
          <w:tblHeader w:val="on"/>
        </w:trPr>
        <w:tc>
          <w:tcPr/>
          <w:p>
            <w:pPr>
              <w:pStyle w:val="Compact"/>
              <w:jc w:val="left"/>
            </w:pPr>
            <w:r>
              <w:t xml:space="preserve">Condition</w:t>
            </w:r>
          </w:p>
        </w:tc>
        <w:tc>
          <w:tcPr/>
          <w:p>
            <w:pPr>
              <w:pStyle w:val="Compact"/>
              <w:jc w:val="left"/>
            </w:pPr>
            <w:r>
              <w:t xml:space="preserve">Recommended Model</w:t>
            </w:r>
          </w:p>
        </w:tc>
        <w:tc>
          <w:tcPr/>
          <w:p>
            <w:pPr>
              <w:pStyle w:val="Compact"/>
              <w:jc w:val="left"/>
            </w:pPr>
            <w:r>
              <w:t xml:space="preserve">Reasoning</w:t>
            </w:r>
          </w:p>
        </w:tc>
      </w:tr>
      <w:tr>
        <w:tc>
          <w:tcPr/>
          <w:p>
            <w:pPr>
              <w:pStyle w:val="Compact"/>
              <w:jc w:val="left"/>
            </w:pPr>
            <w:r>
              <w:t xml:space="preserve">&lt; 50K samples</w:t>
            </w:r>
          </w:p>
        </w:tc>
        <w:tc>
          <w:tcPr/>
          <w:p>
            <w:pPr>
              <w:pStyle w:val="Compact"/>
              <w:jc w:val="left"/>
            </w:pPr>
            <w:r>
              <w:t xml:space="preserve">GBM</w:t>
            </w:r>
          </w:p>
        </w:tc>
        <w:tc>
          <w:tcPr/>
          <w:p>
            <w:pPr>
              <w:pStyle w:val="Compact"/>
              <w:jc w:val="left"/>
            </w:pPr>
            <w:r>
              <w:t xml:space="preserve">Sample efficiency</w:t>
            </w:r>
          </w:p>
        </w:tc>
      </w:tr>
      <w:tr>
        <w:tc>
          <w:tcPr/>
          <w:p>
            <w:pPr>
              <w:pStyle w:val="Compact"/>
              <w:jc w:val="left"/>
            </w:pPr>
            <w:r>
              <w:t xml:space="preserve">Heterogeneous features</w:t>
            </w:r>
          </w:p>
        </w:tc>
        <w:tc>
          <w:tcPr/>
          <w:p>
            <w:pPr>
              <w:pStyle w:val="Compact"/>
              <w:jc w:val="left"/>
            </w:pPr>
            <w:r>
              <w:t xml:space="preserve">GBM</w:t>
            </w:r>
          </w:p>
        </w:tc>
        <w:tc>
          <w:tcPr/>
          <w:p>
            <w:pPr>
              <w:pStyle w:val="Compact"/>
              <w:jc w:val="left"/>
            </w:pPr>
            <w:r>
              <w:t xml:space="preserve">Tree-based advantage</w:t>
            </w:r>
          </w:p>
        </w:tc>
      </w:tr>
      <w:tr>
        <w:tc>
          <w:tcPr/>
          <w:p>
            <w:pPr>
              <w:pStyle w:val="Compact"/>
              <w:jc w:val="left"/>
            </w:pPr>
            <w:r>
              <w:t xml:space="preserve">&gt; 500K samples</w:t>
            </w:r>
          </w:p>
        </w:tc>
        <w:tc>
          <w:tcPr/>
          <w:p>
            <w:pPr>
              <w:pStyle w:val="Compact"/>
              <w:jc w:val="left"/>
            </w:pPr>
            <w:r>
              <w:t xml:space="preserve">LSTM/TCN</w:t>
            </w:r>
          </w:p>
        </w:tc>
        <w:tc>
          <w:tcPr/>
          <w:p>
            <w:pPr>
              <w:pStyle w:val="Compact"/>
              <w:jc w:val="left"/>
            </w:pPr>
            <w:r>
              <w:t xml:space="preserve">Deep learning scalability</w:t>
            </w:r>
          </w:p>
        </w:tc>
      </w:tr>
      <w:tr>
        <w:tc>
          <w:tcPr/>
          <w:p>
            <w:pPr>
              <w:pStyle w:val="Compact"/>
              <w:jc w:val="left"/>
            </w:pPr>
            <w:r>
              <w:t xml:space="preserve">Real-time edge deployment</w:t>
            </w:r>
          </w:p>
        </w:tc>
        <w:tc>
          <w:tcPr/>
          <w:p>
            <w:pPr>
              <w:pStyle w:val="Compact"/>
              <w:jc w:val="left"/>
            </w:pPr>
            <w:r>
              <w:t xml:space="preserve">TCN</w:t>
            </w:r>
          </w:p>
        </w:tc>
        <w:tc>
          <w:tcPr/>
          <w:p>
            <w:pPr>
              <w:pStyle w:val="Compact"/>
              <w:jc w:val="left"/>
            </w:pPr>
            <w:r>
              <w:t xml:space="preserve">Parallelizable inference</w:t>
            </w:r>
          </w:p>
        </w:tc>
      </w:tr>
      <w:tr>
        <w:tc>
          <w:tcPr/>
          <w:p>
            <w:pPr>
              <w:pStyle w:val="Compact"/>
              <w:jc w:val="left"/>
            </w:pPr>
            <w:r>
              <w:t xml:space="preserve">Interpretability required</w:t>
            </w:r>
          </w:p>
        </w:tc>
        <w:tc>
          <w:tcPr/>
          <w:p>
            <w:pPr>
              <w:pStyle w:val="Compact"/>
              <w:jc w:val="left"/>
            </w:pPr>
            <w:r>
              <w:t xml:space="preserve">GBM</w:t>
            </w:r>
          </w:p>
        </w:tc>
        <w:tc>
          <w:tcPr/>
          <w:p>
            <w:pPr>
              <w:pStyle w:val="Compact"/>
              <w:jc w:val="left"/>
            </w:pPr>
            <w:r>
              <w:t xml:space="preserve">SHAP feature importance</w:t>
            </w:r>
          </w:p>
        </w:tc>
      </w:tr>
    </w:tbl>
    <w:bookmarkEnd w:id="65"/>
    <w:bookmarkEnd w:id="66"/>
    <w:bookmarkStart w:id="68" w:name="temporal-error-analysis"/>
    <w:p>
      <w:pPr>
        <w:pStyle w:val="Heading2"/>
      </w:pPr>
      <w:r>
        <w:t xml:space="preserve">Temporal Error Analysis</w:t>
      </w:r>
    </w:p>
    <w:p>
      <w:pPr>
        <w:pStyle w:val="FirstParagraph"/>
      </w:pPr>
      <w:r>
        <w:t xml:space="preserve">Analysis of residuals reveals systematic patterns by time regime.</w:t>
      </w:r>
    </w:p>
    <w:bookmarkStart w:id="67" w:name="tab:temporal_error"/>
    <w:p>
      <w:pPr>
        <w:pStyle w:val="TableCaption"/>
      </w:pPr>
      <w:r>
        <w:t xml:space="preserve">Temporal Error Analysis by Time Regime</w:t>
      </w:r>
    </w:p>
    <w:tbl>
      <w:tblPr>
        <w:tblStyle w:val="Table"/>
        <w:tblW w:type="auto" w:w="0"/>
        <w:tblLook w:firstRow="1" w:lastRow="0" w:firstColumn="0" w:lastColumn="0" w:noHBand="0" w:noVBand="0" w:val="0020"/>
        <w:tblCaption w:val="Temporal Error Analysis by Time Regime"/>
      </w:tblPr>
      <w:tblGrid>
        <w:gridCol w:w="2640"/>
        <w:gridCol w:w="2640"/>
        <w:gridCol w:w="2640"/>
      </w:tblGrid>
      <w:tr>
        <w:trPr>
          <w:tblHeader w:val="on"/>
        </w:trPr>
        <w:tc>
          <w:tcPr/>
          <w:p>
            <w:pPr>
              <w:pStyle w:val="Compact"/>
              <w:jc w:val="left"/>
            </w:pPr>
            <w:r>
              <w:t xml:space="preserve">Time Regime</w:t>
            </w:r>
          </w:p>
        </w:tc>
        <w:tc>
          <w:tcPr/>
          <w:p>
            <w:pPr>
              <w:pStyle w:val="Compact"/>
              <w:jc w:val="left"/>
            </w:pPr>
            <w:r>
              <w:t xml:space="preserve">Mean Absolute Error</w:t>
            </w:r>
          </w:p>
        </w:tc>
        <w:tc>
          <w:tcPr/>
          <w:p>
            <w:pPr>
              <w:pStyle w:val="Compact"/>
              <w:jc w:val="left"/>
            </w:pPr>
            <w:r>
              <w:t xml:space="preserve">Relative Increase</w:t>
            </w:r>
          </w:p>
        </w:tc>
      </w:tr>
      <w:tr>
        <w:tc>
          <w:tcPr/>
          <w:p>
            <w:pPr>
              <w:pStyle w:val="Compact"/>
              <w:jc w:val="left"/>
            </w:pPr>
            <w:r>
              <w:t xml:space="preserve">Night (00:00-06:00)</w:t>
            </w:r>
          </w:p>
        </w:tc>
        <w:tc>
          <w:tcPr/>
          <w:p>
            <w:pPr>
              <w:pStyle w:val="Compact"/>
              <w:jc w:val="left"/>
            </w:pPr>
            <w:r>
              <w:t xml:space="preserve">142 MW</w:t>
            </w:r>
          </w:p>
        </w:tc>
        <w:tc>
          <w:tcPr/>
          <w:p>
            <w:pPr>
              <w:pStyle w:val="Compact"/>
              <w:jc w:val="left"/>
            </w:pPr>
            <w:r>
              <w:t xml:space="preserve">Baseline</w:t>
            </w:r>
          </w:p>
        </w:tc>
      </w:tr>
      <w:tr>
        <w:tc>
          <w:tcPr/>
          <w:p>
            <w:pPr>
              <w:pStyle w:val="Compact"/>
              <w:jc w:val="left"/>
            </w:pPr>
            <w:r>
              <w:t xml:space="preserve">Morning ramp (06:00-09:00)</w:t>
            </w:r>
          </w:p>
        </w:tc>
        <w:tc>
          <w:tcPr/>
          <w:p>
            <w:pPr>
              <w:pStyle w:val="Compact"/>
              <w:jc w:val="left"/>
            </w:pPr>
            <w:r>
              <w:t xml:space="preserve">287 MW</w:t>
            </w:r>
          </w:p>
        </w:tc>
        <w:tc>
          <w:tcPr/>
          <w:p>
            <w:pPr>
              <w:pStyle w:val="Compact"/>
              <w:jc w:val="left"/>
            </w:pPr>
            <w:r>
              <w:t xml:space="preserve">+102%</w:t>
            </w:r>
          </w:p>
        </w:tc>
      </w:tr>
      <w:tr>
        <w:tc>
          <w:tcPr/>
          <w:p>
            <w:pPr>
              <w:pStyle w:val="Compact"/>
              <w:jc w:val="left"/>
            </w:pPr>
            <w:r>
              <w:t xml:space="preserve">Midday (09:00-17:00)</w:t>
            </w:r>
          </w:p>
        </w:tc>
        <w:tc>
          <w:tcPr/>
          <w:p>
            <w:pPr>
              <w:pStyle w:val="Compact"/>
              <w:jc w:val="left"/>
            </w:pPr>
            <w:r>
              <w:t xml:space="preserve">168 MW</w:t>
            </w:r>
          </w:p>
        </w:tc>
        <w:tc>
          <w:tcPr/>
          <w:p>
            <w:pPr>
              <w:pStyle w:val="Compact"/>
              <w:jc w:val="left"/>
            </w:pPr>
            <w:r>
              <w:t xml:space="preserve">+18%</w:t>
            </w:r>
          </w:p>
        </w:tc>
      </w:tr>
      <w:tr>
        <w:tc>
          <w:tcPr/>
          <w:p>
            <w:pPr>
              <w:pStyle w:val="Compact"/>
              <w:jc w:val="left"/>
            </w:pPr>
            <w:r>
              <w:t xml:space="preserve">Evening peak (17:00-21:00)</w:t>
            </w:r>
          </w:p>
        </w:tc>
        <w:tc>
          <w:tcPr/>
          <w:p>
            <w:pPr>
              <w:pStyle w:val="Compact"/>
              <w:jc w:val="left"/>
            </w:pPr>
            <w:r>
              <w:t xml:space="preserve">312 MW</w:t>
            </w:r>
          </w:p>
        </w:tc>
        <w:tc>
          <w:tcPr/>
          <w:p>
            <w:pPr>
              <w:pStyle w:val="Compact"/>
              <w:jc w:val="left"/>
            </w:pPr>
            <w:r>
              <w:t xml:space="preserve">+120%</w:t>
            </w:r>
          </w:p>
        </w:tc>
      </w:tr>
      <w:tr>
        <w:tc>
          <w:tcPr/>
          <w:p>
            <w:pPr>
              <w:pStyle w:val="Compact"/>
              <w:jc w:val="left"/>
            </w:pPr>
            <w:r>
              <w:t xml:space="preserve">Late evening (21:00-00:00)</w:t>
            </w:r>
          </w:p>
        </w:tc>
        <w:tc>
          <w:tcPr/>
          <w:p>
            <w:pPr>
              <w:pStyle w:val="Compact"/>
              <w:jc w:val="left"/>
            </w:pPr>
            <w:r>
              <w:t xml:space="preserve">198 MW</w:t>
            </w:r>
          </w:p>
        </w:tc>
        <w:tc>
          <w:tcPr/>
          <w:p>
            <w:pPr>
              <w:pStyle w:val="Compact"/>
              <w:jc w:val="left"/>
            </w:pPr>
            <w:r>
              <w:t xml:space="preserve">+39%</w:t>
            </w:r>
          </w:p>
        </w:tc>
      </w:tr>
    </w:tbl>
    <w:bookmarkEnd w:id="67"/>
    <w:p>
      <w:pPr>
        <w:pStyle w:val="BodyText"/>
      </w:pPr>
      <w:r>
        <w:t xml:space="preserve">The elevated errors during morning and evening load ramps suggest opportunities for:</w:t>
      </w:r>
    </w:p>
    <w:p>
      <w:pPr>
        <w:numPr>
          <w:ilvl w:val="0"/>
          <w:numId w:val="1017"/>
        </w:numPr>
      </w:pPr>
      <w:r>
        <w:t xml:space="preserve">Additional features capturing transition dynamics (rate-of-change features)</w:t>
      </w:r>
    </w:p>
    <w:p>
      <w:pPr>
        <w:numPr>
          <w:ilvl w:val="0"/>
          <w:numId w:val="1017"/>
        </w:numPr>
      </w:pPr>
      <w:r>
        <w:t xml:space="preserve">Separate models for high-volatility periods</w:t>
      </w:r>
    </w:p>
    <w:p>
      <w:pPr>
        <w:numPr>
          <w:ilvl w:val="0"/>
          <w:numId w:val="1017"/>
        </w:numPr>
      </w:pPr>
      <w:r>
        <w:t xml:space="preserve">Ensemble weighting by time-of-day</w:t>
      </w:r>
    </w:p>
    <w:bookmarkEnd w:id="68"/>
    <w:bookmarkStart w:id="69" w:name="uncertainty-quantification-value"/>
    <w:p>
      <w:pPr>
        <w:pStyle w:val="Heading2"/>
      </w:pPr>
      <w:r>
        <w:t xml:space="preserve">Uncertainty Quantification Value</w:t>
      </w:r>
    </w:p>
    <w:p>
      <w:pPr>
        <w:pStyle w:val="FirstParagraph"/>
      </w:pPr>
      <w:r>
        <w:t xml:space="preserve">Conformal prediction provides calibrated intervals critical for risk-aware dispatch:</w:t>
      </w:r>
    </w:p>
    <w:p>
      <w:pPr>
        <w:numPr>
          <w:ilvl w:val="0"/>
          <w:numId w:val="1018"/>
        </w:numPr>
      </w:pPr>
      <w:r>
        <w:t xml:space="preserve">Load forecasting achieves 92.4% coverage at 90% nominal – slight overcoverage provides safety margin.</w:t>
      </w:r>
    </w:p>
    <w:p>
      <w:pPr>
        <w:numPr>
          <w:ilvl w:val="0"/>
          <w:numId w:val="1018"/>
        </w:numPr>
      </w:pPr>
      <w:r>
        <w:t xml:space="preserve">Wind and solar show under-coverage (79–87%), reflecting higher intrinsic variability.</w:t>
      </w:r>
    </w:p>
    <w:p>
      <w:pPr>
        <w:numPr>
          <w:ilvl w:val="0"/>
          <w:numId w:val="1018"/>
        </w:numPr>
      </w:pPr>
      <w:r>
        <w:t xml:space="preserve">Adaptive calibration windows (rolling 30-day) maintain validity under distribution shift.</w:t>
      </w:r>
    </w:p>
    <w:p>
      <w:pPr>
        <w:pStyle w:val="FirstParagraph"/>
      </w:pPr>
      <w:r>
        <w:t xml:space="preserve">The conservative load intervals enable dispatch strategies that avoid costly grid imbalance penalties while maximizing renewable utilization.</w:t>
      </w:r>
    </w:p>
    <w:bookmarkEnd w:id="69"/>
    <w:bookmarkStart w:id="71" w:name="carbon-cost-tradeoff-analysis"/>
    <w:p>
      <w:pPr>
        <w:pStyle w:val="Heading2"/>
      </w:pPr>
      <w:r>
        <w:t xml:space="preserve">Carbon-Cost Tradeoff Analysis</w:t>
      </w:r>
    </w:p>
    <w:p>
      <w:pPr>
        <w:pStyle w:val="FirstParagraph"/>
      </w:pPr>
      <w:r>
        <w:t xml:space="preserve">The multi-objective optimization reveals a Pareto frontier between cost and carbon.</w:t>
      </w:r>
    </w:p>
    <w:bookmarkStart w:id="70" w:name="tab:pareto_tradeoff"/>
    <w:p>
      <w:pPr>
        <w:pStyle w:val="TableCaption"/>
      </w:pPr>
      <w:r>
        <w:t xml:space="preserve">Cost-Carbon Tradeoff (Pareto Frontier)</w:t>
      </w:r>
    </w:p>
    <w:tbl>
      <w:tblPr>
        <w:tblStyle w:val="Table"/>
        <w:tblW w:type="auto" w:w="0"/>
        <w:tblLook w:firstRow="1" w:lastRow="0" w:firstColumn="0" w:lastColumn="0" w:noHBand="0" w:noVBand="0" w:val="0020"/>
        <w:tblCaption w:val="Cost-Carbon Tradeoff (Pareto Frontier)"/>
      </w:tblPr>
      <w:tblGrid>
        <w:gridCol w:w="1980"/>
        <w:gridCol w:w="1980"/>
        <w:gridCol w:w="1980"/>
        <w:gridCol w:w="1980"/>
      </w:tblGrid>
      <w:tr>
        <w:trPr>
          <w:tblHeader w:val="on"/>
        </w:trPr>
        <w:tc>
          <w:tcPr/>
          <w:p>
            <w:pPr>
              <w:pStyle w:val="Compact"/>
              <w:jc w:val="left"/>
            </w:pPr>
            <w:r>
              <w:t xml:space="preserve">Strategy</w:t>
            </w:r>
          </w:p>
        </w:tc>
        <w:tc>
          <w:tcPr/>
          <w:p>
            <w:pPr>
              <w:pStyle w:val="Compact"/>
              <w:jc w:val="left"/>
            </w:pPr>
            <w:r>
              <w:t xml:space="preserve">Cost ($/week)</w:t>
            </w:r>
          </w:p>
        </w:tc>
        <w:tc>
          <w:tcPr/>
          <w:p>
            <w:pPr>
              <w:pStyle w:val="Compact"/>
              <w:jc w:val="left"/>
            </w:pPr>
            <w:r>
              <w:t xml:space="preserve">Carbon (kg CO</w:t>
            </w:r>
            <m:oMath>
              <m:sSub>
                <m:e>
                  <m:r>
                    <m:t>​</m:t>
                  </m:r>
                </m:e>
                <m:sub>
                  <m:r>
                    <m:t>2</m:t>
                  </m:r>
                </m:sub>
              </m:sSub>
            </m:oMath>
            <w:r>
              <w:t xml:space="preserve">/week)</w:t>
            </w:r>
          </w:p>
        </w:tc>
        <w:tc>
          <w:tcPr/>
          <w:p>
            <w:pPr>
              <w:pStyle w:val="Compact"/>
              <w:jc w:val="left"/>
            </w:pPr>
            <w:r>
              <w:t xml:space="preserve">Pareto Optimal</w:t>
            </w:r>
          </w:p>
        </w:tc>
      </w:tr>
      <w:tr>
        <w:tc>
          <w:tcPr/>
          <w:p>
            <w:pPr>
              <w:pStyle w:val="Compact"/>
              <w:jc w:val="left"/>
            </w:pPr>
            <w:r>
              <w:t xml:space="preserve">Cost-only</w:t>
            </w:r>
          </w:p>
        </w:tc>
        <w:tc>
          <w:tcPr/>
          <w:p>
            <w:pPr>
              <w:pStyle w:val="Compact"/>
              <w:jc w:val="left"/>
            </w:pPr>
            <w:r>
              <w:t xml:space="preserve">$309.1M</w:t>
            </w:r>
          </w:p>
        </w:tc>
        <w:tc>
          <w:tcPr/>
          <w:p>
            <w:pPr>
              <w:pStyle w:val="Compact"/>
              <w:jc w:val="left"/>
            </w:pPr>
            <w:r>
              <w:t xml:space="preserve">2,735M</w:t>
            </w:r>
          </w:p>
        </w:tc>
        <w:tc>
          <w:tcPr/>
          <w:p>
            <w:pPr>
              <w:pStyle w:val="Compact"/>
              <w:jc w:val="left"/>
            </w:pPr>
            <w:r>
              <w:t xml:space="preserve">Yes</w:t>
            </w:r>
          </w:p>
        </w:tc>
      </w:tr>
      <w:tr>
        <w:tc>
          <w:tcPr/>
          <w:p>
            <w:pPr>
              <w:pStyle w:val="Compact"/>
              <w:jc w:val="left"/>
            </w:pPr>
            <w:r>
              <w:t xml:space="preserve">GridPulse (balanced)</w:t>
            </w:r>
          </w:p>
        </w:tc>
        <w:tc>
          <w:tcPr/>
          <w:p>
            <w:pPr>
              <w:pStyle w:val="Compact"/>
              <w:jc w:val="left"/>
            </w:pPr>
            <w:r>
              <w:t xml:space="preserve">$309.7M</w:t>
            </w:r>
          </w:p>
        </w:tc>
        <w:tc>
          <w:tcPr/>
          <w:p>
            <w:pPr>
              <w:pStyle w:val="Compact"/>
              <w:jc w:val="left"/>
            </w:pPr>
            <w:r>
              <w:t xml:space="preserve">2,732M</w:t>
            </w:r>
          </w:p>
        </w:tc>
        <w:tc>
          <w:tcPr/>
          <w:p>
            <w:pPr>
              <w:pStyle w:val="Compact"/>
              <w:jc w:val="left"/>
            </w:pPr>
            <w:r>
              <w:t xml:space="preserve">Yes</w:t>
            </w:r>
          </w:p>
        </w:tc>
      </w:tr>
      <w:tr>
        <w:tc>
          <w:tcPr/>
          <w:p>
            <w:pPr>
              <w:pStyle w:val="Compact"/>
              <w:jc w:val="left"/>
            </w:pPr>
            <w:r>
              <w:t xml:space="preserve">Carbon-only</w:t>
            </w:r>
          </w:p>
        </w:tc>
        <w:tc>
          <w:tcPr/>
          <w:p>
            <w:pPr>
              <w:pStyle w:val="Compact"/>
              <w:jc w:val="left"/>
            </w:pPr>
            <w:r>
              <w:t xml:space="preserve">$312.4M</w:t>
            </w:r>
          </w:p>
        </w:tc>
        <w:tc>
          <w:tcPr/>
          <w:p>
            <w:pPr>
              <w:pStyle w:val="Compact"/>
              <w:jc w:val="left"/>
            </w:pPr>
            <w:r>
              <w:t xml:space="preserve">2,728M</w:t>
            </w:r>
          </w:p>
        </w:tc>
        <w:tc>
          <w:tcPr/>
          <w:p>
            <w:pPr>
              <w:pStyle w:val="Compact"/>
              <w:jc w:val="left"/>
            </w:pPr>
            <w:r>
              <w:t xml:space="preserve">Yes</w:t>
            </w:r>
          </w:p>
        </w:tc>
      </w:tr>
    </w:tbl>
    <w:bookmarkEnd w:id="70"/>
    <w:p>
      <w:pPr>
        <w:pStyle w:val="BodyText"/>
      </w:pPr>
      <w:r>
        <w:rPr>
          <w:b/>
          <w:bCs/>
        </w:rPr>
        <w:t xml:space="preserve">Key Insight</w:t>
      </w:r>
      <w:r>
        <w:t xml:space="preserve">: Marginal carbon reduction becomes expensive beyond about 0.5%. Grid operators should select operating points based on carbon pricing or regulatory requirements.</w:t>
      </w:r>
    </w:p>
    <w:bookmarkEnd w:id="71"/>
    <w:bookmarkStart w:id="73" w:name="production-deployment-lessons"/>
    <w:p>
      <w:pPr>
        <w:pStyle w:val="Heading2"/>
      </w:pPr>
      <w:r>
        <w:t xml:space="preserve">Production Deployment Lessons</w:t>
      </w:r>
    </w:p>
    <w:p>
      <w:pPr>
        <w:pStyle w:val="FirstParagraph"/>
      </w:pPr>
      <w:r>
        <w:t xml:space="preserve">Simulated 6-month production operation revealed:</w:t>
      </w:r>
    </w:p>
    <w:p>
      <w:pPr>
        <w:pStyle w:val="BodyText"/>
      </w:pPr>
      <w:r>
        <w:rPr>
          <w:b/>
          <w:bCs/>
        </w:rPr>
        <w:t xml:space="preserve">Drift Detection</w:t>
      </w:r>
      <w:r>
        <w:t xml:space="preserve">:</w:t>
      </w:r>
    </w:p>
    <w:p>
      <w:pPr>
        <w:numPr>
          <w:ilvl w:val="0"/>
          <w:numId w:val="1019"/>
        </w:numPr>
      </w:pPr>
      <w:r>
        <w:t xml:space="preserve">Feature distributions shift about 2.3% per month (KS statistic).</w:t>
      </w:r>
    </w:p>
    <w:p>
      <w:pPr>
        <w:numPr>
          <w:ilvl w:val="0"/>
          <w:numId w:val="1019"/>
        </w:numPr>
      </w:pPr>
      <w:r>
        <w:t xml:space="preserve">Model performance degrades 5–8% over 3 months without retraining.</w:t>
      </w:r>
    </w:p>
    <w:p>
      <w:pPr>
        <w:numPr>
          <w:ilvl w:val="0"/>
          <w:numId w:val="1019"/>
        </w:numPr>
      </w:pPr>
      <w:r>
        <w:t xml:space="preserve">Recommended retraining cadence: quarterly or on drift alert (</w:t>
      </w:r>
      <m:oMath>
        <m:r>
          <m:t>p</m:t>
        </m:r>
        <m:r>
          <m:rPr>
            <m:sty m:val="p"/>
          </m:rPr>
          <m:t>&lt;</m:t>
        </m:r>
        <m:r>
          <m:t>0.05</m:t>
        </m:r>
      </m:oMath>
      <w:r>
        <w:t xml:space="preserve">).</w:t>
      </w:r>
    </w:p>
    <w:p>
      <w:pPr>
        <w:pStyle w:val="FirstParagraph"/>
      </w:pPr>
      <w:r>
        <w:rPr>
          <w:b/>
          <w:bCs/>
        </w:rPr>
        <w:t xml:space="preserve">Edge Cases Encountered</w:t>
      </w:r>
      <w:r>
        <w:t xml:space="preserve">:</w:t>
      </w:r>
    </w:p>
    <w:bookmarkStart w:id="72" w:name="tab:edge_cases"/>
    <w:p>
      <w:pPr>
        <w:pStyle w:val="TableCaption"/>
      </w:pPr>
      <w:r>
        <w:t xml:space="preserve">Edge Cases Encountered in Production Simulation</w:t>
      </w:r>
    </w:p>
    <w:tbl>
      <w:tblPr>
        <w:tblStyle w:val="Table"/>
        <w:tblW w:type="auto" w:w="0"/>
        <w:tblLook w:firstRow="1" w:lastRow="0" w:firstColumn="0" w:lastColumn="0" w:noHBand="0" w:noVBand="0" w:val="0020"/>
        <w:tblCaption w:val="Edge Cases Encountered in Production Simulation"/>
      </w:tblPr>
      <w:tblGrid>
        <w:gridCol w:w="1980"/>
        <w:gridCol w:w="1980"/>
        <w:gridCol w:w="1980"/>
        <w:gridCol w:w="1980"/>
      </w:tblGrid>
      <w:tr>
        <w:trPr>
          <w:tblHeader w:val="on"/>
        </w:trPr>
        <w:tc>
          <w:tcPr/>
          <w:p>
            <w:pPr>
              <w:pStyle w:val="Compact"/>
              <w:jc w:val="left"/>
            </w:pPr>
            <w:r>
              <w:t xml:space="preserve">Event Type</w:t>
            </w:r>
          </w:p>
        </w:tc>
        <w:tc>
          <w:tcPr/>
          <w:p>
            <w:pPr>
              <w:pStyle w:val="Compact"/>
              <w:jc w:val="left"/>
            </w:pPr>
            <w:r>
              <w:t xml:space="preserve">Frequency</w:t>
            </w:r>
          </w:p>
        </w:tc>
        <w:tc>
          <w:tcPr/>
          <w:p>
            <w:pPr>
              <w:pStyle w:val="Compact"/>
              <w:jc w:val="left"/>
            </w:pPr>
            <w:r>
              <w:t xml:space="preserve">Error Increase</w:t>
            </w:r>
          </w:p>
        </w:tc>
        <w:tc>
          <w:tcPr/>
          <w:p>
            <w:pPr>
              <w:pStyle w:val="Compact"/>
              <w:jc w:val="left"/>
            </w:pPr>
            <w:r>
              <w:t xml:space="preserve">Mitigation</w:t>
            </w:r>
          </w:p>
        </w:tc>
      </w:tr>
      <w:tr>
        <w:tc>
          <w:tcPr/>
          <w:p>
            <w:pPr>
              <w:pStyle w:val="Compact"/>
              <w:jc w:val="left"/>
            </w:pPr>
            <w:r>
              <w:t xml:space="preserve">Extreme weather</w:t>
            </w:r>
          </w:p>
        </w:tc>
        <w:tc>
          <w:tcPr/>
          <w:p>
            <w:pPr>
              <w:pStyle w:val="Compact"/>
              <w:jc w:val="left"/>
            </w:pPr>
            <w:r>
              <w:t xml:space="preserve">2-3/year</w:t>
            </w:r>
          </w:p>
        </w:tc>
        <w:tc>
          <w:tcPr/>
          <w:p>
            <w:pPr>
              <w:pStyle w:val="Compact"/>
              <w:jc w:val="left"/>
            </w:pPr>
            <w:r>
              <w:t xml:space="preserve">+45%</w:t>
            </w:r>
          </w:p>
        </w:tc>
        <w:tc>
          <w:tcPr/>
          <w:p>
            <w:pPr>
              <w:pStyle w:val="Compact"/>
              <w:jc w:val="left"/>
            </w:pPr>
            <w:r>
              <w:t xml:space="preserve">Ensemble uncertainty</w:t>
            </w:r>
          </w:p>
        </w:tc>
      </w:tr>
      <w:tr>
        <w:tc>
          <w:tcPr/>
          <w:p>
            <w:pPr>
              <w:pStyle w:val="Compact"/>
              <w:jc w:val="left"/>
            </w:pPr>
            <w:r>
              <w:t xml:space="preserve">Holiday transitions</w:t>
            </w:r>
          </w:p>
        </w:tc>
        <w:tc>
          <w:tcPr/>
          <w:p>
            <w:pPr>
              <w:pStyle w:val="Compact"/>
              <w:jc w:val="left"/>
            </w:pPr>
            <w:r>
              <w:t xml:space="preserve">12/year</w:t>
            </w:r>
          </w:p>
        </w:tc>
        <w:tc>
          <w:tcPr/>
          <w:p>
            <w:pPr>
              <w:pStyle w:val="Compact"/>
              <w:jc w:val="left"/>
            </w:pPr>
            <w:r>
              <w:t xml:space="preserve">+23%</w:t>
            </w:r>
          </w:p>
        </w:tc>
        <w:tc>
          <w:tcPr/>
          <w:p>
            <w:pPr>
              <w:pStyle w:val="Compact"/>
              <w:jc w:val="left"/>
            </w:pPr>
            <w:r>
              <w:t xml:space="preserve">Holiday-specific features</w:t>
            </w:r>
          </w:p>
        </w:tc>
      </w:tr>
      <w:tr>
        <w:tc>
          <w:tcPr/>
          <w:p>
            <w:pPr>
              <w:pStyle w:val="Compact"/>
              <w:jc w:val="left"/>
            </w:pPr>
            <w:r>
              <w:t xml:space="preserve">Grid outages</w:t>
            </w:r>
          </w:p>
        </w:tc>
        <w:tc>
          <w:tcPr/>
          <w:p>
            <w:pPr>
              <w:pStyle w:val="Compact"/>
              <w:jc w:val="left"/>
            </w:pPr>
            <w:r>
              <w:t xml:space="preserve">Rare</w:t>
            </w:r>
          </w:p>
        </w:tc>
        <w:tc>
          <w:tcPr/>
          <w:p>
            <w:pPr>
              <w:pStyle w:val="Compact"/>
              <w:jc w:val="left"/>
            </w:pPr>
            <w:r>
              <w:t xml:space="preserve">Undefined</w:t>
            </w:r>
          </w:p>
        </w:tc>
        <w:tc>
          <w:tcPr/>
          <w:p>
            <w:pPr>
              <w:pStyle w:val="Compact"/>
              <w:jc w:val="left"/>
            </w:pPr>
            <w:r>
              <w:t xml:space="preserve">Anomaly detection</w:t>
            </w:r>
          </w:p>
        </w:tc>
      </w:tr>
    </w:tbl>
    <w:bookmarkEnd w:id="72"/>
    <w:p>
      <w:pPr>
        <w:pStyle w:val="BodyText"/>
      </w:pPr>
      <w:r>
        <w:rPr>
          <w:b/>
          <w:bCs/>
        </w:rPr>
        <w:t xml:space="preserve">Operational Recommendations</w:t>
      </w:r>
      <w:r>
        <w:t xml:space="preserve">:</w:t>
      </w:r>
    </w:p>
    <w:p>
      <w:pPr>
        <w:numPr>
          <w:ilvl w:val="0"/>
          <w:numId w:val="1020"/>
        </w:numPr>
      </w:pPr>
      <w:r>
        <w:t xml:space="preserve">Maintain warm standby models trained on recent 6-month windows.</w:t>
      </w:r>
    </w:p>
    <w:p>
      <w:pPr>
        <w:numPr>
          <w:ilvl w:val="0"/>
          <w:numId w:val="1020"/>
        </w:numPr>
      </w:pPr>
      <w:r>
        <w:t xml:space="preserve">Implement circuit breakers for</w:t>
      </w:r>
      <w:r>
        <w:t xml:space="preserve"> </w:t>
      </w:r>
      <m:oMath>
        <m:r>
          <m:rPr>
            <m:sty m:val="p"/>
          </m:rPr>
          <m:t>&gt;</m:t>
        </m:r>
      </m:oMath>
      <w:r>
        <w:t xml:space="preserve">50% MAPE predictions.</w:t>
      </w:r>
    </w:p>
    <w:p>
      <w:pPr>
        <w:numPr>
          <w:ilvl w:val="0"/>
          <w:numId w:val="1020"/>
        </w:numPr>
      </w:pPr>
      <w:r>
        <w:t xml:space="preserve">Human-in-the-loop for dispatch decisions</w:t>
      </w:r>
      <w:r>
        <w:t xml:space="preserve"> </w:t>
      </w:r>
      <m:oMath>
        <m:r>
          <m:rPr>
            <m:sty m:val="p"/>
          </m:rPr>
          <m:t>&gt;</m:t>
        </m:r>
      </m:oMath>
      <w:r>
        <w:t xml:space="preserve">$100K impact.</w:t>
      </w:r>
    </w:p>
    <w:bookmarkEnd w:id="73"/>
    <w:bookmarkEnd w:id="74"/>
    <w:bookmarkStart w:id="78" w:name="limitations"/>
    <w:p>
      <w:pPr>
        <w:pStyle w:val="Heading1"/>
      </w:pPr>
      <w:r>
        <w:t xml:space="preserve">Limitations</w:t>
      </w:r>
    </w:p>
    <w:bookmarkStart w:id="75" w:name="data-limitations"/>
    <w:p>
      <w:pPr>
        <w:pStyle w:val="Heading2"/>
      </w:pPr>
      <w:r>
        <w:t xml:space="preserve">Data Limitations</w:t>
      </w:r>
    </w:p>
    <w:p>
      <w:pPr>
        <w:pStyle w:val="FirstParagraph"/>
      </w:pPr>
      <w:r>
        <w:rPr>
          <w:b/>
          <w:bCs/>
        </w:rPr>
        <w:t xml:space="preserve">Geographic Scope</w:t>
      </w:r>
      <w:r>
        <w:t xml:space="preserve">: Our evaluation covers only Germany (OPSD) and US-MISO (EIA-930). Generalization to other grid configurations (island grids, developing nations with unreliable data) requires validation. Transfer learning experiments show 15–30% performance degradation when applying German-trained models to US data without fine-tuning.</w:t>
      </w:r>
    </w:p>
    <w:p>
      <w:pPr>
        <w:pStyle w:val="BodyText"/>
      </w:pPr>
      <w:r>
        <w:rPr>
          <w:b/>
          <w:bCs/>
        </w:rPr>
        <w:t xml:space="preserve">Temporal Coverage</w:t>
      </w:r>
      <w:r>
        <w:t xml:space="preserve">: Training data spans 2015–2017 (DE) and 2019–2024 (US). The COVID-19 pandemic introduced anomalous load patterns (March–June 2020) that may not represent future operational conditions, particularly in the US window. Models trained exclusively on pandemic-era data may not generalize to post-pandemic load patterns.</w:t>
      </w:r>
    </w:p>
    <w:p>
      <w:pPr>
        <w:pStyle w:val="BodyText"/>
      </w:pPr>
      <w:r>
        <w:rPr>
          <w:b/>
          <w:bCs/>
        </w:rPr>
        <w:t xml:space="preserve">Weather Data Quality</w:t>
      </w:r>
      <w:r>
        <w:t xml:space="preserve">: We use interpolated weather forecasts from public sources. Operational grid systems may have access to higher-fidelity (1-km resolution) meteorological models that could improve renewable generation predictions by 10–20%.</w:t>
      </w:r>
    </w:p>
    <w:p>
      <w:pPr>
        <w:pStyle w:val="BodyText"/>
      </w:pPr>
      <w:r>
        <w:rPr>
          <w:b/>
          <w:bCs/>
        </w:rPr>
        <w:t xml:space="preserve">Carbon Intensity Data</w:t>
      </w:r>
      <w:r>
        <w:t xml:space="preserve">: We use average grid mix carbon factors. Real-time marginal emission rates from WattTime or Electricity Maps would provide more accurate carbon accounting but were not available for the full training period.</w:t>
      </w:r>
    </w:p>
    <w:bookmarkEnd w:id="75"/>
    <w:bookmarkStart w:id="76" w:name="modeling-limitations"/>
    <w:p>
      <w:pPr>
        <w:pStyle w:val="Heading2"/>
      </w:pPr>
      <w:r>
        <w:t xml:space="preserve">Modeling Limitations</w:t>
      </w:r>
    </w:p>
    <w:p>
      <w:pPr>
        <w:pStyle w:val="FirstParagraph"/>
      </w:pPr>
      <w:r>
        <w:rPr>
          <w:b/>
          <w:bCs/>
        </w:rPr>
        <w:t xml:space="preserve">Linear Battery Model</w:t>
      </w:r>
      <w:r>
        <w:t xml:space="preserve">: Our MILP formulation assumes linear charging/discharging efficiency (</w:t>
      </w:r>
      <m:oMath>
        <m:r>
          <m:t>η</m:t>
        </m:r>
        <m:r>
          <m:rPr>
            <m:sty m:val="p"/>
          </m:rPr>
          <m:t>=</m:t>
        </m:r>
        <m:r>
          <m:t>0.95</m:t>
        </m:r>
      </m:oMath>
      <w:r>
        <w:t xml:space="preserve">). Real batteries exhibit:</w:t>
      </w:r>
    </w:p>
    <w:p>
      <w:pPr>
        <w:numPr>
          <w:ilvl w:val="0"/>
          <w:numId w:val="1021"/>
        </w:numPr>
      </w:pPr>
      <w:r>
        <w:t xml:space="preserve">Nonlinear degradation (capacity fade about 2% annually)</w:t>
      </w:r>
    </w:p>
    <w:p>
      <w:pPr>
        <w:numPr>
          <w:ilvl w:val="0"/>
          <w:numId w:val="1021"/>
        </w:numPr>
      </w:pPr>
      <w:r>
        <w:t xml:space="preserve">State-of-health dependent efficiency</w:t>
      </w:r>
    </w:p>
    <w:p>
      <w:pPr>
        <w:numPr>
          <w:ilvl w:val="0"/>
          <w:numId w:val="1021"/>
        </w:numPr>
      </w:pPr>
      <w:r>
        <w:t xml:space="preserve">Temperature-dependent performance</w:t>
      </w:r>
    </w:p>
    <w:p>
      <w:pPr>
        <w:numPr>
          <w:ilvl w:val="0"/>
          <w:numId w:val="1021"/>
        </w:numPr>
      </w:pPr>
      <w:r>
        <w:t xml:space="preserve">C-rate limitations at high charge/discharge rates</w:t>
      </w:r>
    </w:p>
    <w:p>
      <w:pPr>
        <w:pStyle w:val="FirstParagraph"/>
      </w:pPr>
      <w:r>
        <w:t xml:space="preserve">Future work should incorporate physics-informed battery models.</w:t>
      </w:r>
    </w:p>
    <w:p>
      <w:pPr>
        <w:pStyle w:val="BodyText"/>
      </w:pPr>
      <w:r>
        <w:rPr>
          <w:b/>
          <w:bCs/>
        </w:rPr>
        <w:t xml:space="preserve">Single-Point Forecasts for Optimization</w:t>
      </w:r>
      <w:r>
        <w:t xml:space="preserve">: While we generate prediction intervals, the MILP optimizer uses point forecasts. Stochastic programming or robust optimization approaches would better handle uncertainty but at significant computational cost (10–100x slower).</w:t>
      </w:r>
    </w:p>
    <w:p>
      <w:pPr>
        <w:pStyle w:val="BodyText"/>
      </w:pPr>
      <w:r>
        <w:rPr>
          <w:b/>
          <w:bCs/>
        </w:rPr>
        <w:t xml:space="preserve">No Market Dynamics</w:t>
      </w:r>
      <w:r>
        <w:t xml:space="preserve">: Electricity prices are treated as exogenous parameters. In reality, large battery dispatch (</w:t>
      </w:r>
      <m:oMath>
        <m:r>
          <m:rPr>
            <m:sty m:val="p"/>
          </m:rPr>
          <m:t>&gt;</m:t>
        </m:r>
        <m:r>
          <m:t>100</m:t>
        </m:r>
      </m:oMath>
      <w:r>
        <w:t xml:space="preserve"> </w:t>
      </w:r>
      <w:r>
        <w:t xml:space="preserve">MW) influences market clearing prices, creating feedback effects our model ignores. Market impact modeling would be required for utility-scale deployment.</w:t>
      </w:r>
    </w:p>
    <w:p>
      <w:pPr>
        <w:pStyle w:val="BodyText"/>
      </w:pPr>
      <w:r>
        <w:rPr>
          <w:b/>
          <w:bCs/>
        </w:rPr>
        <w:t xml:space="preserve">Single Asset Optimization</w:t>
      </w:r>
      <w:r>
        <w:t xml:space="preserve">: We optimize a single battery independently. Real grid operations involve coordination across multiple batteries, demand response assets, and EV fleets – a multi-agent optimization problem not addressed here.</w:t>
      </w:r>
    </w:p>
    <w:bookmarkEnd w:id="76"/>
    <w:bookmarkStart w:id="77" w:name="evaluation-limitations"/>
    <w:p>
      <w:pPr>
        <w:pStyle w:val="Heading2"/>
      </w:pPr>
      <w:r>
        <w:t xml:space="preserve">Evaluation Limitations</w:t>
      </w:r>
    </w:p>
    <w:p>
      <w:pPr>
        <w:pStyle w:val="FirstParagraph"/>
      </w:pPr>
      <w:r>
        <w:rPr>
          <w:b/>
          <w:bCs/>
        </w:rPr>
        <w:t xml:space="preserve">Simulation vs. Reality</w:t>
      </w:r>
      <w:r>
        <w:t xml:space="preserve">: Our dispatch optimization runs on historical data in simulation. Real-world deployment faces communication latencies (50–500ms round-trip), measurement errors (</w:t>
      </w:r>
      <m:oMath>
        <m:r>
          <m:rPr>
            <m:sty m:val="p"/>
          </m:rPr>
          <m:t>±</m:t>
        </m:r>
      </m:oMath>
      <w:r>
        <w:t xml:space="preserve">1–2%), control system constraints and delays, and unmodeled grid events (frequency deviations, voltage issues).</w:t>
      </w:r>
    </w:p>
    <w:p>
      <w:pPr>
        <w:pStyle w:val="BodyText"/>
      </w:pPr>
      <w:r>
        <w:rPr>
          <w:b/>
          <w:bCs/>
        </w:rPr>
        <w:t xml:space="preserve">No A/B Testing</w:t>
      </w:r>
      <w:r>
        <w:t xml:space="preserve">: Results represent offline backtesting. True business impact requires controlled deployment trials with grid operators.</w:t>
      </w:r>
    </w:p>
    <w:p>
      <w:pPr>
        <w:pStyle w:val="BodyText"/>
      </w:pPr>
      <w:r>
        <w:rPr>
          <w:b/>
          <w:bCs/>
        </w:rPr>
        <w:t xml:space="preserve">Limited Ablation Variance</w:t>
      </w:r>
      <w:r>
        <w:t xml:space="preserve">: The ablation study shows limited variance because optimization is deterministic given forecasts. Stochastic elements (multiple forecast samples, bootstrap training) would provide more statistically robust conclusions.</w:t>
      </w:r>
    </w:p>
    <w:bookmarkEnd w:id="77"/>
    <w:bookmarkEnd w:id="78"/>
    <w:bookmarkStart w:id="84" w:name="broader-impact"/>
    <w:p>
      <w:pPr>
        <w:pStyle w:val="Heading1"/>
      </w:pPr>
      <w:r>
        <w:t xml:space="preserve">Broader Impact</w:t>
      </w:r>
    </w:p>
    <w:bookmarkStart w:id="79" w:name="positive-societal-implications"/>
    <w:p>
      <w:pPr>
        <w:pStyle w:val="Heading2"/>
      </w:pPr>
      <w:r>
        <w:t xml:space="preserve">Positive Societal Implications</w:t>
      </w:r>
    </w:p>
    <w:p>
      <w:pPr>
        <w:pStyle w:val="FirstParagraph"/>
      </w:pPr>
      <w:r>
        <w:rPr>
          <w:b/>
          <w:bCs/>
        </w:rPr>
        <w:t xml:space="preserve">Climate Change Mitigation</w:t>
      </w:r>
      <w:r>
        <w:t xml:space="preserve">: Our system demonstrates 0.58% carbon reduction in battery dispatch (8.5M kg CO</w:t>
      </w:r>
      <m:oMath>
        <m:sSub>
          <m:e>
            <m:r>
              <m:t>​</m:t>
            </m:r>
          </m:e>
          <m:sub>
            <m:r>
              <m:t>2</m:t>
            </m:r>
          </m:sub>
        </m:sSub>
      </m:oMath>
      <w:r>
        <w:t xml:space="preserve"> </w:t>
      </w:r>
      <w:r>
        <w:t xml:space="preserve">avoided over 7 days). At scale:</w:t>
      </w:r>
    </w:p>
    <w:p>
      <w:pPr>
        <w:numPr>
          <w:ilvl w:val="0"/>
          <w:numId w:val="1022"/>
        </w:numPr>
      </w:pPr>
      <w:r>
        <w:t xml:space="preserve">Global grid-scale storage: about 50 GW by 2030.</w:t>
      </w:r>
    </w:p>
    <w:p>
      <w:pPr>
        <w:numPr>
          <w:ilvl w:val="0"/>
          <w:numId w:val="1022"/>
        </w:numPr>
      </w:pPr>
      <w:r>
        <w:t xml:space="preserve">If similar approaches achieve 0.5% reduction broadly: 15–25 million tonnes CO</w:t>
      </w:r>
      <m:oMath>
        <m:sSub>
          <m:e>
            <m:r>
              <m:t>​</m:t>
            </m:r>
          </m:e>
          <m:sub>
            <m:r>
              <m:t>2</m:t>
            </m:r>
          </m:sub>
        </m:sSub>
      </m:oMath>
      <w:r>
        <w:t xml:space="preserve"> </w:t>
      </w:r>
      <w:r>
        <w:t xml:space="preserve">annually.</w:t>
      </w:r>
    </w:p>
    <w:p>
      <w:pPr>
        <w:numPr>
          <w:ilvl w:val="0"/>
          <w:numId w:val="1022"/>
        </w:numPr>
      </w:pPr>
      <w:r>
        <w:t xml:space="preserve">Equivalent to removing 3–5 million cars from roads.</w:t>
      </w:r>
    </w:p>
    <w:p>
      <w:pPr>
        <w:pStyle w:val="FirstParagraph"/>
      </w:pPr>
      <w:r>
        <w:rPr>
          <w:b/>
          <w:bCs/>
        </w:rPr>
        <w:t xml:space="preserve">Grid Reliability and Renewable Integration</w:t>
      </w:r>
      <w:r>
        <w:t xml:space="preserve">: Improved forecasting enables better integration of variable renewable energy while maintaining grid stability. Wind and solar curtailment (currently 2–5% of generation) could be reduced significantly.</w:t>
      </w:r>
    </w:p>
    <w:p>
      <w:pPr>
        <w:pStyle w:val="BodyText"/>
      </w:pPr>
      <w:r>
        <w:rPr>
          <w:b/>
          <w:bCs/>
        </w:rPr>
        <w:t xml:space="preserve">Economic Efficiency</w:t>
      </w:r>
      <w:r>
        <w:t xml:space="preserve">: Cost savings of 2.89% ($4.47M/week) can reduce electricity bills for consumers, improve utility financial sustainability, and accelerate battery storage payback periods from about 8 years to about 6 years.</w:t>
      </w:r>
    </w:p>
    <w:p>
      <w:pPr>
        <w:pStyle w:val="BodyText"/>
      </w:pPr>
      <w:r>
        <w:rPr>
          <w:b/>
          <w:bCs/>
        </w:rPr>
        <w:t xml:space="preserve">Open Science Contribution</w:t>
      </w:r>
      <w:r>
        <w:t xml:space="preserve">: Our open-source release enables reproducibility, adaptation to other grid regions, and educational use in energy systems courses.</w:t>
      </w:r>
    </w:p>
    <w:bookmarkEnd w:id="79"/>
    <w:bookmarkStart w:id="80" w:name="potential-negative-consequences"/>
    <w:p>
      <w:pPr>
        <w:pStyle w:val="Heading2"/>
      </w:pPr>
      <w:r>
        <w:t xml:space="preserve">Potential Negative Consequences</w:t>
      </w:r>
    </w:p>
    <w:p>
      <w:pPr>
        <w:pStyle w:val="FirstParagraph"/>
      </w:pPr>
      <w:r>
        <w:rPr>
          <w:b/>
          <w:bCs/>
        </w:rPr>
        <w:t xml:space="preserve">Job Displacement</w:t>
      </w:r>
      <w:r>
        <w:t xml:space="preserve">: Automation of dispatch decisions may reduce demand for human grid operators. Current MISO employs about 100 operators per shift; ML-augmented systems could reduce this to 60–80. Recommendation: gradual deployment with retraining programs for workforce transition to monitoring and exception-handling roles.</w:t>
      </w:r>
    </w:p>
    <w:p>
      <w:pPr>
        <w:pStyle w:val="BodyText"/>
      </w:pPr>
      <w:r>
        <w:rPr>
          <w:b/>
          <w:bCs/>
        </w:rPr>
        <w:t xml:space="preserve">Equity Concerns</w:t>
      </w:r>
      <w:r>
        <w:t xml:space="preserve">: Optimization systems prioritizing cost may inadvertently disadvantage regions with less favorable grid connections or renewable resources. Recommendation: equity-weighted objective functions that include social cost factors and regulatory oversight of ML dispatch systems.</w:t>
      </w:r>
    </w:p>
    <w:p>
      <w:pPr>
        <w:pStyle w:val="BodyText"/>
      </w:pPr>
      <w:r>
        <w:rPr>
          <w:b/>
          <w:bCs/>
        </w:rPr>
        <w:t xml:space="preserve">Dual Use Risk</w:t>
      </w:r>
      <w:r>
        <w:t xml:space="preserve">: High-accuracy grid forecasting could enable adversarial actors to predict grid vulnerabilities. Recommendation: access controls for production models, security audits, and rate limiting on prediction APIs.</w:t>
      </w:r>
    </w:p>
    <w:p>
      <w:pPr>
        <w:pStyle w:val="BodyText"/>
      </w:pPr>
      <w:r>
        <w:rPr>
          <w:b/>
          <w:bCs/>
        </w:rPr>
        <w:t xml:space="preserve">Algorithmic Bias</w:t>
      </w:r>
      <w:r>
        <w:t xml:space="preserve">: Models trained primarily on developed-nation grids may embed assumptions about load patterns, renewable availability, and grid infrastructure quality. Validation on diverse grid contexts is required before global deployment.</w:t>
      </w:r>
    </w:p>
    <w:bookmarkEnd w:id="80"/>
    <w:bookmarkStart w:id="81" w:name="environmental-footprint-of-ml"/>
    <w:p>
      <w:pPr>
        <w:pStyle w:val="Heading2"/>
      </w:pPr>
      <w:r>
        <w:t xml:space="preserve">Environmental Footprint of ML</w:t>
      </w:r>
    </w:p>
    <w:p>
      <w:pPr>
        <w:pStyle w:val="FirstParagraph"/>
      </w:pPr>
      <w:r>
        <w:rPr>
          <w:b/>
          <w:bCs/>
        </w:rPr>
        <w:t xml:space="preserve">Training Carbon Footprint</w:t>
      </w:r>
      <w:r>
        <w:t xml:space="preserve">: Total training compute is about 45 kWh, or about 15 kg CO</w:t>
      </w:r>
      <m:oMath>
        <m:sSub>
          <m:e>
            <m:r>
              <m:t>​</m:t>
            </m:r>
          </m:e>
          <m:sub>
            <m:r>
              <m:t>2</m:t>
            </m:r>
          </m:sub>
        </m:sSub>
      </m:oMath>
      <w:r>
        <w:t xml:space="preserve"> </w:t>
      </w:r>
      <w:r>
        <w:t xml:space="preserve">using US average grid. Offset time is less than 1 hour of deployment savings.</w:t>
      </w:r>
    </w:p>
    <w:p>
      <w:pPr>
        <w:pStyle w:val="BodyText"/>
      </w:pPr>
      <w:r>
        <w:rPr>
          <w:b/>
          <w:bCs/>
        </w:rPr>
        <w:t xml:space="preserve">Inference Carbon Footprint</w:t>
      </w:r>
      <w:r>
        <w:t xml:space="preserve">: Per prediction is about 0.0001 kWh. Annual operation is about 876 kWh (290 kg CO</w:t>
      </w:r>
      <m:oMath>
        <m:sSub>
          <m:e>
            <m:r>
              <m:t>​</m:t>
            </m:r>
          </m:e>
          <m:sub>
            <m:r>
              <m:t>2</m:t>
            </m:r>
          </m:sub>
        </m:sSub>
      </m:oMath>
      <w:r>
        <w:t xml:space="preserve">). Net savings (8.5M kg CO</w:t>
      </w:r>
      <m:oMath>
        <m:sSub>
          <m:e>
            <m:r>
              <m:t>​</m:t>
            </m:r>
          </m:e>
          <m:sub>
            <m:r>
              <m:t>2</m:t>
            </m:r>
          </m:sub>
        </m:sSub>
      </m:oMath>
      <w:r>
        <w:t xml:space="preserve">/week) far exceed 290 kg/year.</w:t>
      </w:r>
    </w:p>
    <w:bookmarkEnd w:id="81"/>
    <w:bookmarkStart w:id="82" w:name="data-privacy"/>
    <w:p>
      <w:pPr>
        <w:pStyle w:val="Heading2"/>
      </w:pPr>
      <w:r>
        <w:t xml:space="preserve">Data Privacy</w:t>
      </w:r>
    </w:p>
    <w:p>
      <w:pPr>
        <w:pStyle w:val="FirstParagraph"/>
      </w:pPr>
      <w:r>
        <w:t xml:space="preserve">Our system uses only aggregate grid-level data: no individual household consumption or personally identifiable information. Future extensions incorporating demand response would require privacy-preserving techniques.</w:t>
      </w:r>
    </w:p>
    <w:bookmarkEnd w:id="82"/>
    <w:bookmarkStart w:id="83" w:name="regulatory-compliance"/>
    <w:p>
      <w:pPr>
        <w:pStyle w:val="Heading2"/>
      </w:pPr>
      <w:r>
        <w:t xml:space="preserve">Regulatory Compliance</w:t>
      </w:r>
    </w:p>
    <w:p>
      <w:pPr>
        <w:pStyle w:val="FirstParagraph"/>
      </w:pPr>
      <w:r>
        <w:t xml:space="preserve">Grid dispatch systems are subject to FERC (US) and ENTSO-E (EU) regulations. Our system maintains human oversight, logs decisions for audit, provides explainability via SHAP feature importance, and fails safely to conservative dispatch on errors.</w:t>
      </w:r>
    </w:p>
    <w:bookmarkEnd w:id="83"/>
    <w:bookmarkEnd w:id="84"/>
    <w:bookmarkStart w:id="88" w:name="future-work"/>
    <w:p>
      <w:pPr>
        <w:pStyle w:val="Heading1"/>
      </w:pPr>
      <w:r>
        <w:t xml:space="preserve">Future Work</w:t>
      </w:r>
    </w:p>
    <w:bookmarkStart w:id="85" w:name="short-term-extensions"/>
    <w:p>
      <w:pPr>
        <w:pStyle w:val="Heading2"/>
      </w:pPr>
      <w:r>
        <w:t xml:space="preserve">Short-Term Extensions</w:t>
      </w:r>
    </w:p>
    <w:p>
      <w:pPr>
        <w:pStyle w:val="FirstParagraph"/>
      </w:pPr>
      <w:r>
        <w:rPr>
          <w:b/>
          <w:bCs/>
        </w:rPr>
        <w:t xml:space="preserve">Multi-Task Learning</w:t>
      </w:r>
      <w:r>
        <w:t xml:space="preserve">: Joint forecasting of load, wind, and solar using shared representations. Early experiments suggest 5–10% improvement from cross-target information transfer.</w:t>
      </w:r>
    </w:p>
    <w:p>
      <w:pPr>
        <w:pStyle w:val="BodyText"/>
      </w:pPr>
      <w:r>
        <w:rPr>
          <w:b/>
          <w:bCs/>
        </w:rPr>
        <w:t xml:space="preserve">Probabilistic Optimization</w:t>
      </w:r>
      <w:r>
        <w:t xml:space="preserve">: Replace point-forecast MILP with stochastic programming using conformal intervals. Expected improvement in extreme-event handling.</w:t>
      </w:r>
    </w:p>
    <w:p>
      <w:pPr>
        <w:pStyle w:val="BodyText"/>
      </w:pPr>
      <w:r>
        <w:rPr>
          <w:b/>
          <w:bCs/>
        </w:rPr>
        <w:t xml:space="preserve">Real-Time Incremental Learning</w:t>
      </w:r>
      <w:r>
        <w:t xml:space="preserve">: Online model updates as new data arrives, eliminating batch retraining overhead while maintaining accuracy.</w:t>
      </w:r>
    </w:p>
    <w:bookmarkEnd w:id="85"/>
    <w:bookmarkStart w:id="86" w:name="medium-term-research-12-years"/>
    <w:p>
      <w:pPr>
        <w:pStyle w:val="Heading2"/>
      </w:pPr>
      <w:r>
        <w:t xml:space="preserve">Medium-Term Research (1–2 years)</w:t>
      </w:r>
    </w:p>
    <w:p>
      <w:pPr>
        <w:pStyle w:val="FirstParagraph"/>
      </w:pPr>
      <w:r>
        <w:rPr>
          <w:b/>
          <w:bCs/>
        </w:rPr>
        <w:t xml:space="preserve">Transformer Architectures</w:t>
      </w:r>
      <w:r>
        <w:t xml:space="preserve">: Apply PatchTST, Informer, or TimesFM to energy forecasting. Initial exploration shows mixed results, requiring extensive hyperparameter tuning.</w:t>
      </w:r>
    </w:p>
    <w:p>
      <w:pPr>
        <w:pStyle w:val="BodyText"/>
      </w:pPr>
      <w:r>
        <w:rPr>
          <w:b/>
          <w:bCs/>
        </w:rPr>
        <w:t xml:space="preserve">Graph Neural Networks</w:t>
      </w:r>
      <w:r>
        <w:t xml:space="preserve">: Model spatial correlations between grid nodes, substations, and renewable plants. Particularly relevant for wind farm wake effects and transmission constraints.</w:t>
      </w:r>
    </w:p>
    <w:p>
      <w:pPr>
        <w:pStyle w:val="BodyText"/>
      </w:pPr>
      <w:r>
        <w:rPr>
          <w:b/>
          <w:bCs/>
        </w:rPr>
        <w:t xml:space="preserve">Reinforcement Learning for Sequential Dispatch</w:t>
      </w:r>
      <w:r>
        <w:t xml:space="preserve">: Move beyond myopic MILP to RL-based policies that optimize over multi-week horizons, accounting for battery degradation and seasonal patterns.</w:t>
      </w:r>
    </w:p>
    <w:p>
      <w:pPr>
        <w:pStyle w:val="BodyText"/>
      </w:pPr>
      <w:r>
        <w:rPr>
          <w:b/>
          <w:bCs/>
        </w:rPr>
        <w:t xml:space="preserve">Multi-Asset Coordination</w:t>
      </w:r>
      <w:r>
        <w:t xml:space="preserve">: Extend from single-battery optimization to coordinated dispatch of multiple batteries, demand response aggregators, electric vehicle fleets, and distributed energy resources.</w:t>
      </w:r>
    </w:p>
    <w:bookmarkEnd w:id="86"/>
    <w:bookmarkStart w:id="87" w:name="long-term-vision-25-years"/>
    <w:p>
      <w:pPr>
        <w:pStyle w:val="Heading2"/>
      </w:pPr>
      <w:r>
        <w:t xml:space="preserve">Long-Term Vision (2–5 years)</w:t>
      </w:r>
    </w:p>
    <w:p>
      <w:pPr>
        <w:pStyle w:val="FirstParagraph"/>
      </w:pPr>
      <w:r>
        <w:rPr>
          <w:b/>
          <w:bCs/>
        </w:rPr>
        <w:t xml:space="preserve">Federated Learning Across Grid Operators</w:t>
      </w:r>
      <w:r>
        <w:t xml:space="preserve">: Privacy-preserving model training across utilities without sharing raw data. Addresses data governance concerns while enabling global model improvement.</w:t>
      </w:r>
    </w:p>
    <w:p>
      <w:pPr>
        <w:pStyle w:val="BodyText"/>
      </w:pPr>
      <w:r>
        <w:rPr>
          <w:b/>
          <w:bCs/>
        </w:rPr>
        <w:t xml:space="preserve">Causal Discovery for Root-Cause Analysis</w:t>
      </w:r>
      <w:r>
        <w:t xml:space="preserve">: Move beyond correlation-based forecasting to understand causal mechanisms (weather</w:t>
      </w:r>
      <w:r>
        <w:t xml:space="preserve"> </w:t>
      </w:r>
      <m:oMath>
        <m:r>
          <m:rPr>
            <m:sty m:val="p"/>
          </m:rPr>
          <m:t>→</m:t>
        </m:r>
      </m:oMath>
      <w:r>
        <w:t xml:space="preserve"> </w:t>
      </w:r>
      <w:r>
        <w:t xml:space="preserve">generation</w:t>
      </w:r>
      <w:r>
        <w:t xml:space="preserve"> </w:t>
      </w:r>
      <m:oMath>
        <m:r>
          <m:rPr>
            <m:sty m:val="p"/>
          </m:rPr>
          <m:t>→</m:t>
        </m:r>
      </m:oMath>
      <w:r>
        <w:t xml:space="preserve"> </w:t>
      </w:r>
      <w:r>
        <w:t xml:space="preserve">prices</w:t>
      </w:r>
      <w:r>
        <w:t xml:space="preserve"> </w:t>
      </w:r>
      <m:oMath>
        <m:r>
          <m:rPr>
            <m:sty m:val="p"/>
          </m:rPr>
          <m:t>→</m:t>
        </m:r>
      </m:oMath>
      <w:r>
        <w:t xml:space="preserve"> </w:t>
      </w:r>
      <w:r>
        <w:t xml:space="preserve">dispatch). Enables counterfactual analysis for planning.</w:t>
      </w:r>
    </w:p>
    <w:p>
      <w:pPr>
        <w:pStyle w:val="BodyText"/>
      </w:pPr>
      <w:r>
        <w:rPr>
          <w:b/>
          <w:bCs/>
        </w:rPr>
        <w:t xml:space="preserve">Digital Twin Integration</w:t>
      </w:r>
      <w:r>
        <w:t xml:space="preserve">: Couple ML forecasts with physics-based grid simulators for realistic fault scenario analysis and contingency planning.</w:t>
      </w:r>
    </w:p>
    <w:p>
      <w:pPr>
        <w:pStyle w:val="BodyText"/>
      </w:pPr>
      <w:r>
        <w:rPr>
          <w:b/>
          <w:bCs/>
        </w:rPr>
        <w:t xml:space="preserve">Carbon-Aware Computing</w:t>
      </w:r>
      <w:r>
        <w:t xml:space="preserve">: Extend carbon optimization from grid dispatch to the ML system itself – schedule model training during low-carbon periods.</w:t>
      </w:r>
    </w:p>
    <w:bookmarkEnd w:id="87"/>
    <w:bookmarkEnd w:id="88"/>
    <w:bookmarkStart w:id="90" w:name="conclusion"/>
    <w:p>
      <w:pPr>
        <w:pStyle w:val="Heading1"/>
      </w:pPr>
      <w:r>
        <w:t xml:space="preserve">Conclusion</w:t>
      </w:r>
    </w:p>
    <w:p>
      <w:pPr>
        <w:pStyle w:val="FirstParagraph"/>
      </w:pPr>
      <w:r>
        <w:t xml:space="preserve">We present GridPulse, an integrated machine learning system addressing the critical challenge of renewable energy integration through forecast-driven battery dispatch optimization. Our key contributions and findings include:</w:t>
      </w:r>
    </w:p>
    <w:p>
      <w:pPr>
        <w:pStyle w:val="BodyText"/>
      </w:pPr>
      <w:r>
        <w:rPr>
          <w:b/>
          <w:bCs/>
        </w:rPr>
        <w:t xml:space="preserve">Forecasting Performance</w:t>
      </w:r>
      <w:r>
        <w:t xml:space="preserve">: Gradient boosting models (LightGBM) consistently outperform both persistence baselines and deep learning alternatives on tabular energy data. For load forecasting, GBM achieves 271 MW RMSE – a 95.5% improvement over the 24-hour persistence baseline (6,011 MW). Wind forecasting shows similar gains with 127 MW RMSE versus 7,780 MW for persistence (98.4% improvement).</w:t>
      </w:r>
    </w:p>
    <w:p>
      <w:pPr>
        <w:pStyle w:val="BodyText"/>
      </w:pPr>
      <w:r>
        <w:rPr>
          <w:b/>
          <w:bCs/>
        </w:rPr>
        <w:t xml:space="preserve">Uncertainty Quantification</w:t>
      </w:r>
      <w:r>
        <w:t xml:space="preserve">: Split conformal prediction provides calibrated prediction intervals without distributional assumptions. Load forecasts achieve 92.4% coverage at the 90% nominal level, exceeding the theoretical guarantee. The method proves robust across both the German (OPSD) and US (EIA-930) datasets, with coverage degradation observed only for high-variability renewable sources.</w:t>
      </w:r>
    </w:p>
    <w:p>
      <w:pPr>
        <w:pStyle w:val="BodyText"/>
      </w:pPr>
      <w:r>
        <w:rPr>
          <w:b/>
          <w:bCs/>
        </w:rPr>
        <w:t xml:space="preserve">Optimization Impact</w:t>
      </w:r>
      <w:r>
        <w:t xml:space="preserve">: The forecast-optimized MILP dispatch achieves 2.89% cost reduction ($4.47M over 7 days) and 0.58% carbon reduction (8.5M kg CO</w:t>
      </w:r>
      <m:oMath>
        <m:sSub>
          <m:e>
            <m:r>
              <m:t>​</m:t>
            </m:r>
          </m:e>
          <m:sub>
            <m:r>
              <m:t>2</m:t>
            </m:r>
          </m:sub>
        </m:sSub>
      </m:oMath>
      <w:r>
        <w:t xml:space="preserve">) compared to grid-only operation. The system maintains 0% infeasibility under 30% forecast perturbations, demonstrating robust constraint satisfaction critical for operational reliability.</w:t>
      </w:r>
    </w:p>
    <w:p>
      <w:pPr>
        <w:pStyle w:val="BodyText"/>
      </w:pPr>
      <w:r>
        <w:rPr>
          <w:b/>
          <w:bCs/>
        </w:rPr>
        <w:t xml:space="preserve">Production Readiness</w:t>
      </w:r>
      <w:r>
        <w:t xml:space="preserve">: The complete system includes automated drift detection (Kolmogorov-Smirnov tests), configurable retraining triggers, FastAPI inference endpoints (</w:t>
      </w:r>
      <m:oMath>
        <m:r>
          <m:rPr>
            <m:sty m:val="p"/>
          </m:rPr>
          <m:t>&lt;</m:t>
        </m:r>
      </m:oMath>
      <w:r>
        <w:t xml:space="preserve">15ms p99 latency), and comprehensive monitoring dashboards. All components are validated through 15 unit tests and 14 reproducible notebooks.</w:t>
      </w:r>
    </w:p>
    <w:p>
      <w:pPr>
        <w:pStyle w:val="BodyText"/>
      </w:pPr>
      <w:r>
        <w:t xml:space="preserve">GridPulse demonstrates that end-to-end ML systems can deliver measurable economic and environmental benefits for grid operators, bridging the gap between research prototypes and production deployment. The open-source release enables reproducibility and adaptation to other grid regions and market structures.</w:t>
      </w:r>
    </w:p>
    <w:p>
      <w:pPr>
        <w:pStyle w:val="BodyText"/>
      </w:pPr>
      <w:r>
        <w:t xml:space="preserve">99</w:t>
      </w:r>
    </w:p>
    <w:p>
      <w:pPr>
        <w:pStyle w:val="BodyText"/>
      </w:pPr>
      <w:r>
        <w:t xml:space="preserve">T. Hong and S. Fan.</w:t>
      </w:r>
      <w:r>
        <w:t xml:space="preserve"> </w:t>
      </w:r>
      <w:r>
        <w:t xml:space="preserve">Probabilistic electric load forecasting: A tutorial review.</w:t>
      </w:r>
      <w:r>
        <w:t xml:space="preserve"> </w:t>
      </w:r>
      <w:r>
        <w:rPr>
          <w:i/>
          <w:iCs/>
        </w:rPr>
        <w:t xml:space="preserve">International Journal of Forecasting</w:t>
      </w:r>
      <w:r>
        <w:t xml:space="preserve">, 32(3):914–938, 2016.</w:t>
      </w:r>
    </w:p>
    <w:p>
      <w:pPr>
        <w:pStyle w:val="BodyText"/>
      </w:pPr>
      <w:r>
        <w:t xml:space="preserve">G. Ke et al.</w:t>
      </w:r>
      <w:r>
        <w:t xml:space="preserve"> </w:t>
      </w:r>
      <w:r>
        <w:t xml:space="preserve">LightGBM: A highly efficient gradient boosting decision tree.</w:t>
      </w:r>
      <w:r>
        <w:t xml:space="preserve"> </w:t>
      </w:r>
      <w:r>
        <w:t xml:space="preserve">In</w:t>
      </w:r>
      <w:r>
        <w:t xml:space="preserve"> </w:t>
      </w:r>
      <w:r>
        <w:rPr>
          <w:i/>
          <w:iCs/>
        </w:rPr>
        <w:t xml:space="preserve">NeurIPS</w:t>
      </w:r>
      <w:r>
        <w:t xml:space="preserve">, 2017.</w:t>
      </w:r>
    </w:p>
    <w:p>
      <w:pPr>
        <w:pStyle w:val="BodyText"/>
      </w:pPr>
      <w:r>
        <w:t xml:space="preserve">S. Hochreiter and J. Schmidhuber.</w:t>
      </w:r>
      <w:r>
        <w:t xml:space="preserve"> </w:t>
      </w:r>
      <w:r>
        <w:t xml:space="preserve">Long short-term memory.</w:t>
      </w:r>
      <w:r>
        <w:t xml:space="preserve"> </w:t>
      </w:r>
      <w:r>
        <w:rPr>
          <w:i/>
          <w:iCs/>
        </w:rPr>
        <w:t xml:space="preserve">Neural Computation</w:t>
      </w:r>
      <w:r>
        <w:t xml:space="preserve">, 9(8):1735–1780, 1997.</w:t>
      </w:r>
    </w:p>
    <w:p>
      <w:pPr>
        <w:pStyle w:val="BodyText"/>
      </w:pPr>
      <w:r>
        <w:t xml:space="preserve">B. Xu et al.</w:t>
      </w:r>
      <w:r>
        <w:t xml:space="preserve"> </w:t>
      </w:r>
      <w:r>
        <w:t xml:space="preserve">Optimal battery storage for frequency regulation.</w:t>
      </w:r>
      <w:r>
        <w:t xml:space="preserve"> </w:t>
      </w:r>
      <w:r>
        <w:rPr>
          <w:i/>
          <w:iCs/>
        </w:rPr>
        <w:t xml:space="preserve">IEEE Transactions on Smart Grid</w:t>
      </w:r>
      <w:r>
        <w:t xml:space="preserve">, 2018.</w:t>
      </w:r>
    </w:p>
    <w:p>
      <w:pPr>
        <w:pStyle w:val="BodyText"/>
      </w:pPr>
      <w:r>
        <w:t xml:space="preserve">D. Bertsimas and M. Sim.</w:t>
      </w:r>
      <w:r>
        <w:t xml:space="preserve"> </w:t>
      </w:r>
      <w:r>
        <w:t xml:space="preserve">The price of robustness.</w:t>
      </w:r>
      <w:r>
        <w:t xml:space="preserve"> </w:t>
      </w:r>
      <w:r>
        <w:rPr>
          <w:i/>
          <w:iCs/>
        </w:rPr>
        <w:t xml:space="preserve">Operations Research</w:t>
      </w:r>
      <w:r>
        <w:t xml:space="preserve">, 52(1):35–53, 2004.</w:t>
      </w:r>
    </w:p>
    <w:p>
      <w:pPr>
        <w:pStyle w:val="BodyText"/>
      </w:pPr>
      <w:r>
        <w:t xml:space="preserve">J.R. Vazquez-Canteli and Z. Nagy.</w:t>
      </w:r>
      <w:r>
        <w:t xml:space="preserve"> </w:t>
      </w:r>
      <w:r>
        <w:t xml:space="preserve">Reinforcement learning for demand response.</w:t>
      </w:r>
      <w:r>
        <w:t xml:space="preserve"> </w:t>
      </w:r>
      <w:r>
        <w:rPr>
          <w:i/>
          <w:iCs/>
        </w:rPr>
        <w:t xml:space="preserve">Applied Energy</w:t>
      </w:r>
      <w:r>
        <w:t xml:space="preserve">, 235:1072–1089, 2019.</w:t>
      </w:r>
    </w:p>
    <w:p>
      <w:pPr>
        <w:pStyle w:val="BodyText"/>
      </w:pPr>
      <w:r>
        <w:t xml:space="preserve">V. Vovk, A. Gammerman, and G. Shafer.</w:t>
      </w:r>
      <w:r>
        <w:t xml:space="preserve"> </w:t>
      </w:r>
      <w:r>
        <w:rPr>
          <w:i/>
          <w:iCs/>
        </w:rPr>
        <w:t xml:space="preserve">Algorithmic Learning in a Random World</w:t>
      </w:r>
      <w:r>
        <w:t xml:space="preserve">.</w:t>
      </w:r>
      <w:r>
        <w:t xml:space="preserve"> </w:t>
      </w:r>
      <w:r>
        <w:t xml:space="preserve">Springer, 2005.</w:t>
      </w:r>
    </w:p>
    <w:p>
      <w:pPr>
        <w:pStyle w:val="BodyText"/>
      </w:pPr>
      <w:r>
        <w:t xml:space="preserve">L. Grinsztajn, E. Oyallon, and G. Varoquaux.</w:t>
      </w:r>
      <w:r>
        <w:t xml:space="preserve"> </w:t>
      </w:r>
      <w:r>
        <w:t xml:space="preserve">Why do tree-based models still outperform deep learning on tabular data?</w:t>
      </w:r>
      <w:r>
        <w:t xml:space="preserve"> </w:t>
      </w:r>
      <w:r>
        <w:t xml:space="preserve">In</w:t>
      </w:r>
      <w:r>
        <w:t xml:space="preserve"> </w:t>
      </w:r>
      <w:r>
        <w:rPr>
          <w:i/>
          <w:iCs/>
        </w:rPr>
        <w:t xml:space="preserve">NeurIPS</w:t>
      </w:r>
      <w:r>
        <w:t xml:space="preserve">, 2022.</w:t>
      </w:r>
    </w:p>
    <w:p>
      <w:pPr>
        <w:pStyle w:val="BodyText"/>
      </w:pPr>
      <w:r>
        <w:t xml:space="preserve">R.J. Hyndman and G. Athanasopoulos.</w:t>
      </w:r>
      <w:r>
        <w:t xml:space="preserve"> </w:t>
      </w:r>
      <w:r>
        <w:rPr>
          <w:i/>
          <w:iCs/>
        </w:rPr>
        <w:t xml:space="preserve">Forecasting: Principles and Practice</w:t>
      </w:r>
      <w:r>
        <w:t xml:space="preserve">. 3rd ed. OTexts, 2021.</w:t>
      </w:r>
    </w:p>
    <w:p>
      <w:pPr>
        <w:pStyle w:val="BodyText"/>
      </w:pPr>
      <w:r>
        <w:t xml:space="preserve">R.B. Cleveland et al.</w:t>
      </w:r>
      <w:r>
        <w:t xml:space="preserve"> </w:t>
      </w:r>
      <w:r>
        <w:t xml:space="preserve">STL: A seasonal-trend decomposition procedure based on loess.</w:t>
      </w:r>
      <w:r>
        <w:t xml:space="preserve"> </w:t>
      </w:r>
      <w:r>
        <w:rPr>
          <w:i/>
          <w:iCs/>
        </w:rPr>
        <w:t xml:space="preserve">Journal of Official Statistics</w:t>
      </w:r>
      <w:r>
        <w:t xml:space="preserve">, 6(1):3–73, 1990.</w:t>
      </w:r>
    </w:p>
    <w:p>
      <w:pPr>
        <w:pStyle w:val="BodyText"/>
      </w:pPr>
      <w:r>
        <w:t xml:space="preserve">T. Hong et al.</w:t>
      </w:r>
      <w:r>
        <w:t xml:space="preserve"> </w:t>
      </w:r>
      <w:r>
        <w:t xml:space="preserve">Probabilistic energy forecasting: Global Energy Forecasting Competition 2014 and beyond.</w:t>
      </w:r>
      <w:r>
        <w:t xml:space="preserve"> </w:t>
      </w:r>
      <w:r>
        <w:rPr>
          <w:i/>
          <w:iCs/>
        </w:rPr>
        <w:t xml:space="preserve">International Journal of Forecasting</w:t>
      </w:r>
      <w:r>
        <w:t xml:space="preserve">, 32(3):896–913, 2016.</w:t>
      </w:r>
    </w:p>
    <w:p>
      <w:pPr>
        <w:pStyle w:val="BodyText"/>
      </w:pPr>
      <w:r>
        <w:t xml:space="preserve">S. Bai, J.Z. Kolter, and V. Koltun.</w:t>
      </w:r>
      <w:r>
        <w:t xml:space="preserve"> </w:t>
      </w:r>
      <w:r>
        <w:t xml:space="preserve">An empirical evaluation of generic convolutional and recurrent networks for sequence modeling.</w:t>
      </w:r>
      <w:r>
        <w:t xml:space="preserve"> </w:t>
      </w:r>
      <w:r>
        <w:rPr>
          <w:i/>
          <w:iCs/>
        </w:rPr>
        <w:t xml:space="preserve">arXiv:1803.01271</w:t>
      </w:r>
      <w:r>
        <w:t xml:space="preserve">, 2018.</w:t>
      </w:r>
    </w:p>
    <w:p>
      <w:pPr>
        <w:pStyle w:val="BodyText"/>
      </w:pPr>
      <w:r>
        <w:t xml:space="preserve">A. Vaswani et al.</w:t>
      </w:r>
      <w:r>
        <w:t xml:space="preserve"> </w:t>
      </w:r>
      <w:r>
        <w:t xml:space="preserve">Attention is all you need.</w:t>
      </w:r>
      <w:r>
        <w:t xml:space="preserve"> </w:t>
      </w:r>
      <w:r>
        <w:t xml:space="preserve">In</w:t>
      </w:r>
      <w:r>
        <w:t xml:space="preserve"> </w:t>
      </w:r>
      <w:r>
        <w:rPr>
          <w:i/>
          <w:iCs/>
        </w:rPr>
        <w:t xml:space="preserve">NeurIPS</w:t>
      </w:r>
      <w:r>
        <w:t xml:space="preserve">, 2017.</w:t>
      </w:r>
    </w:p>
    <w:p>
      <w:pPr>
        <w:pStyle w:val="BodyText"/>
      </w:pPr>
      <w:r>
        <w:t xml:space="preserve">C. Sweeney et al.</w:t>
      </w:r>
      <w:r>
        <w:t xml:space="preserve"> </w:t>
      </w:r>
      <w:r>
        <w:t xml:space="preserve">The future of forecasting for renewable energy.</w:t>
      </w:r>
      <w:r>
        <w:t xml:space="preserve"> </w:t>
      </w:r>
      <w:r>
        <w:rPr>
          <w:i/>
          <w:iCs/>
        </w:rPr>
        <w:t xml:space="preserve">WIREs Energy and Environment</w:t>
      </w:r>
      <w:r>
        <w:t xml:space="preserve">, 9(2):e365, 2020.</w:t>
      </w:r>
    </w:p>
    <w:p>
      <w:pPr>
        <w:pStyle w:val="BodyText"/>
      </w:pPr>
      <w:r>
        <w:t xml:space="preserve">E. Lorenz et al.</w:t>
      </w:r>
      <w:r>
        <w:t xml:space="preserve"> </w:t>
      </w:r>
      <w:r>
        <w:t xml:space="preserve">Irradiance forecasting for the power prediction of grid-connected photovoltaic systems.</w:t>
      </w:r>
      <w:r>
        <w:t xml:space="preserve"> </w:t>
      </w:r>
      <w:r>
        <w:rPr>
          <w:i/>
          <w:iCs/>
        </w:rPr>
        <w:t xml:space="preserve">IEEE Journal of Selected Topics in Applied Earth Observations</w:t>
      </w:r>
      <w:r>
        <w:t xml:space="preserve">, 2(1):2–10, 2009.</w:t>
      </w:r>
    </w:p>
    <w:p>
      <w:pPr>
        <w:pStyle w:val="BodyText"/>
      </w:pPr>
      <w:r>
        <w:t xml:space="preserve">D. Krishnamurthy et al.</w:t>
      </w:r>
      <w:r>
        <w:t xml:space="preserve"> </w:t>
      </w:r>
      <w:r>
        <w:t xml:space="preserve">Energy storage arbitrage under day-ahead and real-time price uncertainty.</w:t>
      </w:r>
      <w:r>
        <w:t xml:space="preserve"> </w:t>
      </w:r>
      <w:r>
        <w:rPr>
          <w:i/>
          <w:iCs/>
        </w:rPr>
        <w:t xml:space="preserve">IEEE Transactions on Power Systems</w:t>
      </w:r>
      <w:r>
        <w:t xml:space="preserve">, 33(1):84–93, 2018.</w:t>
      </w:r>
    </w:p>
    <w:p>
      <w:pPr>
        <w:pStyle w:val="BodyText"/>
      </w:pPr>
      <w:r>
        <w:t xml:space="preserve">F. Garcia-Torres and C. Bordons.</w:t>
      </w:r>
      <w:r>
        <w:t xml:space="preserve"> </w:t>
      </w:r>
      <w:r>
        <w:t xml:space="preserve">Optimal economical schedule of hydrogen-based microgrids with hybrid storage using model predictive control.</w:t>
      </w:r>
      <w:r>
        <w:t xml:space="preserve"> </w:t>
      </w:r>
      <w:r>
        <w:rPr>
          <w:i/>
          <w:iCs/>
        </w:rPr>
        <w:t xml:space="preserve">IEEE Transactions on Industrial Electronics</w:t>
      </w:r>
      <w:r>
        <w:t xml:space="preserve">, 62(8):5195–5207, 2015.</w:t>
      </w:r>
    </w:p>
    <w:p>
      <w:pPr>
        <w:pStyle w:val="BodyText"/>
      </w:pPr>
      <w:r>
        <w:t xml:space="preserve">J.D. Rhodes et al.</w:t>
      </w:r>
      <w:r>
        <w:t xml:space="preserve"> </w:t>
      </w:r>
      <w:r>
        <w:t xml:space="preserve">Experimental and data collection methods for a large-scale smart grid deployment.</w:t>
      </w:r>
      <w:r>
        <w:t xml:space="preserve"> </w:t>
      </w:r>
      <w:r>
        <w:rPr>
          <w:i/>
          <w:iCs/>
        </w:rPr>
        <w:t xml:space="preserve">Energy</w:t>
      </w:r>
      <w:r>
        <w:t xml:space="preserve">, 65:462–471, 2014.</w:t>
      </w:r>
    </w:p>
    <w:p>
      <w:pPr>
        <w:pStyle w:val="BodyText"/>
      </w:pPr>
      <w:r>
        <w:t xml:space="preserve">Y. Romano, E. Patterson, and E. Candès.</w:t>
      </w:r>
      <w:r>
        <w:t xml:space="preserve"> </w:t>
      </w:r>
      <w:r>
        <w:t xml:space="preserve">Conformalized quantile regression.</w:t>
      </w:r>
      <w:r>
        <w:t xml:space="preserve"> </w:t>
      </w:r>
      <w:r>
        <w:t xml:space="preserve">In</w:t>
      </w:r>
      <w:r>
        <w:t xml:space="preserve"> </w:t>
      </w:r>
      <w:r>
        <w:rPr>
          <w:i/>
          <w:iCs/>
        </w:rPr>
        <w:t xml:space="preserve">NeurIPS</w:t>
      </w:r>
      <w:r>
        <w:t xml:space="preserve">, 2019.</w:t>
      </w:r>
    </w:p>
    <w:p>
      <w:pPr>
        <w:pStyle w:val="BodyText"/>
      </w:pPr>
      <w:r>
        <w:t xml:space="preserve">R.F. Barber et al.</w:t>
      </w:r>
      <w:r>
        <w:t xml:space="preserve"> </w:t>
      </w:r>
      <w:r>
        <w:t xml:space="preserve">Conformal prediction beyond exchangeability.</w:t>
      </w:r>
      <w:r>
        <w:t xml:space="preserve"> </w:t>
      </w:r>
      <w:r>
        <w:rPr>
          <w:i/>
          <w:iCs/>
        </w:rPr>
        <w:t xml:space="preserve">Annals of Statistics</w:t>
      </w:r>
      <w:r>
        <w:t xml:space="preserve">, 51(2):816–845, 2023.</w:t>
      </w:r>
    </w:p>
    <w:p>
      <w:pPr>
        <w:pStyle w:val="BodyText"/>
      </w:pPr>
      <w:r>
        <w:t xml:space="preserve">V. Chernozhukov, K. Wüthrich, and Y. Zhu.</w:t>
      </w:r>
      <w:r>
        <w:t xml:space="preserve"> </w:t>
      </w:r>
      <w:r>
        <w:t xml:space="preserve">Distributional conformal prediction.</w:t>
      </w:r>
      <w:r>
        <w:t xml:space="preserve"> </w:t>
      </w:r>
      <w:r>
        <w:rPr>
          <w:i/>
          <w:iCs/>
        </w:rPr>
        <w:t xml:space="preserve">PNAS</w:t>
      </w:r>
      <w:r>
        <w:t xml:space="preserve">, 118(48):e2107794118, 2021.</w:t>
      </w:r>
    </w:p>
    <w:p>
      <w:pPr>
        <w:pStyle w:val="BodyText"/>
      </w:pPr>
      <w:r>
        <w:t xml:space="preserve">M. Zaffran et al.</w:t>
      </w:r>
      <w:r>
        <w:t xml:space="preserve"> </w:t>
      </w:r>
      <w:r>
        <w:t xml:space="preserve">Adaptive conformal predictions for time series.</w:t>
      </w:r>
      <w:r>
        <w:t xml:space="preserve"> </w:t>
      </w:r>
      <w:r>
        <w:t xml:space="preserve">In</w:t>
      </w:r>
      <w:r>
        <w:t xml:space="preserve"> </w:t>
      </w:r>
      <w:r>
        <w:rPr>
          <w:i/>
          <w:iCs/>
        </w:rPr>
        <w:t xml:space="preserve">ICML</w:t>
      </w:r>
      <w:r>
        <w:t xml:space="preserve">, 2022.</w:t>
      </w:r>
    </w:p>
    <w:p>
      <w:pPr>
        <w:pStyle w:val="BodyText"/>
      </w:pPr>
      <w:r>
        <w:t xml:space="preserve">K. Siler-Evans, I.L. Azevedo, and M.G. Morgan.</w:t>
      </w:r>
      <w:r>
        <w:t xml:space="preserve"> </w:t>
      </w:r>
      <w:r>
        <w:t xml:space="preserve">Marginal emissions factors for the US electricity system.</w:t>
      </w:r>
      <w:r>
        <w:t xml:space="preserve"> </w:t>
      </w:r>
      <w:r>
        <w:rPr>
          <w:i/>
          <w:iCs/>
        </w:rPr>
        <w:t xml:space="preserve">Environmental Science &amp; Technology</w:t>
      </w:r>
      <w:r>
        <w:t xml:space="preserve">, 46(9):4742–4748, 2012.</w:t>
      </w:r>
    </w:p>
    <w:p>
      <w:pPr>
        <w:pStyle w:val="BodyText"/>
      </w:pPr>
      <w:r>
        <w:t xml:space="preserve">US EPA.</w:t>
      </w:r>
      <w:r>
        <w:t xml:space="preserve"> </w:t>
      </w:r>
      <w:r>
        <w:t xml:space="preserve">Emissions &amp; Generation Resource Integrated Database (eGRID).</w:t>
      </w:r>
      <w:r>
        <w:t xml:space="preserve"> </w:t>
      </w:r>
      <w:hyperlink r:id="rId89">
        <w:r>
          <w:rPr>
            <w:rStyle w:val="Hyperlink"/>
          </w:rPr>
          <w:t xml:space="preserve">https://www.epa.gov/egrid</w:t>
        </w:r>
      </w:hyperlink>
      <w:r>
        <w:t xml:space="preserve">, 2023.</w:t>
      </w:r>
    </w:p>
    <w:p>
      <w:pPr>
        <w:pStyle w:val="BodyText"/>
      </w:pPr>
      <w:r>
        <w:t xml:space="preserve">A. Radovanovic et al.</w:t>
      </w:r>
      <w:r>
        <w:t xml:space="preserve"> </w:t>
      </w:r>
      <w:r>
        <w:t xml:space="preserve">Carbon-aware computing for datacenters.</w:t>
      </w:r>
      <w:r>
        <w:t xml:space="preserve"> </w:t>
      </w:r>
      <w:r>
        <w:rPr>
          <w:i/>
          <w:iCs/>
        </w:rPr>
        <w:t xml:space="preserve">IEEE Transactions on Power Systems</w:t>
      </w:r>
      <w:r>
        <w:t xml:space="preserve">, 37(2):1057–1068, 2022.</w:t>
      </w:r>
    </w:p>
    <w:bookmarkEnd w:id="90"/>
    <w:bookmarkStart w:id="92" w:name="reproducibility"/>
    <w:p>
      <w:pPr>
        <w:pStyle w:val="Heading1"/>
      </w:pPr>
      <w:r>
        <w:t xml:space="preserve">Reproducibility</w:t>
      </w:r>
    </w:p>
    <w:p>
      <w:pPr>
        <w:pStyle w:val="FirstParagraph"/>
      </w:pPr>
      <w:r>
        <w:t xml:space="preserve">All experiments are reproducible with:</w:t>
      </w:r>
    </w:p>
    <w:p>
      <w:pPr>
        <w:pStyle w:val="SourceCode"/>
      </w:pPr>
      <w:r>
        <w:rPr>
          <w:rStyle w:val="VerbatimChar"/>
        </w:rPr>
        <w:t xml:space="preserve">git clone https://github.com/pratik-n/gridpulse</w:t>
      </w:r>
      <w:r>
        <w:br/>
      </w:r>
      <w:r>
        <w:rPr>
          <w:rStyle w:val="VerbatimChar"/>
        </w:rPr>
        <w:t xml:space="preserve">cd gridpulse</w:t>
      </w:r>
      <w:r>
        <w:br/>
      </w:r>
      <w:r>
        <w:rPr>
          <w:rStyle w:val="VerbatimChar"/>
        </w:rPr>
        <w:t xml:space="preserve">make install</w:t>
      </w:r>
      <w:r>
        <w:br/>
      </w:r>
      <w:r>
        <w:rPr>
          <w:rStyle w:val="VerbatimChar"/>
        </w:rPr>
        <w:t xml:space="preserve">make train</w:t>
      </w:r>
      <w:r>
        <w:br/>
      </w:r>
      <w:r>
        <w:rPr>
          <w:rStyle w:val="VerbatimChar"/>
        </w:rPr>
        <w:t xml:space="preserve">make ablations</w:t>
      </w:r>
      <w:r>
        <w:br/>
      </w:r>
      <w:r>
        <w:rPr>
          <w:rStyle w:val="VerbatimChar"/>
        </w:rPr>
        <w:t xml:space="preserve">make stats-tables</w:t>
      </w:r>
    </w:p>
    <w:p>
      <w:pPr>
        <w:pStyle w:val="FirstParagraph"/>
      </w:pPr>
      <w:r>
        <w:rPr>
          <w:b/>
          <w:bCs/>
        </w:rPr>
        <w:t xml:space="preserve">Environment</w:t>
      </w:r>
      <w:r>
        <w:t xml:space="preserve">:</w:t>
      </w:r>
    </w:p>
    <w:p>
      <w:pPr>
        <w:numPr>
          <w:ilvl w:val="0"/>
          <w:numId w:val="1023"/>
        </w:numPr>
      </w:pPr>
      <w:r>
        <w:t xml:space="preserve">Python 3.9.6</w:t>
      </w:r>
    </w:p>
    <w:p>
      <w:pPr>
        <w:numPr>
          <w:ilvl w:val="0"/>
          <w:numId w:val="1023"/>
        </w:numPr>
      </w:pPr>
      <w:r>
        <w:t xml:space="preserve">LightGBM 4.1.0</w:t>
      </w:r>
    </w:p>
    <w:p>
      <w:pPr>
        <w:numPr>
          <w:ilvl w:val="0"/>
          <w:numId w:val="1023"/>
        </w:numPr>
      </w:pPr>
      <w:r>
        <w:t xml:space="preserve">PyTorch 2.0.1</w:t>
      </w:r>
    </w:p>
    <w:p>
      <w:pPr>
        <w:numPr>
          <w:ilvl w:val="0"/>
          <w:numId w:val="1023"/>
        </w:numPr>
      </w:pPr>
      <w:r>
        <w:t xml:space="preserve">SciPy 1.11.0 (HiGHS LP solver)</w:t>
      </w:r>
    </w:p>
    <w:p>
      <w:pPr>
        <w:numPr>
          <w:ilvl w:val="0"/>
          <w:numId w:val="1023"/>
        </w:numPr>
      </w:pPr>
      <w:r>
        <w:t xml:space="preserve">Seed: 42</w:t>
      </w:r>
    </w:p>
    <w:p>
      <w:pPr>
        <w:pStyle w:val="FirstParagraph"/>
      </w:pPr>
      <w:r>
        <w:rPr>
          <w:b/>
          <w:bCs/>
        </w:rPr>
        <w:t xml:space="preserve">Hardware Specifications</w:t>
      </w:r>
      <w:r>
        <w:t xml:space="preserve">:</w:t>
      </w:r>
    </w:p>
    <w:p>
      <w:pPr>
        <w:numPr>
          <w:ilvl w:val="0"/>
          <w:numId w:val="1024"/>
        </w:numPr>
      </w:pPr>
      <w:r>
        <w:t xml:space="preserve">Platform: macOS 26.2 (Apple Silicon)</w:t>
      </w:r>
    </w:p>
    <w:p>
      <w:pPr>
        <w:numPr>
          <w:ilvl w:val="0"/>
          <w:numId w:val="1024"/>
        </w:numPr>
      </w:pPr>
      <w:r>
        <w:t xml:space="preserve">Processor: Apple M-series ARM64</w:t>
      </w:r>
    </w:p>
    <w:p>
      <w:pPr>
        <w:numPr>
          <w:ilvl w:val="0"/>
          <w:numId w:val="1024"/>
        </w:numPr>
      </w:pPr>
      <w:r>
        <w:t xml:space="preserve">CPU: 10 physical cores / 10 logical cores</w:t>
      </w:r>
    </w:p>
    <w:p>
      <w:pPr>
        <w:numPr>
          <w:ilvl w:val="0"/>
          <w:numId w:val="1024"/>
        </w:numPr>
      </w:pPr>
      <w:r>
        <w:t xml:space="preserve">RAM: 16 GB</w:t>
      </w:r>
    </w:p>
    <w:p>
      <w:pPr>
        <w:numPr>
          <w:ilvl w:val="0"/>
          <w:numId w:val="1024"/>
        </w:numPr>
      </w:pPr>
      <w:r>
        <w:t xml:space="preserve">Accelerator: Apple MPS (Metal Performance Shaders)</w:t>
      </w:r>
    </w:p>
    <w:p>
      <w:pPr>
        <w:numPr>
          <w:ilvl w:val="0"/>
          <w:numId w:val="1024"/>
        </w:numPr>
      </w:pPr>
      <w:r>
        <w:t xml:space="preserve">No GPU/CUDA required</w:t>
      </w:r>
    </w:p>
    <w:p>
      <w:pPr>
        <w:pStyle w:val="FirstParagraph"/>
      </w:pPr>
      <w:r>
        <w:rPr>
          <w:b/>
          <w:bCs/>
        </w:rPr>
        <w:t xml:space="preserve">Runtime Benchmarks</w:t>
      </w:r>
      <w:r>
        <w:t xml:space="preserve">:</w:t>
      </w:r>
    </w:p>
    <w:bookmarkStart w:id="91" w:name="tab:runtime"/>
    <w:p>
      <w:pPr>
        <w:pStyle w:val="TableCaption"/>
      </w:pPr>
      <w:r>
        <w:t xml:space="preserve">Runtime Performance Benchmarks</w:t>
      </w:r>
    </w:p>
    <w:tbl>
      <w:tblPr>
        <w:tblStyle w:val="Table"/>
        <w:tblW w:type="auto" w:w="0"/>
        <w:tblLook w:firstRow="1" w:lastRow="0" w:firstColumn="0" w:lastColumn="0" w:noHBand="0" w:noVBand="0" w:val="0020"/>
        <w:tblCaption w:val="Runtime Performance Benchmarks"/>
      </w:tblPr>
      <w:tblGrid>
        <w:gridCol w:w="1980"/>
        <w:gridCol w:w="1980"/>
        <w:gridCol w:w="1980"/>
        <w:gridCol w:w="1980"/>
      </w:tblGrid>
      <w:tr>
        <w:trPr>
          <w:tblHeader w:val="on"/>
        </w:trPr>
        <w:tc>
          <w:tcPr/>
          <w:p>
            <w:pPr>
              <w:pStyle w:val="Compact"/>
              <w:jc w:val="left"/>
            </w:pPr>
            <w:r>
              <w:rPr>
                <w:b/>
                <w:bCs/>
              </w:rPr>
              <w:t xml:space="preserve">Component</w:t>
            </w:r>
          </w:p>
        </w:tc>
        <w:tc>
          <w:tcPr/>
          <w:p>
            <w:pPr>
              <w:pStyle w:val="Compact"/>
              <w:jc w:val="right"/>
            </w:pPr>
            <w:r>
              <w:rPr>
                <w:b/>
                <w:bCs/>
              </w:rPr>
              <w:t xml:space="preserve">Time</w:t>
            </w:r>
          </w:p>
        </w:tc>
        <w:tc>
          <w:tcPr/>
          <w:p>
            <w:pPr>
              <w:pStyle w:val="Compact"/>
              <w:jc w:val="right"/>
            </w:pPr>
            <w:r>
              <w:rPr>
                <w:b/>
                <w:bCs/>
              </w:rPr>
              <w:t xml:space="preserve">Unit</w:t>
            </w:r>
          </w:p>
        </w:tc>
        <w:tc>
          <w:tcPr/>
          <w:p>
            <w:pPr>
              <w:pStyle w:val="Compact"/>
              <w:jc w:val="right"/>
            </w:pPr>
            <w:r>
              <w:rPr>
                <w:b/>
                <w:bCs/>
              </w:rPr>
              <w:t xml:space="preserve">Configuration</w:t>
            </w:r>
          </w:p>
        </w:tc>
      </w:tr>
      <w:tr>
        <w:tc>
          <w:tcPr>
            <w:gridSpan w:val="4"/>
          </w:tcPr>
          <w:p>
            <w:pPr>
              <w:pStyle w:val="Compact"/>
              <w:jc w:val="left"/>
            </w:pPr>
            <w:r>
              <w:rPr>
                <w:i/>
                <w:iCs/>
              </w:rPr>
              <w:t xml:space="preserve">Training</w:t>
            </w:r>
          </w:p>
        </w:tc>
      </w:tr>
      <w:tr>
        <w:tc>
          <w:tcPr/>
          <w:p>
            <w:pPr>
              <w:pStyle w:val="Compact"/>
              <w:jc w:val="left"/>
            </w:pPr>
            <w:r>
              <w:t xml:space="preserve">GBM (per target)</w:t>
            </w:r>
          </w:p>
        </w:tc>
        <w:tc>
          <w:tcPr/>
          <w:p>
            <w:pPr>
              <w:pStyle w:val="Compact"/>
              <w:jc w:val="right"/>
            </w:pPr>
            <w:r>
              <w:t xml:space="preserve">0.4</w:t>
            </w:r>
          </w:p>
        </w:tc>
        <w:tc>
          <w:tcPr/>
          <w:p>
            <w:pPr>
              <w:pStyle w:val="Compact"/>
              <w:jc w:val="right"/>
            </w:pPr>
            <w:r>
              <w:t xml:space="preserve">seconds</w:t>
            </w:r>
          </w:p>
        </w:tc>
        <w:tc>
          <w:tcPr/>
          <w:p>
            <w:pPr>
              <w:pStyle w:val="Compact"/>
              <w:jc w:val="right"/>
            </w:pPr>
            <w:r>
              <w:t xml:space="preserve">10k samples, 100 trees</w:t>
            </w:r>
          </w:p>
        </w:tc>
      </w:tr>
      <w:tr>
        <w:tc>
          <w:tcPr/>
          <w:p>
            <w:pPr>
              <w:pStyle w:val="Compact"/>
              <w:jc w:val="left"/>
            </w:pPr>
            <w:r>
              <w:t xml:space="preserve">LSTM (per target)</w:t>
            </w:r>
          </w:p>
        </w:tc>
        <w:tc>
          <w:tcPr/>
          <w:p>
            <w:pPr>
              <w:pStyle w:val="Compact"/>
              <w:jc w:val="right"/>
            </w:pPr>
            <w:r>
              <w:t xml:space="preserve">45</w:t>
            </w:r>
          </w:p>
        </w:tc>
        <w:tc>
          <w:tcPr/>
          <w:p>
            <w:pPr>
              <w:pStyle w:val="Compact"/>
              <w:jc w:val="right"/>
            </w:pPr>
            <w:r>
              <w:t xml:space="preserve">seconds</w:t>
            </w:r>
          </w:p>
        </w:tc>
        <w:tc>
          <w:tcPr/>
          <w:p>
            <w:pPr>
              <w:pStyle w:val="Compact"/>
              <w:jc w:val="right"/>
            </w:pPr>
            <w:r>
              <w:t xml:space="preserve">50 epochs, 1k samples</w:t>
            </w:r>
          </w:p>
        </w:tc>
      </w:tr>
      <w:tr>
        <w:tc>
          <w:tcPr/>
          <w:p>
            <w:pPr>
              <w:pStyle w:val="Compact"/>
              <w:jc w:val="left"/>
            </w:pPr>
            <w:r>
              <w:t xml:space="preserve">Full pipeline</w:t>
            </w:r>
          </w:p>
        </w:tc>
        <w:tc>
          <w:tcPr/>
          <w:p>
            <w:pPr>
              <w:pStyle w:val="Compact"/>
              <w:jc w:val="right"/>
            </w:pPr>
            <w:r>
              <w:t xml:space="preserve">180</w:t>
            </w:r>
          </w:p>
        </w:tc>
        <w:tc>
          <w:tcPr/>
          <w:p>
            <w:pPr>
              <w:pStyle w:val="Compact"/>
              <w:jc w:val="right"/>
            </w:pPr>
            <w:r>
              <w:t xml:space="preserve">seconds</w:t>
            </w:r>
          </w:p>
        </w:tc>
        <w:tc>
          <w:tcPr/>
          <w:p>
            <w:pPr>
              <w:pStyle w:val="Compact"/>
              <w:jc w:val="right"/>
            </w:pPr>
            <w:r>
              <w:t xml:space="preserve">4 targets, all models</w:t>
            </w:r>
          </w:p>
        </w:tc>
      </w:tr>
      <w:tr>
        <w:tc>
          <w:tcPr>
            <w:gridSpan w:val="4"/>
          </w:tcPr>
          <w:p>
            <w:pPr>
              <w:pStyle w:val="Compact"/>
              <w:jc w:val="left"/>
            </w:pPr>
            <w:r>
              <w:rPr>
                <w:i/>
                <w:iCs/>
              </w:rPr>
              <w:t xml:space="preserve">Inference</w:t>
            </w:r>
          </w:p>
        </w:tc>
      </w:tr>
      <w:tr>
        <w:tc>
          <w:tcPr/>
          <w:p>
            <w:pPr>
              <w:pStyle w:val="Compact"/>
              <w:jc w:val="left"/>
            </w:pPr>
            <w:r>
              <w:t xml:space="preserve">GBM forecast</w:t>
            </w:r>
          </w:p>
        </w:tc>
        <w:tc>
          <w:tcPr/>
          <w:p>
            <w:pPr>
              <w:pStyle w:val="Compact"/>
              <w:jc w:val="right"/>
            </w:pPr>
            <w:r>
              <w:t xml:space="preserve">0.3</w:t>
            </w:r>
          </w:p>
        </w:tc>
        <w:tc>
          <w:tcPr/>
          <w:p>
            <w:pPr>
              <w:pStyle w:val="Compact"/>
              <w:jc w:val="right"/>
            </w:pPr>
            <w:r>
              <w:t xml:space="preserve">ms</w:t>
            </w:r>
          </w:p>
        </w:tc>
        <w:tc>
          <w:tcPr/>
          <w:p>
            <w:pPr>
              <w:pStyle w:val="Compact"/>
              <w:jc w:val="right"/>
            </w:pPr>
            <w:r>
              <w:t xml:space="preserve">24-hour horizon</w:t>
            </w:r>
          </w:p>
        </w:tc>
      </w:tr>
      <w:tr>
        <w:tc>
          <w:tcPr/>
          <w:p>
            <w:pPr>
              <w:pStyle w:val="Compact"/>
              <w:jc w:val="left"/>
            </w:pPr>
            <w:r>
              <w:t xml:space="preserve">LSTM forecast</w:t>
            </w:r>
          </w:p>
        </w:tc>
        <w:tc>
          <w:tcPr/>
          <w:p>
            <w:pPr>
              <w:pStyle w:val="Compact"/>
              <w:jc w:val="right"/>
            </w:pPr>
            <w:r>
              <w:t xml:space="preserve">2.1</w:t>
            </w:r>
          </w:p>
        </w:tc>
        <w:tc>
          <w:tcPr/>
          <w:p>
            <w:pPr>
              <w:pStyle w:val="Compact"/>
              <w:jc w:val="right"/>
            </w:pPr>
            <w:r>
              <w:t xml:space="preserve">ms</w:t>
            </w:r>
          </w:p>
        </w:tc>
        <w:tc>
          <w:tcPr/>
          <w:p>
            <w:pPr>
              <w:pStyle w:val="Compact"/>
              <w:jc w:val="right"/>
            </w:pPr>
            <w:r>
              <w:t xml:space="preserve">168-step sequence</w:t>
            </w:r>
          </w:p>
        </w:tc>
      </w:tr>
      <w:tr>
        <w:tc>
          <w:tcPr/>
          <w:p>
            <w:pPr>
              <w:pStyle w:val="Compact"/>
              <w:jc w:val="left"/>
            </w:pPr>
            <w:r>
              <w:t xml:space="preserve">LP dispatch</w:t>
            </w:r>
          </w:p>
        </w:tc>
        <w:tc>
          <w:tcPr/>
          <w:p>
            <w:pPr>
              <w:pStyle w:val="Compact"/>
              <w:jc w:val="right"/>
            </w:pPr>
            <w:r>
              <w:t xml:space="preserve">1.2</w:t>
            </w:r>
          </w:p>
        </w:tc>
        <w:tc>
          <w:tcPr/>
          <w:p>
            <w:pPr>
              <w:pStyle w:val="Compact"/>
              <w:jc w:val="right"/>
            </w:pPr>
            <w:r>
              <w:t xml:space="preserve">ms</w:t>
            </w:r>
          </w:p>
        </w:tc>
        <w:tc>
          <w:tcPr/>
          <w:p>
            <w:pPr>
              <w:pStyle w:val="Compact"/>
              <w:jc w:val="right"/>
            </w:pPr>
            <w:r>
              <w:t xml:space="preserve">48 variables, HiGHS</w:t>
            </w:r>
          </w:p>
        </w:tc>
      </w:tr>
      <w:tr>
        <w:tc>
          <w:tcPr/>
          <w:p>
            <w:pPr>
              <w:pStyle w:val="Compact"/>
              <w:jc w:val="left"/>
            </w:pPr>
            <w:r>
              <w:t xml:space="preserve">End-to-end</w:t>
            </w:r>
          </w:p>
        </w:tc>
        <w:tc>
          <w:tcPr/>
          <w:p>
            <w:pPr>
              <w:pStyle w:val="Compact"/>
              <w:jc w:val="right"/>
            </w:pPr>
            <m:oMath>
              <m:r>
                <m:rPr>
                  <m:sty m:val="p"/>
                </m:rPr>
                <m:t>&lt;</m:t>
              </m:r>
            </m:oMath>
            <w:r>
              <w:t xml:space="preserve">5</w:t>
            </w:r>
          </w:p>
        </w:tc>
        <w:tc>
          <w:tcPr/>
          <w:p>
            <w:pPr>
              <w:pStyle w:val="Compact"/>
              <w:jc w:val="right"/>
            </w:pPr>
            <w:r>
              <w:t xml:space="preserve">seconds</w:t>
            </w:r>
          </w:p>
        </w:tc>
        <w:tc>
          <w:tcPr/>
          <w:p>
            <w:pPr>
              <w:pStyle w:val="Compact"/>
              <w:jc w:val="right"/>
            </w:pPr>
            <w:r>
              <w:t xml:space="preserve">Forecast + dispatch</w:t>
            </w:r>
          </w:p>
        </w:tc>
      </w:tr>
      <w:tr>
        <w:tc>
          <w:tcPr>
            <w:gridSpan w:val="4"/>
          </w:tcPr>
          <w:p>
            <w:pPr>
              <w:pStyle w:val="Compact"/>
              <w:jc w:val="left"/>
            </w:pPr>
            <w:r>
              <w:rPr>
                <w:i/>
                <w:iCs/>
              </w:rPr>
              <w:t xml:space="preserve">API Latency (p99)</w:t>
            </w:r>
          </w:p>
        </w:tc>
      </w:tr>
      <w:tr>
        <w:tc>
          <w:tcPr/>
          <w:p>
            <w:pPr>
              <w:pStyle w:val="Compact"/>
              <w:jc w:val="left"/>
            </w:pPr>
            <w:r>
              <w:t xml:space="preserve">/forecast</w:t>
            </w:r>
          </w:p>
        </w:tc>
        <w:tc>
          <w:tcPr/>
          <w:p>
            <w:pPr>
              <w:pStyle w:val="Compact"/>
              <w:jc w:val="right"/>
            </w:pPr>
            <w:r>
              <w:t xml:space="preserve">15</w:t>
            </w:r>
          </w:p>
        </w:tc>
        <w:tc>
          <w:tcPr/>
          <w:p>
            <w:pPr>
              <w:pStyle w:val="Compact"/>
              <w:jc w:val="right"/>
            </w:pPr>
            <w:r>
              <w:t xml:space="preserve">ms</w:t>
            </w:r>
          </w:p>
        </w:tc>
        <w:tc>
          <w:tcPr/>
          <w:p>
            <w:pPr>
              <w:pStyle w:val="Compact"/>
              <w:jc w:val="right"/>
            </w:pPr>
            <w:r>
              <w:t xml:space="preserve">Cold start</w:t>
            </w:r>
          </w:p>
        </w:tc>
      </w:tr>
      <w:tr>
        <w:tc>
          <w:tcPr/>
          <w:p>
            <w:pPr>
              <w:pStyle w:val="Compact"/>
              <w:jc w:val="left"/>
            </w:pPr>
            <w:r>
              <w:t xml:space="preserve">/dispatch</w:t>
            </w:r>
          </w:p>
        </w:tc>
        <w:tc>
          <w:tcPr/>
          <w:p>
            <w:pPr>
              <w:pStyle w:val="Compact"/>
              <w:jc w:val="right"/>
            </w:pPr>
            <w:r>
              <w:t xml:space="preserve">8</w:t>
            </w:r>
          </w:p>
        </w:tc>
        <w:tc>
          <w:tcPr/>
          <w:p>
            <w:pPr>
              <w:pStyle w:val="Compact"/>
              <w:jc w:val="right"/>
            </w:pPr>
            <w:r>
              <w:t xml:space="preserve">ms</w:t>
            </w:r>
          </w:p>
        </w:tc>
        <w:tc>
          <w:tcPr/>
          <w:p>
            <w:pPr>
              <w:pStyle w:val="Compact"/>
              <w:jc w:val="right"/>
            </w:pPr>
            <w:r>
              <w:t xml:space="preserve">Pre-loaded model</w:t>
            </w:r>
          </w:p>
        </w:tc>
      </w:tr>
    </w:tbl>
    <w:bookmarkEnd w:id="91"/>
    <w:p>
      <w:pPr>
        <w:pStyle w:val="BodyText"/>
      </w:pPr>
      <w:r>
        <w:t xml:space="preserve">Hardware: Apple M-series, 10-core CPU, 16 GB RAM.</w:t>
      </w:r>
    </w:p>
    <w:p>
      <w:pPr>
        <w:pStyle w:val="BodyText"/>
      </w:pPr>
      <w:r>
        <w:t xml:space="preserve">Solver: HiGHS (open-source LP/MIP).</w:t>
      </w:r>
    </w:p>
    <w:p>
      <w:pPr>
        <w:pStyle w:val="BodyText"/>
      </w:pPr>
      <w:r>
        <w:t xml:space="preserve">API: FastAPI + Uvicorn, single worker.</w:t>
      </w:r>
    </w:p>
    <w:p>
      <w:pPr>
        <w:pStyle w:val="BodyText"/>
      </w:pPr>
      <w:r>
        <w:rPr>
          <w:b/>
          <w:bCs/>
        </w:rPr>
        <w:t xml:space="preserve">Model Registry</w:t>
      </w:r>
      <w:r>
        <w:t xml:space="preserve">:</w:t>
      </w:r>
      <w:r>
        <w:t xml:space="preserve"> </w:t>
      </w:r>
      <w:r>
        <w:rPr>
          <w:rStyle w:val="VerbatimChar"/>
        </w:rPr>
        <w:t xml:space="preserve">artifacts/registry/models.json</w:t>
      </w:r>
    </w:p>
    <w:p>
      <w:pPr>
        <w:pStyle w:val="BodyText"/>
      </w:pPr>
      <w:r>
        <w:rPr>
          <w:b/>
          <w:bCs/>
        </w:rPr>
        <w:t xml:space="preserve">Data Availability</w:t>
      </w:r>
      <w:r>
        <w:t xml:space="preserve">: OPSD data at</w:t>
      </w:r>
      <w:r>
        <w:t xml:space="preserve"> </w:t>
      </w:r>
      <w:hyperlink r:id="rId18">
        <w:r>
          <w:rPr>
            <w:rStyle w:val="Hyperlink"/>
          </w:rPr>
          <w:t xml:space="preserve">https://open-power-system-data.org/</w:t>
        </w:r>
      </w:hyperlink>
      <w:r>
        <w:t xml:space="preserve">; EIA-930 data at</w:t>
      </w:r>
      <w:r>
        <w:t xml:space="preserve"> </w:t>
      </w:r>
      <w:hyperlink r:id="rId19">
        <w:r>
          <w:rPr>
            <w:rStyle w:val="Hyperlink"/>
          </w:rPr>
          <w:t xml:space="preserve">https://www.eia.gov/electricity/gridmonitor/</w:t>
        </w:r>
      </w:hyperlink>
      <w:r>
        <w:t xml:space="preserve">.</w:t>
      </w:r>
    </w:p>
    <w:bookmarkEnd w:id="92"/>
    <w:bookmarkStart w:id="93" w:name="publication-figures"/>
    <w:p>
      <w:pPr>
        <w:pStyle w:val="Heading1"/>
      </w:pPr>
      <w:r>
        <w:t xml:space="preserve">Publication Figures</w:t>
      </w:r>
    </w:p>
    <w:p>
      <w:pPr>
        <w:pStyle w:val="FirstParagraph"/>
      </w:pPr>
      <w:r>
        <w:t xml:space="preserve">The following figures are available in</w:t>
      </w:r>
      <w:r>
        <w:t xml:space="preserve"> </w:t>
      </w:r>
      <w:r>
        <w:rPr>
          <w:rStyle w:val="VerbatimChar"/>
        </w:rPr>
        <w:t xml:space="preserve">reports/publication/figures/</w:t>
      </w:r>
      <w:r>
        <w:t xml:space="preserve">:</w:t>
      </w:r>
    </w:p>
    <w:p>
      <w:pPr>
        <w:numPr>
          <w:ilvl w:val="0"/>
          <w:numId w:val="1025"/>
        </w:numPr>
      </w:pPr>
      <w:r>
        <w:rPr>
          <w:rStyle w:val="VerbatimChar"/>
        </w:rPr>
        <w:t xml:space="preserve">fig01_geographic_scope.png</w:t>
      </w:r>
      <w:r>
        <w:t xml:space="preserve"> </w:t>
      </w:r>
      <w:r>
        <w:t xml:space="preserve">– Dataset coverage map</w:t>
      </w:r>
    </w:p>
    <w:p>
      <w:pPr>
        <w:numPr>
          <w:ilvl w:val="0"/>
          <w:numId w:val="1025"/>
        </w:numPr>
      </w:pPr>
      <w:r>
        <w:rPr>
          <w:rStyle w:val="VerbatimChar"/>
        </w:rPr>
        <w:t xml:space="preserve">fig02_load_renewable_profiles.png</w:t>
      </w:r>
      <w:r>
        <w:t xml:space="preserve"> </w:t>
      </w:r>
      <w:r>
        <w:t xml:space="preserve">– Time series visualization</w:t>
      </w:r>
    </w:p>
    <w:p>
      <w:pPr>
        <w:numPr>
          <w:ilvl w:val="0"/>
          <w:numId w:val="1025"/>
        </w:numPr>
      </w:pPr>
      <w:r>
        <w:rPr>
          <w:rStyle w:val="VerbatimChar"/>
        </w:rPr>
        <w:t xml:space="preserve">fig03_05_forecast_vs_actual.png</w:t>
      </w:r>
      <w:r>
        <w:t xml:space="preserve"> </w:t>
      </w:r>
      <w:r>
        <w:t xml:space="preserve">– Forecast accuracy plots</w:t>
      </w:r>
    </w:p>
    <w:p>
      <w:pPr>
        <w:numPr>
          <w:ilvl w:val="0"/>
          <w:numId w:val="1025"/>
        </w:numPr>
      </w:pPr>
      <w:r>
        <w:rPr>
          <w:rStyle w:val="VerbatimChar"/>
        </w:rPr>
        <w:t xml:space="preserve">fig06_rolling_backtest_rmse.png</w:t>
      </w:r>
      <w:r>
        <w:t xml:space="preserve"> </w:t>
      </w:r>
      <w:r>
        <w:t xml:space="preserve">– Cross-validation results</w:t>
      </w:r>
    </w:p>
    <w:p>
      <w:pPr>
        <w:numPr>
          <w:ilvl w:val="0"/>
          <w:numId w:val="1025"/>
        </w:numPr>
      </w:pPr>
      <w:r>
        <w:rPr>
          <w:rStyle w:val="VerbatimChar"/>
        </w:rPr>
        <w:t xml:space="preserve">fig07_error_seasonality.png</w:t>
      </w:r>
      <w:r>
        <w:t xml:space="preserve"> </w:t>
      </w:r>
      <w:r>
        <w:t xml:space="preserve">– Error decomposition</w:t>
      </w:r>
    </w:p>
    <w:p>
      <w:pPr>
        <w:numPr>
          <w:ilvl w:val="0"/>
          <w:numId w:val="1025"/>
        </w:numPr>
      </w:pPr>
      <w:r>
        <w:rPr>
          <w:rStyle w:val="VerbatimChar"/>
        </w:rPr>
        <w:t xml:space="preserve">fig08_conformal_intervals.png</w:t>
      </w:r>
      <w:r>
        <w:t xml:space="preserve"> </w:t>
      </w:r>
      <w:r>
        <w:t xml:space="preserve">– Uncertainty visualization</w:t>
      </w:r>
    </w:p>
    <w:p>
      <w:pPr>
        <w:numPr>
          <w:ilvl w:val="0"/>
          <w:numId w:val="1025"/>
        </w:numPr>
      </w:pPr>
      <w:r>
        <w:rPr>
          <w:rStyle w:val="VerbatimChar"/>
        </w:rPr>
        <w:t xml:space="preserve">fig09_coverage_vs_horizon.png</w:t>
      </w:r>
      <w:r>
        <w:t xml:space="preserve"> </w:t>
      </w:r>
      <w:r>
        <w:t xml:space="preserve">– PICP by forecast horizon</w:t>
      </w:r>
    </w:p>
    <w:p>
      <w:pPr>
        <w:numPr>
          <w:ilvl w:val="0"/>
          <w:numId w:val="1025"/>
        </w:numPr>
      </w:pPr>
      <w:r>
        <w:rPr>
          <w:rStyle w:val="VerbatimChar"/>
        </w:rPr>
        <w:t xml:space="preserve">fig10_anomaly_timeline.png</w:t>
      </w:r>
      <w:r>
        <w:t xml:space="preserve"> </w:t>
      </w:r>
      <w:r>
        <w:t xml:space="preserve">– Detected anomalies</w:t>
      </w:r>
    </w:p>
    <w:p>
      <w:pPr>
        <w:numPr>
          <w:ilvl w:val="0"/>
          <w:numId w:val="1025"/>
        </w:numPr>
      </w:pPr>
      <w:r>
        <w:rPr>
          <w:rStyle w:val="VerbatimChar"/>
        </w:rPr>
        <w:t xml:space="preserve">fig11_dispatch_comparison.png</w:t>
      </w:r>
      <w:r>
        <w:t xml:space="preserve"> </w:t>
      </w:r>
      <w:r>
        <w:t xml:space="preserve">– Baseline vs GridPulse dispatch</w:t>
      </w:r>
    </w:p>
    <w:p>
      <w:pPr>
        <w:numPr>
          <w:ilvl w:val="0"/>
          <w:numId w:val="1025"/>
        </w:numPr>
      </w:pPr>
      <w:r>
        <w:rPr>
          <w:rStyle w:val="VerbatimChar"/>
        </w:rPr>
        <w:t xml:space="preserve">fig12_soc_trajectory.png</w:t>
      </w:r>
      <w:r>
        <w:t xml:space="preserve"> </w:t>
      </w:r>
      <w:r>
        <w:t xml:space="preserve">– Battery state of charge</w:t>
      </w:r>
    </w:p>
    <w:p>
      <w:pPr>
        <w:numPr>
          <w:ilvl w:val="0"/>
          <w:numId w:val="1025"/>
        </w:numPr>
      </w:pPr>
      <w:r>
        <w:rPr>
          <w:rStyle w:val="VerbatimChar"/>
        </w:rPr>
        <w:t xml:space="preserve">fig13_cost_carbon_tradeoff.png</w:t>
      </w:r>
      <w:r>
        <w:t xml:space="preserve"> </w:t>
      </w:r>
      <w:r>
        <w:t xml:space="preserve">– Pareto frontier</w:t>
      </w:r>
    </w:p>
    <w:p>
      <w:pPr>
        <w:numPr>
          <w:ilvl w:val="0"/>
          <w:numId w:val="1025"/>
        </w:numPr>
      </w:pPr>
      <w:r>
        <w:rPr>
          <w:rStyle w:val="VerbatimChar"/>
        </w:rPr>
        <w:t xml:space="preserve">fig14_savings_sensitivity.png</w:t>
      </w:r>
      <w:r>
        <w:t xml:space="preserve"> </w:t>
      </w:r>
      <w:r>
        <w:t xml:space="preserve">– Sensitivity analysis</w:t>
      </w:r>
    </w:p>
    <w:p>
      <w:pPr>
        <w:numPr>
          <w:ilvl w:val="0"/>
          <w:numId w:val="1025"/>
        </w:numPr>
      </w:pPr>
      <w:r>
        <w:rPr>
          <w:rStyle w:val="VerbatimChar"/>
        </w:rPr>
        <w:t xml:space="preserve">fig15_regret_perturbation.png</w:t>
      </w:r>
      <w:r>
        <w:t xml:space="preserve"> </w:t>
      </w:r>
      <w:r>
        <w:t xml:space="preserve">– Robustness analysis</w:t>
      </w:r>
    </w:p>
    <w:p>
      <w:pPr>
        <w:numPr>
          <w:ilvl w:val="0"/>
          <w:numId w:val="1025"/>
        </w:numPr>
      </w:pPr>
      <w:r>
        <w:rPr>
          <w:rStyle w:val="VerbatimChar"/>
        </w:rPr>
        <w:t xml:space="preserve">fig16_data_drift.png</w:t>
      </w:r>
      <w:r>
        <w:t xml:space="preserve"> </w:t>
      </w:r>
      <w:r>
        <w:t xml:space="preserve">– Drift monitoring results</w:t>
      </w:r>
    </w:p>
    <w:bookmarkEnd w:id="93"/>
    <w:bookmarkStart w:id="95" w:name="latex-tables"/>
    <w:p>
      <w:pPr>
        <w:pStyle w:val="Heading1"/>
      </w:pPr>
      <w:r>
        <w:t xml:space="preserve">LaTeX Tables</w:t>
      </w:r>
    </w:p>
    <w:bookmarkStart w:id="94" w:name="tab:latex_tables"/>
    <w:p>
      <w:pPr>
        <w:pStyle w:val="TableCaption"/>
      </w:pPr>
      <w:r>
        <w:t xml:space="preserve">LaTeX Tables Available in</w:t>
      </w:r>
      <w:r>
        <w:t xml:space="preserve"> </w:t>
      </w:r>
      <w:r>
        <w:rPr>
          <w:rStyle w:val="VerbatimChar"/>
        </w:rPr>
        <w:t xml:space="preserve">reports/tables</w:t>
      </w:r>
    </w:p>
    <w:tbl>
      <w:tblPr>
        <w:tblStyle w:val="Table"/>
        <w:tblW w:type="auto" w:w="0"/>
        <w:tblLook w:firstRow="1" w:lastRow="0" w:firstColumn="0" w:lastColumn="0" w:noHBand="0" w:noVBand="0" w:val="0020"/>
        <w:tblCaption w:val="LaTeX Tables Available in reports/tables"/>
      </w:tblPr>
      <w:tblGrid>
        <w:gridCol w:w="2640"/>
        <w:gridCol w:w="2640"/>
        <w:gridCol w:w="2640"/>
      </w:tblGrid>
      <w:tr>
        <w:trPr>
          <w:tblHeader w:val="on"/>
        </w:trPr>
        <w:tc>
          <w:tcPr/>
          <w:p>
            <w:pPr>
              <w:pStyle w:val="Compact"/>
              <w:jc w:val="left"/>
            </w:pPr>
            <w:r>
              <w:t xml:space="preserve">Table</w:t>
            </w:r>
          </w:p>
        </w:tc>
        <w:tc>
          <w:tcPr/>
          <w:p>
            <w:pPr>
              <w:pStyle w:val="Compact"/>
              <w:jc w:val="left"/>
            </w:pPr>
            <w:r>
              <w:t xml:space="preserve">File</w:t>
            </w:r>
          </w:p>
        </w:tc>
        <w:tc>
          <w:tcPr/>
          <w:p>
            <w:pPr>
              <w:pStyle w:val="Compact"/>
              <w:jc w:val="left"/>
            </w:pPr>
            <w:r>
              <w:t xml:space="preserve">Description</w:t>
            </w:r>
          </w:p>
        </w:tc>
      </w:tr>
      <w:tr>
        <w:tc>
          <w:tcPr/>
          <w:p>
            <w:pPr>
              <w:pStyle w:val="Compact"/>
              <w:jc w:val="left"/>
            </w:pPr>
            <w:r>
              <w:t xml:space="preserve">Table 1</w:t>
            </w:r>
          </w:p>
        </w:tc>
        <w:tc>
          <w:tcPr/>
          <w:p>
            <w:pPr>
              <w:pStyle w:val="Compact"/>
              <w:jc w:val="left"/>
            </w:pPr>
            <w:r>
              <w:t xml:space="preserve">‘forecast_metrics_de.tex‘</w:t>
            </w:r>
          </w:p>
        </w:tc>
        <w:tc>
          <w:tcPr/>
          <w:p>
            <w:pPr>
              <w:pStyle w:val="Compact"/>
              <w:jc w:val="left"/>
            </w:pPr>
            <w:r>
              <w:t xml:space="preserve">Germany forecast performance</w:t>
            </w:r>
          </w:p>
        </w:tc>
      </w:tr>
      <w:tr>
        <w:tc>
          <w:tcPr/>
          <w:p>
            <w:pPr>
              <w:pStyle w:val="Compact"/>
              <w:jc w:val="left"/>
            </w:pPr>
            <w:r>
              <w:t xml:space="preserve">Table 2</w:t>
            </w:r>
          </w:p>
        </w:tc>
        <w:tc>
          <w:tcPr/>
          <w:p>
            <w:pPr>
              <w:pStyle w:val="Compact"/>
              <w:jc w:val="left"/>
            </w:pPr>
            <w:r>
              <w:t xml:space="preserve">‘forecast_metrics_us.tex‘</w:t>
            </w:r>
          </w:p>
        </w:tc>
        <w:tc>
          <w:tcPr/>
          <w:p>
            <w:pPr>
              <w:pStyle w:val="Compact"/>
              <w:jc w:val="left"/>
            </w:pPr>
            <w:r>
              <w:t xml:space="preserve">USA forecast performance</w:t>
            </w:r>
          </w:p>
        </w:tc>
      </w:tr>
      <w:tr>
        <w:tc>
          <w:tcPr/>
          <w:p>
            <w:pPr>
              <w:pStyle w:val="Compact"/>
              <w:jc w:val="left"/>
            </w:pPr>
            <w:r>
              <w:t xml:space="preserve">Table 3</w:t>
            </w:r>
          </w:p>
        </w:tc>
        <w:tc>
          <w:tcPr/>
          <w:p>
            <w:pPr>
              <w:pStyle w:val="Compact"/>
              <w:jc w:val="left"/>
            </w:pPr>
            <w:r>
              <w:t xml:space="preserve">‘conformal_coverage.tex‘</w:t>
            </w:r>
          </w:p>
        </w:tc>
        <w:tc>
          <w:tcPr/>
          <w:p>
            <w:pPr>
              <w:pStyle w:val="Compact"/>
              <w:jc w:val="left"/>
            </w:pPr>
            <w:r>
              <w:t xml:space="preserve">Conformal prediction PICP</w:t>
            </w:r>
          </w:p>
        </w:tc>
      </w:tr>
      <w:tr>
        <w:tc>
          <w:tcPr/>
          <w:p>
            <w:pPr>
              <w:pStyle w:val="Compact"/>
              <w:jc w:val="left"/>
            </w:pPr>
            <w:r>
              <w:t xml:space="preserve">Table 4</w:t>
            </w:r>
          </w:p>
        </w:tc>
        <w:tc>
          <w:tcPr/>
          <w:p>
            <w:pPr>
              <w:pStyle w:val="Compact"/>
              <w:jc w:val="left"/>
            </w:pPr>
            <w:r>
              <w:t xml:space="preserve">‘optimization_impact.tex‘</w:t>
            </w:r>
          </w:p>
        </w:tc>
        <w:tc>
          <w:tcPr/>
          <w:p>
            <w:pPr>
              <w:pStyle w:val="Compact"/>
              <w:jc w:val="left"/>
            </w:pPr>
            <w:r>
              <w:t xml:space="preserve">Dispatch cost/carbon savings</w:t>
            </w:r>
          </w:p>
        </w:tc>
      </w:tr>
      <w:tr>
        <w:tc>
          <w:tcPr/>
          <w:p>
            <w:pPr>
              <w:pStyle w:val="Compact"/>
              <w:jc w:val="left"/>
            </w:pPr>
            <w:r>
              <w:t xml:space="preserve">Table 5</w:t>
            </w:r>
          </w:p>
        </w:tc>
        <w:tc>
          <w:tcPr/>
          <w:p>
            <w:pPr>
              <w:pStyle w:val="Compact"/>
              <w:jc w:val="left"/>
            </w:pPr>
            <w:r>
              <w:t xml:space="preserve">‘significance_tests.tex‘</w:t>
            </w:r>
          </w:p>
        </w:tc>
        <w:tc>
          <w:tcPr/>
          <w:p>
            <w:pPr>
              <w:pStyle w:val="Compact"/>
              <w:jc w:val="left"/>
            </w:pPr>
            <w:r>
              <w:t xml:space="preserve">Diebold-Mariano test results</w:t>
            </w:r>
          </w:p>
        </w:tc>
      </w:tr>
      <w:tr>
        <w:tc>
          <w:tcPr/>
          <w:p>
            <w:pPr>
              <w:pStyle w:val="Compact"/>
              <w:jc w:val="left"/>
            </w:pPr>
            <w:r>
              <w:t xml:space="preserve">Table 6</w:t>
            </w:r>
          </w:p>
        </w:tc>
        <w:tc>
          <w:tcPr/>
          <w:p>
            <w:pPr>
              <w:pStyle w:val="Compact"/>
              <w:jc w:val="left"/>
            </w:pPr>
            <w:r>
              <w:t xml:space="preserve">‘ablation_study.tex‘</w:t>
            </w:r>
          </w:p>
        </w:tc>
        <w:tc>
          <w:tcPr/>
          <w:p>
            <w:pPr>
              <w:pStyle w:val="Compact"/>
              <w:jc w:val="left"/>
            </w:pPr>
            <w:r>
              <w:t xml:space="preserve">Component ablation analysis</w:t>
            </w:r>
          </w:p>
        </w:tc>
      </w:tr>
      <w:tr>
        <w:tc>
          <w:tcPr/>
          <w:p>
            <w:pPr>
              <w:pStyle w:val="Compact"/>
              <w:jc w:val="left"/>
            </w:pPr>
            <w:r>
              <w:t xml:space="preserve">Table 7</w:t>
            </w:r>
          </w:p>
        </w:tc>
        <w:tc>
          <w:tcPr/>
          <w:p>
            <w:pPr>
              <w:pStyle w:val="Compact"/>
              <w:jc w:val="left"/>
            </w:pPr>
            <w:r>
              <w:t xml:space="preserve">‘robustness_analysis.tex‘</w:t>
            </w:r>
          </w:p>
        </w:tc>
        <w:tc>
          <w:tcPr/>
          <w:p>
            <w:pPr>
              <w:pStyle w:val="Compact"/>
              <w:jc w:val="left"/>
            </w:pPr>
            <w:r>
              <w:t xml:space="preserve">Perturbation robustness</w:t>
            </w:r>
          </w:p>
        </w:tc>
      </w:tr>
      <w:tr>
        <w:tc>
          <w:tcPr/>
          <w:p>
            <w:pPr>
              <w:pStyle w:val="Compact"/>
              <w:jc w:val="left"/>
            </w:pPr>
            <w:r>
              <w:t xml:space="preserve">Table 8</w:t>
            </w:r>
          </w:p>
        </w:tc>
        <w:tc>
          <w:tcPr/>
          <w:p>
            <w:pPr>
              <w:pStyle w:val="Compact"/>
              <w:jc w:val="left"/>
            </w:pPr>
            <w:r>
              <w:t xml:space="preserve">‘shap_importance.tex‘</w:t>
            </w:r>
          </w:p>
        </w:tc>
        <w:tc>
          <w:tcPr/>
          <w:p>
            <w:pPr>
              <w:pStyle w:val="Compact"/>
              <w:jc w:val="left"/>
            </w:pPr>
            <w:r>
              <w:t xml:space="preserve">SHAP feature importance</w:t>
            </w:r>
          </w:p>
        </w:tc>
      </w:tr>
      <w:tr>
        <w:tc>
          <w:tcPr/>
          <w:p>
            <w:pPr>
              <w:pStyle w:val="Compact"/>
              <w:jc w:val="left"/>
            </w:pPr>
            <w:r>
              <w:t xml:space="preserve">Table 9</w:t>
            </w:r>
          </w:p>
        </w:tc>
        <w:tc>
          <w:tcPr/>
          <w:p>
            <w:pPr>
              <w:pStyle w:val="Compact"/>
              <w:jc w:val="left"/>
            </w:pPr>
            <w:r>
              <w:t xml:space="preserve">‘runtime_benchmarks.tex‘</w:t>
            </w:r>
          </w:p>
        </w:tc>
        <w:tc>
          <w:tcPr/>
          <w:p>
            <w:pPr>
              <w:pStyle w:val="Compact"/>
              <w:jc w:val="left"/>
            </w:pPr>
            <w:r>
              <w:t xml:space="preserve">Training/inference timing</w:t>
            </w:r>
          </w:p>
        </w:tc>
      </w:tr>
      <w:tr>
        <w:tc>
          <w:tcPr/>
          <w:p>
            <w:pPr>
              <w:pStyle w:val="Compact"/>
              <w:jc w:val="left"/>
            </w:pPr>
            <w:r>
              <w:t xml:space="preserve">Table 10</w:t>
            </w:r>
          </w:p>
        </w:tc>
        <w:tc>
          <w:tcPr/>
          <w:p>
            <w:pPr>
              <w:pStyle w:val="Compact"/>
              <w:jc w:val="left"/>
            </w:pPr>
            <w:r>
              <w:t xml:space="preserve">‘dataset_summary.tex‘</w:t>
            </w:r>
          </w:p>
        </w:tc>
        <w:tc>
          <w:tcPr/>
          <w:p>
            <w:pPr>
              <w:pStyle w:val="Compact"/>
              <w:jc w:val="left"/>
            </w:pPr>
            <w:r>
              <w:t xml:space="preserve">Dataset characteristics</w:t>
            </w:r>
          </w:p>
        </w:tc>
      </w:tr>
    </w:tbl>
    <w:bookmarkEnd w:id="94"/>
    <w:p>
      <w:pPr>
        <w:pStyle w:val="SourceCode"/>
      </w:pPr>
      <w:r>
        <w:rPr>
          <w:rStyle w:val="VerbatimChar"/>
        </w:rPr>
        <w:t xml:space="preserve">% Include in your LaTeX paper:</w:t>
      </w:r>
      <w:r>
        <w:br/>
      </w:r>
      <w:r>
        <w:rPr>
          <w:rStyle w:val="VerbatimChar"/>
        </w:rPr>
        <w:t xml:space="preserve">\input{reports/tables/forecast_metrics_de.tex}</w:t>
      </w:r>
      <w:r>
        <w:br/>
      </w:r>
      <w:r>
        <w:rPr>
          <w:rStyle w:val="VerbatimChar"/>
        </w:rPr>
        <w:t xml:space="preserve">\input{reports/tables/conformal_coverage.tex}</w:t>
      </w:r>
      <w:r>
        <w:br/>
      </w:r>
      <w:r>
        <w:rPr>
          <w:rStyle w:val="VerbatimChar"/>
        </w:rPr>
        <w:t xml:space="preserve">\input{reports/tables/optimization_impact.tex}</w:t>
      </w:r>
    </w:p>
    <w:bookmarkEnd w:id="95"/>
    <w:bookmarkStart w:id="97" w:name="code-availability"/>
    <w:p>
      <w:pPr>
        <w:pStyle w:val="Heading1"/>
      </w:pPr>
      <w:r>
        <w:t xml:space="preserve">Code Availability</w:t>
      </w:r>
    </w:p>
    <w:p>
      <w:pPr>
        <w:pStyle w:val="FirstParagraph"/>
      </w:pPr>
      <w:r>
        <w:t xml:space="preserve">The complete GridPulse codebase is available at:</w:t>
      </w:r>
    </w:p>
    <w:p>
      <w:pPr>
        <w:numPr>
          <w:ilvl w:val="0"/>
          <w:numId w:val="1026"/>
        </w:numPr>
      </w:pPr>
      <w:r>
        <w:rPr>
          <w:b/>
          <w:bCs/>
        </w:rPr>
        <w:t xml:space="preserve">Repository</w:t>
      </w:r>
      <w:r>
        <w:t xml:space="preserve">:</w:t>
      </w:r>
      <w:r>
        <w:t xml:space="preserve"> </w:t>
      </w:r>
      <w:hyperlink r:id="rId96">
        <w:r>
          <w:rPr>
            <w:rStyle w:val="Hyperlink"/>
          </w:rPr>
          <w:t xml:space="preserve">https://github.com/pratik-n/gridpulse</w:t>
        </w:r>
      </w:hyperlink>
    </w:p>
    <w:p>
      <w:pPr>
        <w:numPr>
          <w:ilvl w:val="0"/>
          <w:numId w:val="1026"/>
        </w:numPr>
      </w:pPr>
      <w:r>
        <w:rPr>
          <w:b/>
          <w:bCs/>
        </w:rPr>
        <w:t xml:space="preserve">License</w:t>
      </w:r>
      <w:r>
        <w:t xml:space="preserve">: MIT License</w:t>
      </w:r>
    </w:p>
    <w:p>
      <w:pPr>
        <w:numPr>
          <w:ilvl w:val="0"/>
          <w:numId w:val="1026"/>
        </w:numPr>
      </w:pPr>
      <w:r>
        <w:rPr>
          <w:b/>
          <w:bCs/>
        </w:rPr>
        <w:t xml:space="preserve">Documentation</w:t>
      </w:r>
      <w:r>
        <w:t xml:space="preserve">:</w:t>
      </w:r>
      <w:r>
        <w:t xml:space="preserve"> </w:t>
      </w:r>
      <w:r>
        <w:rPr>
          <w:rStyle w:val="VerbatimChar"/>
        </w:rPr>
        <w:t xml:space="preserve">docs/ARCHITECTURE.md</w:t>
      </w:r>
      <w:r>
        <w:t xml:space="preserve">,</w:t>
      </w:r>
      <w:r>
        <w:t xml:space="preserve"> </w:t>
      </w:r>
      <w:r>
        <w:rPr>
          <w:rStyle w:val="VerbatimChar"/>
        </w:rPr>
        <w:t xml:space="preserve">docs/RUNBOOK.md</w:t>
      </w:r>
    </w:p>
    <w:p>
      <w:pPr>
        <w:numPr>
          <w:ilvl w:val="0"/>
          <w:numId w:val="1026"/>
        </w:numPr>
      </w:pPr>
      <w:r>
        <w:rPr>
          <w:b/>
          <w:bCs/>
        </w:rPr>
        <w:t xml:space="preserve">DOI</w:t>
      </w:r>
      <w:r>
        <w:t xml:space="preserve">: (To be assigned upon publication)</w:t>
      </w:r>
    </w:p>
    <w:p>
      <w:pPr>
        <w:pStyle w:val="FirstParagraph"/>
      </w:pPr>
      <w:r>
        <w:t xml:space="preserve">Key directories:</w:t>
      </w:r>
    </w:p>
    <w:p>
      <w:pPr>
        <w:numPr>
          <w:ilvl w:val="0"/>
          <w:numId w:val="1027"/>
        </w:numPr>
      </w:pPr>
      <w:r>
        <w:rPr>
          <w:rStyle w:val="VerbatimChar"/>
        </w:rPr>
        <w:t xml:space="preserve">src/gridpulse/</w:t>
      </w:r>
      <w:r>
        <w:t xml:space="preserve"> </w:t>
      </w:r>
      <w:r>
        <w:t xml:space="preserve">– Core ML pipeline modules</w:t>
      </w:r>
    </w:p>
    <w:p>
      <w:pPr>
        <w:numPr>
          <w:ilvl w:val="0"/>
          <w:numId w:val="1027"/>
        </w:numPr>
      </w:pPr>
      <w:r>
        <w:rPr>
          <w:rStyle w:val="VerbatimChar"/>
        </w:rPr>
        <w:t xml:space="preserve">services/api/</w:t>
      </w:r>
      <w:r>
        <w:t xml:space="preserve"> </w:t>
      </w:r>
      <w:r>
        <w:t xml:space="preserve">– FastAPI prediction service</w:t>
      </w:r>
    </w:p>
    <w:p>
      <w:pPr>
        <w:numPr>
          <w:ilvl w:val="0"/>
          <w:numId w:val="1027"/>
        </w:numPr>
      </w:pPr>
      <w:r>
        <w:rPr>
          <w:rStyle w:val="VerbatimChar"/>
        </w:rPr>
        <w:t xml:space="preserve">notebooks/</w:t>
      </w:r>
      <w:r>
        <w:t xml:space="preserve"> </w:t>
      </w:r>
      <w:r>
        <w:t xml:space="preserve">– Reproducible analysis (14 notebooks)</w:t>
      </w:r>
    </w:p>
    <w:p>
      <w:pPr>
        <w:numPr>
          <w:ilvl w:val="0"/>
          <w:numId w:val="1027"/>
        </w:numPr>
      </w:pPr>
      <w:r>
        <w:rPr>
          <w:rStyle w:val="VerbatimChar"/>
        </w:rPr>
        <w:t xml:space="preserve">configs/</w:t>
      </w:r>
      <w:r>
        <w:t xml:space="preserve"> </w:t>
      </w:r>
      <w:r>
        <w:t xml:space="preserve">– YAML configuration files</w:t>
      </w:r>
    </w:p>
    <w:p>
      <w:pPr>
        <w:numPr>
          <w:ilvl w:val="0"/>
          <w:numId w:val="1027"/>
        </w:numPr>
      </w:pPr>
      <w:r>
        <w:rPr>
          <w:rStyle w:val="VerbatimChar"/>
        </w:rPr>
        <w:t xml:space="preserve">tests/</w:t>
      </w:r>
      <w:r>
        <w:t xml:space="preserve"> </w:t>
      </w:r>
      <w:r>
        <w:t xml:space="preserve">– Unit and integration tests (15 test files)</w:t>
      </w:r>
    </w:p>
    <w:bookmarkEnd w:id="97"/>
    <w:bookmarkStart w:id="102" w:name="extended-cross-validation-results"/>
    <w:p>
      <w:pPr>
        <w:pStyle w:val="Heading1"/>
      </w:pPr>
      <w:r>
        <w:t xml:space="preserve">Extended Cross-Validation Results</w:t>
      </w:r>
    </w:p>
    <w:bookmarkStart w:id="99" w:name="Xdbc4d79f31ee9a59a4cc49b508c15b4a898b413"/>
    <w:p>
      <w:pPr>
        <w:pStyle w:val="Heading2"/>
      </w:pPr>
      <w:r>
        <w:t xml:space="preserve">Ten-Fold Time Series Cross-Validation (Germany)</w:t>
      </w:r>
    </w:p>
    <w:bookmarkStart w:id="98" w:name="tab:e1"/>
    <w:p>
      <w:pPr>
        <w:pStyle w:val="TableCaption"/>
      </w:pPr>
      <w:r>
        <w:t xml:space="preserve">10-Fold CV Results - Load Forecasting (Germany)</w:t>
      </w:r>
    </w:p>
    <w:tbl>
      <w:tblPr>
        <w:tblStyle w:val="Table"/>
        <w:tblW w:type="auto" w:w="0"/>
        <w:tblLook w:firstRow="1" w:lastRow="0" w:firstColumn="0" w:lastColumn="0" w:noHBand="0" w:noVBand="0" w:val="0020"/>
        <w:tblCaption w:val="10-Fold CV Results - Load Forecasting (Germany)"/>
      </w:tblPr>
      <w:tblGrid>
        <w:gridCol w:w="990"/>
        <w:gridCol w:w="990"/>
        <w:gridCol w:w="990"/>
        <w:gridCol w:w="990"/>
        <w:gridCol w:w="990"/>
        <w:gridCol w:w="990"/>
        <w:gridCol w:w="990"/>
        <w:gridCol w:w="990"/>
      </w:tblGrid>
      <w:tr>
        <w:trPr>
          <w:tblHeader w:val="on"/>
        </w:trPr>
        <w:tc>
          <w:tcPr/>
          <w:p>
            <w:pPr>
              <w:pStyle w:val="Compact"/>
              <w:jc w:val="left"/>
            </w:pPr>
            <w:r>
              <w:t xml:space="preserve">Fold</w:t>
            </w:r>
          </w:p>
        </w:tc>
        <w:tc>
          <w:tcPr/>
          <w:p>
            <w:pPr>
              <w:pStyle w:val="Compact"/>
              <w:jc w:val="left"/>
            </w:pPr>
            <w:r>
              <w:t xml:space="preserve">GBM RMSE</w:t>
            </w:r>
          </w:p>
        </w:tc>
        <w:tc>
          <w:tcPr/>
          <w:p>
            <w:pPr>
              <w:pStyle w:val="Compact"/>
              <w:jc w:val="left"/>
            </w:pPr>
            <w:r>
              <w:t xml:space="preserve">GBM MAE</w:t>
            </w:r>
          </w:p>
        </w:tc>
        <w:tc>
          <w:tcPr/>
          <w:p>
            <w:pPr>
              <w:pStyle w:val="Compact"/>
              <w:jc w:val="left"/>
            </w:pPr>
            <w:r>
              <w:t xml:space="preserve">GBM R</w:t>
            </w:r>
            <m:oMath>
              <m:sSup>
                <m:e>
                  <m:r>
                    <m:t>​</m:t>
                  </m:r>
                </m:e>
                <m:sup>
                  <m:r>
                    <m:t>2</m:t>
                  </m:r>
                </m:sup>
              </m:sSup>
            </m:oMath>
          </w:p>
        </w:tc>
        <w:tc>
          <w:tcPr/>
          <w:p>
            <w:pPr>
              <w:pStyle w:val="Compact"/>
              <w:jc w:val="left"/>
            </w:pPr>
            <w:r>
              <w:t xml:space="preserve">LSTM RMSE</w:t>
            </w:r>
          </w:p>
        </w:tc>
        <w:tc>
          <w:tcPr/>
          <w:p>
            <w:pPr>
              <w:pStyle w:val="Compact"/>
              <w:jc w:val="left"/>
            </w:pPr>
            <w:r>
              <w:t xml:space="preserve">LSTM R</w:t>
            </w:r>
            <m:oMath>
              <m:sSup>
                <m:e>
                  <m:r>
                    <m:t>​</m:t>
                  </m:r>
                </m:e>
                <m:sup>
                  <m:r>
                    <m:t>2</m:t>
                  </m:r>
                </m:sup>
              </m:sSup>
            </m:oMath>
          </w:p>
        </w:tc>
        <w:tc>
          <w:tcPr/>
          <w:p>
            <w:pPr>
              <w:pStyle w:val="Compact"/>
              <w:jc w:val="left"/>
            </w:pPr>
            <w:r>
              <w:t xml:space="preserve">TCN RMSE</w:t>
            </w:r>
          </w:p>
        </w:tc>
        <w:tc>
          <w:tcPr/>
          <w:p>
            <w:pPr>
              <w:pStyle w:val="Compact"/>
              <w:jc w:val="left"/>
            </w:pPr>
            <w:r>
              <w:t xml:space="preserve">TCN R</w:t>
            </w:r>
            <m:oMath>
              <m:sSup>
                <m:e>
                  <m:r>
                    <m:t>​</m:t>
                  </m:r>
                </m:e>
                <m:sup>
                  <m:r>
                    <m:t>2</m:t>
                  </m:r>
                </m:sup>
              </m:sSup>
            </m:oMath>
          </w:p>
        </w:tc>
      </w:tr>
      <w:tr>
        <w:tc>
          <w:tcPr/>
          <w:p>
            <w:pPr>
              <w:pStyle w:val="Compact"/>
              <w:jc w:val="left"/>
            </w:pPr>
            <w:r>
              <w:t xml:space="preserve">1</w:t>
            </w:r>
          </w:p>
        </w:tc>
        <w:tc>
          <w:tcPr/>
          <w:p>
            <w:pPr>
              <w:pStyle w:val="Compact"/>
              <w:jc w:val="left"/>
            </w:pPr>
            <w:r>
              <w:t xml:space="preserve">268.4</w:t>
            </w:r>
          </w:p>
        </w:tc>
        <w:tc>
          <w:tcPr/>
          <w:p>
            <w:pPr>
              <w:pStyle w:val="Compact"/>
              <w:jc w:val="left"/>
            </w:pPr>
            <w:r>
              <w:t xml:space="preserve">189.2</w:t>
            </w:r>
          </w:p>
        </w:tc>
        <w:tc>
          <w:tcPr/>
          <w:p>
            <w:pPr>
              <w:pStyle w:val="Compact"/>
              <w:jc w:val="left"/>
            </w:pPr>
            <w:r>
              <w:t xml:space="preserve">0.9991</w:t>
            </w:r>
          </w:p>
        </w:tc>
        <w:tc>
          <w:tcPr/>
          <w:p>
            <w:pPr>
              <w:pStyle w:val="Compact"/>
              <w:jc w:val="left"/>
            </w:pPr>
            <w:r>
              <w:t xml:space="preserve">312.5</w:t>
            </w:r>
          </w:p>
        </w:tc>
        <w:tc>
          <w:tcPr/>
          <w:p>
            <w:pPr>
              <w:pStyle w:val="Compact"/>
              <w:jc w:val="left"/>
            </w:pPr>
            <w:r>
              <w:t xml:space="preserve">0.9988</w:t>
            </w:r>
          </w:p>
        </w:tc>
        <w:tc>
          <w:tcPr/>
          <w:p>
            <w:pPr>
              <w:pStyle w:val="Compact"/>
              <w:jc w:val="left"/>
            </w:pPr>
            <w:r>
              <w:t xml:space="preserve">358.2</w:t>
            </w:r>
          </w:p>
        </w:tc>
        <w:tc>
          <w:tcPr/>
          <w:p>
            <w:pPr>
              <w:pStyle w:val="Compact"/>
              <w:jc w:val="left"/>
            </w:pPr>
            <w:r>
              <w:t xml:space="preserve">0.9984</w:t>
            </w:r>
          </w:p>
        </w:tc>
      </w:tr>
      <w:tr>
        <w:tc>
          <w:tcPr/>
          <w:p>
            <w:pPr>
              <w:pStyle w:val="Compact"/>
              <w:jc w:val="left"/>
            </w:pPr>
            <w:r>
              <w:t xml:space="preserve">2</w:t>
            </w:r>
          </w:p>
        </w:tc>
        <w:tc>
          <w:tcPr/>
          <w:p>
            <w:pPr>
              <w:pStyle w:val="Compact"/>
              <w:jc w:val="left"/>
            </w:pPr>
            <w:r>
              <w:t xml:space="preserve">274.1</w:t>
            </w:r>
          </w:p>
        </w:tc>
        <w:tc>
          <w:tcPr/>
          <w:p>
            <w:pPr>
              <w:pStyle w:val="Compact"/>
              <w:jc w:val="left"/>
            </w:pPr>
            <w:r>
              <w:t xml:space="preserve">193.8</w:t>
            </w:r>
          </w:p>
        </w:tc>
        <w:tc>
          <w:tcPr/>
          <w:p>
            <w:pPr>
              <w:pStyle w:val="Compact"/>
              <w:jc w:val="left"/>
            </w:pPr>
            <w:r>
              <w:t xml:space="preserve">0.9990</w:t>
            </w:r>
          </w:p>
        </w:tc>
        <w:tc>
          <w:tcPr/>
          <w:p>
            <w:pPr>
              <w:pStyle w:val="Compact"/>
              <w:jc w:val="left"/>
            </w:pPr>
            <w:r>
              <w:t xml:space="preserve">325.8</w:t>
            </w:r>
          </w:p>
        </w:tc>
        <w:tc>
          <w:tcPr/>
          <w:p>
            <w:pPr>
              <w:pStyle w:val="Compact"/>
              <w:jc w:val="left"/>
            </w:pPr>
            <w:r>
              <w:t xml:space="preserve">0.9987</w:t>
            </w:r>
          </w:p>
        </w:tc>
        <w:tc>
          <w:tcPr/>
          <w:p>
            <w:pPr>
              <w:pStyle w:val="Compact"/>
              <w:jc w:val="left"/>
            </w:pPr>
            <w:r>
              <w:t xml:space="preserve">362.1</w:t>
            </w:r>
          </w:p>
        </w:tc>
        <w:tc>
          <w:tcPr/>
          <w:p>
            <w:pPr>
              <w:pStyle w:val="Compact"/>
              <w:jc w:val="left"/>
            </w:pPr>
            <w:r>
              <w:t xml:space="preserve">0.9983</w:t>
            </w:r>
          </w:p>
        </w:tc>
      </w:tr>
      <w:tr>
        <w:tc>
          <w:tcPr/>
          <w:p>
            <w:pPr>
              <w:pStyle w:val="Compact"/>
              <w:jc w:val="left"/>
            </w:pPr>
            <w:r>
              <w:t xml:space="preserve">3</w:t>
            </w:r>
          </w:p>
        </w:tc>
        <w:tc>
          <w:tcPr/>
          <w:p>
            <w:pPr>
              <w:pStyle w:val="Compact"/>
              <w:jc w:val="left"/>
            </w:pPr>
            <w:r>
              <w:t xml:space="preserve">269.7</w:t>
            </w:r>
          </w:p>
        </w:tc>
        <w:tc>
          <w:tcPr/>
          <w:p>
            <w:pPr>
              <w:pStyle w:val="Compact"/>
              <w:jc w:val="left"/>
            </w:pPr>
            <w:r>
              <w:t xml:space="preserve">190.5</w:t>
            </w:r>
          </w:p>
        </w:tc>
        <w:tc>
          <w:tcPr/>
          <w:p>
            <w:pPr>
              <w:pStyle w:val="Compact"/>
              <w:jc w:val="left"/>
            </w:pPr>
            <w:r>
              <w:t xml:space="preserve">0.9991</w:t>
            </w:r>
          </w:p>
        </w:tc>
        <w:tc>
          <w:tcPr/>
          <w:p>
            <w:pPr>
              <w:pStyle w:val="Compact"/>
              <w:jc w:val="left"/>
            </w:pPr>
            <w:r>
              <w:t xml:space="preserve">308.4</w:t>
            </w:r>
          </w:p>
        </w:tc>
        <w:tc>
          <w:tcPr/>
          <w:p>
            <w:pPr>
              <w:pStyle w:val="Compact"/>
              <w:jc w:val="left"/>
            </w:pPr>
            <w:r>
              <w:t xml:space="preserve">0.9988</w:t>
            </w:r>
          </w:p>
        </w:tc>
        <w:tc>
          <w:tcPr/>
          <w:p>
            <w:pPr>
              <w:pStyle w:val="Compact"/>
              <w:jc w:val="left"/>
            </w:pPr>
            <w:r>
              <w:t xml:space="preserve">345.7</w:t>
            </w:r>
          </w:p>
        </w:tc>
        <w:tc>
          <w:tcPr/>
          <w:p>
            <w:pPr>
              <w:pStyle w:val="Compact"/>
              <w:jc w:val="left"/>
            </w:pPr>
            <w:r>
              <w:t xml:space="preserve">0.9985</w:t>
            </w:r>
          </w:p>
        </w:tc>
      </w:tr>
      <w:tr>
        <w:tc>
          <w:tcPr/>
          <w:p>
            <w:pPr>
              <w:pStyle w:val="Compact"/>
              <w:jc w:val="left"/>
            </w:pPr>
            <w:r>
              <w:t xml:space="preserve">4</w:t>
            </w:r>
          </w:p>
        </w:tc>
        <w:tc>
          <w:tcPr/>
          <w:p>
            <w:pPr>
              <w:pStyle w:val="Compact"/>
              <w:jc w:val="left"/>
            </w:pPr>
            <w:r>
              <w:t xml:space="preserve">278.3</w:t>
            </w:r>
          </w:p>
        </w:tc>
        <w:tc>
          <w:tcPr/>
          <w:p>
            <w:pPr>
              <w:pStyle w:val="Compact"/>
              <w:jc w:val="left"/>
            </w:pPr>
            <w:r>
              <w:t xml:space="preserve">196.2</w:t>
            </w:r>
          </w:p>
        </w:tc>
        <w:tc>
          <w:tcPr/>
          <w:p>
            <w:pPr>
              <w:pStyle w:val="Compact"/>
              <w:jc w:val="left"/>
            </w:pPr>
            <w:r>
              <w:t xml:space="preserve">0.9989</w:t>
            </w:r>
          </w:p>
        </w:tc>
        <w:tc>
          <w:tcPr/>
          <w:p>
            <w:pPr>
              <w:pStyle w:val="Compact"/>
              <w:jc w:val="left"/>
            </w:pPr>
            <w:r>
              <w:t xml:space="preserve">318.6</w:t>
            </w:r>
          </w:p>
        </w:tc>
        <w:tc>
          <w:tcPr/>
          <w:p>
            <w:pPr>
              <w:pStyle w:val="Compact"/>
              <w:jc w:val="left"/>
            </w:pPr>
            <w:r>
              <w:t xml:space="preserve">0.9987</w:t>
            </w:r>
          </w:p>
        </w:tc>
        <w:tc>
          <w:tcPr/>
          <w:p>
            <w:pPr>
              <w:pStyle w:val="Compact"/>
              <w:jc w:val="left"/>
            </w:pPr>
            <w:r>
              <w:t xml:space="preserve">367.4</w:t>
            </w:r>
          </w:p>
        </w:tc>
        <w:tc>
          <w:tcPr/>
          <w:p>
            <w:pPr>
              <w:pStyle w:val="Compact"/>
              <w:jc w:val="left"/>
            </w:pPr>
            <w:r>
              <w:t xml:space="preserve">0.9983</w:t>
            </w:r>
          </w:p>
        </w:tc>
      </w:tr>
      <w:tr>
        <w:tc>
          <w:tcPr/>
          <w:p>
            <w:pPr>
              <w:pStyle w:val="Compact"/>
              <w:jc w:val="left"/>
            </w:pPr>
            <w:r>
              <w:t xml:space="preserve">5</w:t>
            </w:r>
          </w:p>
        </w:tc>
        <w:tc>
          <w:tcPr/>
          <w:p>
            <w:pPr>
              <w:pStyle w:val="Compact"/>
              <w:jc w:val="left"/>
            </w:pPr>
            <w:r>
              <w:t xml:space="preserve">265.8</w:t>
            </w:r>
          </w:p>
        </w:tc>
        <w:tc>
          <w:tcPr/>
          <w:p>
            <w:pPr>
              <w:pStyle w:val="Compact"/>
              <w:jc w:val="left"/>
            </w:pPr>
            <w:r>
              <w:t xml:space="preserve">187.4</w:t>
            </w:r>
          </w:p>
        </w:tc>
        <w:tc>
          <w:tcPr/>
          <w:p>
            <w:pPr>
              <w:pStyle w:val="Compact"/>
              <w:jc w:val="left"/>
            </w:pPr>
            <w:r>
              <w:t xml:space="preserve">0.9991</w:t>
            </w:r>
          </w:p>
        </w:tc>
        <w:tc>
          <w:tcPr/>
          <w:p>
            <w:pPr>
              <w:pStyle w:val="Compact"/>
              <w:jc w:val="left"/>
            </w:pPr>
            <w:r>
              <w:t xml:space="preserve">298.7</w:t>
            </w:r>
          </w:p>
        </w:tc>
        <w:tc>
          <w:tcPr/>
          <w:p>
            <w:pPr>
              <w:pStyle w:val="Compact"/>
              <w:jc w:val="left"/>
            </w:pPr>
            <w:r>
              <w:t xml:space="preserve">0.9989</w:t>
            </w:r>
          </w:p>
        </w:tc>
        <w:tc>
          <w:tcPr/>
          <w:p>
            <w:pPr>
              <w:pStyle w:val="Compact"/>
              <w:jc w:val="left"/>
            </w:pPr>
            <w:r>
              <w:t xml:space="preserve">334.5</w:t>
            </w:r>
          </w:p>
        </w:tc>
        <w:tc>
          <w:tcPr/>
          <w:p>
            <w:pPr>
              <w:pStyle w:val="Compact"/>
              <w:jc w:val="left"/>
            </w:pPr>
            <w:r>
              <w:t xml:space="preserve">0.9986</w:t>
            </w:r>
          </w:p>
        </w:tc>
      </w:tr>
      <w:tr>
        <w:tc>
          <w:tcPr/>
          <w:p>
            <w:pPr>
              <w:pStyle w:val="Compact"/>
              <w:jc w:val="left"/>
            </w:pPr>
            <w:r>
              <w:t xml:space="preserve">6</w:t>
            </w:r>
          </w:p>
        </w:tc>
        <w:tc>
          <w:tcPr/>
          <w:p>
            <w:pPr>
              <w:pStyle w:val="Compact"/>
              <w:jc w:val="left"/>
            </w:pPr>
            <w:r>
              <w:t xml:space="preserve">271.2</w:t>
            </w:r>
          </w:p>
        </w:tc>
        <w:tc>
          <w:tcPr/>
          <w:p>
            <w:pPr>
              <w:pStyle w:val="Compact"/>
              <w:jc w:val="left"/>
            </w:pPr>
            <w:r>
              <w:t xml:space="preserve">191.3</w:t>
            </w:r>
          </w:p>
        </w:tc>
        <w:tc>
          <w:tcPr/>
          <w:p>
            <w:pPr>
              <w:pStyle w:val="Compact"/>
              <w:jc w:val="left"/>
            </w:pPr>
            <w:r>
              <w:t xml:space="preserve">0.9990</w:t>
            </w:r>
          </w:p>
        </w:tc>
        <w:tc>
          <w:tcPr/>
          <w:p>
            <w:pPr>
              <w:pStyle w:val="Compact"/>
              <w:jc w:val="left"/>
            </w:pPr>
            <w:r>
              <w:t xml:space="preserve">312.1</w:t>
            </w:r>
          </w:p>
        </w:tc>
        <w:tc>
          <w:tcPr/>
          <w:p>
            <w:pPr>
              <w:pStyle w:val="Compact"/>
              <w:jc w:val="left"/>
            </w:pPr>
            <w:r>
              <w:t xml:space="preserve">0.9988</w:t>
            </w:r>
          </w:p>
        </w:tc>
        <w:tc>
          <w:tcPr/>
          <w:p>
            <w:pPr>
              <w:pStyle w:val="Compact"/>
              <w:jc w:val="left"/>
            </w:pPr>
            <w:r>
              <w:t xml:space="preserve">356.8</w:t>
            </w:r>
          </w:p>
        </w:tc>
        <w:tc>
          <w:tcPr/>
          <w:p>
            <w:pPr>
              <w:pStyle w:val="Compact"/>
              <w:jc w:val="left"/>
            </w:pPr>
            <w:r>
              <w:t xml:space="preserve">0.9984</w:t>
            </w:r>
          </w:p>
        </w:tc>
      </w:tr>
      <w:tr>
        <w:tc>
          <w:tcPr/>
          <w:p>
            <w:pPr>
              <w:pStyle w:val="Compact"/>
              <w:jc w:val="left"/>
            </w:pPr>
            <w:r>
              <w:t xml:space="preserve">7</w:t>
            </w:r>
          </w:p>
        </w:tc>
        <w:tc>
          <w:tcPr/>
          <w:p>
            <w:pPr>
              <w:pStyle w:val="Compact"/>
              <w:jc w:val="left"/>
            </w:pPr>
            <w:r>
              <w:t xml:space="preserve">276.5</w:t>
            </w:r>
          </w:p>
        </w:tc>
        <w:tc>
          <w:tcPr/>
          <w:p>
            <w:pPr>
              <w:pStyle w:val="Compact"/>
              <w:jc w:val="left"/>
            </w:pPr>
            <w:r>
              <w:t xml:space="preserve">194.8</w:t>
            </w:r>
          </w:p>
        </w:tc>
        <w:tc>
          <w:tcPr/>
          <w:p>
            <w:pPr>
              <w:pStyle w:val="Compact"/>
              <w:jc w:val="left"/>
            </w:pPr>
            <w:r>
              <w:t xml:space="preserve">0.9990</w:t>
            </w:r>
          </w:p>
        </w:tc>
        <w:tc>
          <w:tcPr/>
          <w:p>
            <w:pPr>
              <w:pStyle w:val="Compact"/>
              <w:jc w:val="left"/>
            </w:pPr>
            <w:r>
              <w:t xml:space="preserve">322.4</w:t>
            </w:r>
          </w:p>
        </w:tc>
        <w:tc>
          <w:tcPr/>
          <w:p>
            <w:pPr>
              <w:pStyle w:val="Compact"/>
              <w:jc w:val="left"/>
            </w:pPr>
            <w:r>
              <w:t xml:space="preserve">0.9987</w:t>
            </w:r>
          </w:p>
        </w:tc>
        <w:tc>
          <w:tcPr/>
          <w:p>
            <w:pPr>
              <w:pStyle w:val="Compact"/>
              <w:jc w:val="left"/>
            </w:pPr>
            <w:r>
              <w:t xml:space="preserve">371.2</w:t>
            </w:r>
          </w:p>
        </w:tc>
        <w:tc>
          <w:tcPr/>
          <w:p>
            <w:pPr>
              <w:pStyle w:val="Compact"/>
              <w:jc w:val="left"/>
            </w:pPr>
            <w:r>
              <w:t xml:space="preserve">0.9982</w:t>
            </w:r>
          </w:p>
        </w:tc>
      </w:tr>
      <w:tr>
        <w:tc>
          <w:tcPr/>
          <w:p>
            <w:pPr>
              <w:pStyle w:val="Compact"/>
              <w:jc w:val="left"/>
            </w:pPr>
            <w:r>
              <w:t xml:space="preserve">8</w:t>
            </w:r>
          </w:p>
        </w:tc>
        <w:tc>
          <w:tcPr/>
          <w:p>
            <w:pPr>
              <w:pStyle w:val="Compact"/>
              <w:jc w:val="left"/>
            </w:pPr>
            <w:r>
              <w:t xml:space="preserve">269.3</w:t>
            </w:r>
          </w:p>
        </w:tc>
        <w:tc>
          <w:tcPr/>
          <w:p>
            <w:pPr>
              <w:pStyle w:val="Compact"/>
              <w:jc w:val="left"/>
            </w:pPr>
            <w:r>
              <w:t xml:space="preserve">190.1</w:t>
            </w:r>
          </w:p>
        </w:tc>
        <w:tc>
          <w:tcPr/>
          <w:p>
            <w:pPr>
              <w:pStyle w:val="Compact"/>
              <w:jc w:val="left"/>
            </w:pPr>
            <w:r>
              <w:t xml:space="preserve">0.9991</w:t>
            </w:r>
          </w:p>
        </w:tc>
        <w:tc>
          <w:tcPr/>
          <w:p>
            <w:pPr>
              <w:pStyle w:val="Compact"/>
              <w:jc w:val="left"/>
            </w:pPr>
            <w:r>
              <w:t xml:space="preserve">305.6</w:t>
            </w:r>
          </w:p>
        </w:tc>
        <w:tc>
          <w:tcPr/>
          <w:p>
            <w:pPr>
              <w:pStyle w:val="Compact"/>
              <w:jc w:val="left"/>
            </w:pPr>
            <w:r>
              <w:t xml:space="preserve">0.9989</w:t>
            </w:r>
          </w:p>
        </w:tc>
        <w:tc>
          <w:tcPr/>
          <w:p>
            <w:pPr>
              <w:pStyle w:val="Compact"/>
              <w:jc w:val="left"/>
            </w:pPr>
            <w:r>
              <w:t xml:space="preserve">342.9</w:t>
            </w:r>
          </w:p>
        </w:tc>
        <w:tc>
          <w:tcPr/>
          <w:p>
            <w:pPr>
              <w:pStyle w:val="Compact"/>
              <w:jc w:val="left"/>
            </w:pPr>
            <w:r>
              <w:t xml:space="preserve">0.9985</w:t>
            </w:r>
          </w:p>
        </w:tc>
      </w:tr>
      <w:tr>
        <w:tc>
          <w:tcPr/>
          <w:p>
            <w:pPr>
              <w:pStyle w:val="Compact"/>
              <w:jc w:val="left"/>
            </w:pPr>
            <w:r>
              <w:t xml:space="preserve">9</w:t>
            </w:r>
          </w:p>
        </w:tc>
        <w:tc>
          <w:tcPr/>
          <w:p>
            <w:pPr>
              <w:pStyle w:val="Compact"/>
              <w:jc w:val="left"/>
            </w:pPr>
            <w:r>
              <w:t xml:space="preserve">273.8</w:t>
            </w:r>
          </w:p>
        </w:tc>
        <w:tc>
          <w:tcPr/>
          <w:p>
            <w:pPr>
              <w:pStyle w:val="Compact"/>
              <w:jc w:val="left"/>
            </w:pPr>
            <w:r>
              <w:t xml:space="preserve">193.2</w:t>
            </w:r>
          </w:p>
        </w:tc>
        <w:tc>
          <w:tcPr/>
          <w:p>
            <w:pPr>
              <w:pStyle w:val="Compact"/>
              <w:jc w:val="left"/>
            </w:pPr>
            <w:r>
              <w:t xml:space="preserve">0.9990</w:t>
            </w:r>
          </w:p>
        </w:tc>
        <w:tc>
          <w:tcPr/>
          <w:p>
            <w:pPr>
              <w:pStyle w:val="Compact"/>
              <w:jc w:val="left"/>
            </w:pPr>
            <w:r>
              <w:t xml:space="preserve">316.8</w:t>
            </w:r>
          </w:p>
        </w:tc>
        <w:tc>
          <w:tcPr/>
          <w:p>
            <w:pPr>
              <w:pStyle w:val="Compact"/>
              <w:jc w:val="left"/>
            </w:pPr>
            <w:r>
              <w:t xml:space="preserve">0.9987</w:t>
            </w:r>
          </w:p>
        </w:tc>
        <w:tc>
          <w:tcPr/>
          <w:p>
            <w:pPr>
              <w:pStyle w:val="Compact"/>
              <w:jc w:val="left"/>
            </w:pPr>
            <w:r>
              <w:t xml:space="preserve">359.5</w:t>
            </w:r>
          </w:p>
        </w:tc>
        <w:tc>
          <w:tcPr/>
          <w:p>
            <w:pPr>
              <w:pStyle w:val="Compact"/>
              <w:jc w:val="left"/>
            </w:pPr>
            <w:r>
              <w:t xml:space="preserve">0.9984</w:t>
            </w:r>
          </w:p>
        </w:tc>
      </w:tr>
      <w:tr>
        <w:tc>
          <w:tcPr/>
          <w:p>
            <w:pPr>
              <w:pStyle w:val="Compact"/>
              <w:jc w:val="left"/>
            </w:pPr>
            <w:r>
              <w:t xml:space="preserve">10</w:t>
            </w:r>
          </w:p>
        </w:tc>
        <w:tc>
          <w:tcPr/>
          <w:p>
            <w:pPr>
              <w:pStyle w:val="Compact"/>
              <w:jc w:val="left"/>
            </w:pPr>
            <w:r>
              <w:t xml:space="preserve">270.4</w:t>
            </w:r>
          </w:p>
        </w:tc>
        <w:tc>
          <w:tcPr/>
          <w:p>
            <w:pPr>
              <w:pStyle w:val="Compact"/>
              <w:jc w:val="left"/>
            </w:pPr>
            <w:r>
              <w:t xml:space="preserve">191.0</w:t>
            </w:r>
          </w:p>
        </w:tc>
        <w:tc>
          <w:tcPr/>
          <w:p>
            <w:pPr>
              <w:pStyle w:val="Compact"/>
              <w:jc w:val="left"/>
            </w:pPr>
            <w:r>
              <w:t xml:space="preserve">0.9991</w:t>
            </w:r>
          </w:p>
        </w:tc>
        <w:tc>
          <w:tcPr/>
          <w:p>
            <w:pPr>
              <w:pStyle w:val="Compact"/>
              <w:jc w:val="left"/>
            </w:pPr>
            <w:r>
              <w:t xml:space="preserve">309.7</w:t>
            </w:r>
          </w:p>
        </w:tc>
        <w:tc>
          <w:tcPr/>
          <w:p>
            <w:pPr>
              <w:pStyle w:val="Compact"/>
              <w:jc w:val="left"/>
            </w:pPr>
            <w:r>
              <w:t xml:space="preserve">0.9988</w:t>
            </w:r>
          </w:p>
        </w:tc>
        <w:tc>
          <w:tcPr/>
          <w:p>
            <w:pPr>
              <w:pStyle w:val="Compact"/>
              <w:jc w:val="left"/>
            </w:pPr>
            <w:r>
              <w:t xml:space="preserve">348.3</w:t>
            </w:r>
          </w:p>
        </w:tc>
        <w:tc>
          <w:tcPr/>
          <w:p>
            <w:pPr>
              <w:pStyle w:val="Compact"/>
              <w:jc w:val="left"/>
            </w:pPr>
            <w:r>
              <w:t xml:space="preserve">0.9985</w:t>
            </w:r>
          </w:p>
        </w:tc>
      </w:tr>
      <w:tr>
        <w:tc>
          <w:tcPr/>
          <w:p>
            <w:pPr>
              <w:pStyle w:val="Compact"/>
              <w:jc w:val="left"/>
            </w:pPr>
            <w:r>
              <w:rPr>
                <w:b/>
                <w:bCs/>
              </w:rPr>
              <w:t xml:space="preserve">Mean</w:t>
            </w:r>
          </w:p>
        </w:tc>
        <w:tc>
          <w:tcPr/>
          <w:p>
            <w:pPr>
              <w:pStyle w:val="Compact"/>
              <w:jc w:val="left"/>
            </w:pPr>
            <w:r>
              <w:rPr>
                <w:b/>
                <w:bCs/>
              </w:rPr>
              <w:t xml:space="preserve">271.8</w:t>
            </w:r>
          </w:p>
        </w:tc>
        <w:tc>
          <w:tcPr/>
          <w:p>
            <w:pPr>
              <w:pStyle w:val="Compact"/>
              <w:jc w:val="left"/>
            </w:pPr>
            <w:r>
              <w:rPr>
                <w:b/>
                <w:bCs/>
              </w:rPr>
              <w:t xml:space="preserve">191.8</w:t>
            </w:r>
          </w:p>
        </w:tc>
        <w:tc>
          <w:tcPr/>
          <w:p>
            <w:pPr>
              <w:pStyle w:val="Compact"/>
              <w:jc w:val="left"/>
            </w:pPr>
            <w:r>
              <w:rPr>
                <w:b/>
                <w:bCs/>
              </w:rPr>
              <w:t xml:space="preserve">0.9990</w:t>
            </w:r>
          </w:p>
        </w:tc>
        <w:tc>
          <w:tcPr/>
          <w:p>
            <w:pPr>
              <w:pStyle w:val="Compact"/>
              <w:jc w:val="left"/>
            </w:pPr>
            <w:r>
              <w:rPr>
                <w:b/>
                <w:bCs/>
              </w:rPr>
              <w:t xml:space="preserve">313.1</w:t>
            </w:r>
          </w:p>
        </w:tc>
        <w:tc>
          <w:tcPr/>
          <w:p>
            <w:pPr>
              <w:pStyle w:val="Compact"/>
              <w:jc w:val="left"/>
            </w:pPr>
            <w:r>
              <w:rPr>
                <w:b/>
                <w:bCs/>
              </w:rPr>
              <w:t xml:space="preserve">0.9988</w:t>
            </w:r>
          </w:p>
        </w:tc>
        <w:tc>
          <w:tcPr/>
          <w:p>
            <w:pPr>
              <w:pStyle w:val="Compact"/>
              <w:jc w:val="left"/>
            </w:pPr>
            <w:r>
              <w:rPr>
                <w:b/>
                <w:bCs/>
              </w:rPr>
              <w:t xml:space="preserve">354.7</w:t>
            </w:r>
          </w:p>
        </w:tc>
        <w:tc>
          <w:tcPr/>
          <w:p>
            <w:pPr>
              <w:pStyle w:val="Compact"/>
              <w:jc w:val="left"/>
            </w:pPr>
            <w:r>
              <w:rPr>
                <w:b/>
                <w:bCs/>
              </w:rPr>
              <w:t xml:space="preserve">0.9984</w:t>
            </w:r>
          </w:p>
        </w:tc>
      </w:tr>
      <w:tr>
        <w:tc>
          <w:tcPr/>
          <w:p>
            <w:pPr>
              <w:pStyle w:val="Compact"/>
              <w:jc w:val="left"/>
            </w:pPr>
            <w:r>
              <w:rPr>
                <w:b/>
                <w:bCs/>
              </w:rPr>
              <w:t xml:space="preserve">Std</w:t>
            </w:r>
          </w:p>
        </w:tc>
        <w:tc>
          <w:tcPr/>
          <w:p>
            <w:pPr>
              <w:pStyle w:val="Compact"/>
              <w:jc w:val="left"/>
            </w:pPr>
            <w:r>
              <w:rPr>
                <w:b/>
                <w:bCs/>
              </w:rPr>
              <w:t xml:space="preserve">3.8</w:t>
            </w:r>
          </w:p>
        </w:tc>
        <w:tc>
          <w:tcPr/>
          <w:p>
            <w:pPr>
              <w:pStyle w:val="Compact"/>
              <w:jc w:val="left"/>
            </w:pPr>
            <w:r>
              <w:rPr>
                <w:b/>
                <w:bCs/>
              </w:rPr>
              <w:t xml:space="preserve">2.7</w:t>
            </w:r>
          </w:p>
        </w:tc>
        <w:tc>
          <w:tcPr/>
          <w:p>
            <w:pPr>
              <w:pStyle w:val="Compact"/>
              <w:jc w:val="left"/>
            </w:pPr>
            <w:r>
              <w:rPr>
                <w:b/>
                <w:bCs/>
              </w:rPr>
              <w:t xml:space="preserve">0.0001</w:t>
            </w:r>
          </w:p>
        </w:tc>
        <w:tc>
          <w:tcPr/>
          <w:p>
            <w:pPr>
              <w:pStyle w:val="Compact"/>
              <w:jc w:val="left"/>
            </w:pPr>
            <w:r>
              <w:rPr>
                <w:b/>
                <w:bCs/>
              </w:rPr>
              <w:t xml:space="preserve">8.2</w:t>
            </w:r>
          </w:p>
        </w:tc>
        <w:tc>
          <w:tcPr/>
          <w:p>
            <w:pPr>
              <w:pStyle w:val="Compact"/>
              <w:jc w:val="left"/>
            </w:pPr>
            <w:r>
              <w:rPr>
                <w:b/>
                <w:bCs/>
              </w:rPr>
              <w:t xml:space="preserve">0.0001</w:t>
            </w:r>
          </w:p>
        </w:tc>
        <w:tc>
          <w:tcPr/>
          <w:p>
            <w:pPr>
              <w:pStyle w:val="Compact"/>
              <w:jc w:val="left"/>
            </w:pPr>
            <w:r>
              <w:rPr>
                <w:b/>
                <w:bCs/>
              </w:rPr>
              <w:t xml:space="preserve">11.5</w:t>
            </w:r>
          </w:p>
        </w:tc>
        <w:tc>
          <w:tcPr/>
          <w:p>
            <w:pPr>
              <w:pStyle w:val="Compact"/>
              <w:jc w:val="left"/>
            </w:pPr>
            <w:r>
              <w:rPr>
                <w:b/>
                <w:bCs/>
              </w:rPr>
              <w:t xml:space="preserve">0.0001</w:t>
            </w:r>
          </w:p>
        </w:tc>
      </w:tr>
    </w:tbl>
    <w:bookmarkEnd w:id="98"/>
    <w:bookmarkEnd w:id="99"/>
    <w:bookmarkStart w:id="101" w:name="multi-seed-experiment-results"/>
    <w:p>
      <w:pPr>
        <w:pStyle w:val="Heading2"/>
      </w:pPr>
      <w:r>
        <w:t xml:space="preserve">Multi-Seed Experiment Results</w:t>
      </w:r>
    </w:p>
    <w:bookmarkStart w:id="100" w:name="tab:e2"/>
    <w:p>
      <w:pPr>
        <w:pStyle w:val="TableCaption"/>
      </w:pPr>
      <w:r>
        <w:t xml:space="preserve">Multi-Seed Results (5 seeds, Load Forecasting, Germany)</w:t>
      </w:r>
    </w:p>
    <w:tbl>
      <w:tblPr>
        <w:tblStyle w:val="Table"/>
        <w:tblW w:type="auto" w:w="0"/>
        <w:tblLook w:firstRow="1" w:lastRow="0" w:firstColumn="0" w:lastColumn="0" w:noHBand="0" w:noVBand="0" w:val="0020"/>
        <w:tblCaption w:val="Multi-Seed Results (5 seeds, Load Forecasting, Germany)"/>
      </w:tblPr>
      <w:tblGrid>
        <w:gridCol w:w="1131"/>
        <w:gridCol w:w="1131"/>
        <w:gridCol w:w="1131"/>
        <w:gridCol w:w="1131"/>
        <w:gridCol w:w="1131"/>
        <w:gridCol w:w="1131"/>
        <w:gridCol w:w="1131"/>
      </w:tblGrid>
      <w:tr>
        <w:trPr>
          <w:tblHeader w:val="on"/>
        </w:trPr>
        <w:tc>
          <w:tcPr/>
          <w:p>
            <w:pPr>
              <w:pStyle w:val="Compact"/>
              <w:jc w:val="left"/>
            </w:pPr>
            <w:r>
              <w:t xml:space="preserve">Seed</w:t>
            </w:r>
          </w:p>
        </w:tc>
        <w:tc>
          <w:tcPr/>
          <w:p>
            <w:pPr>
              <w:pStyle w:val="Compact"/>
              <w:jc w:val="left"/>
            </w:pPr>
            <w:r>
              <w:t xml:space="preserve">GBM RMSE</w:t>
            </w:r>
          </w:p>
        </w:tc>
        <w:tc>
          <w:tcPr/>
          <w:p>
            <w:pPr>
              <w:pStyle w:val="Compact"/>
              <w:jc w:val="left"/>
            </w:pPr>
            <w:r>
              <w:t xml:space="preserve">LSTM RMSE</w:t>
            </w:r>
          </w:p>
        </w:tc>
        <w:tc>
          <w:tcPr/>
          <w:p>
            <w:pPr>
              <w:pStyle w:val="Compact"/>
              <w:jc w:val="left"/>
            </w:pPr>
            <w:r>
              <w:t xml:space="preserve">TCN RMSE</w:t>
            </w:r>
          </w:p>
        </w:tc>
        <w:tc>
          <w:tcPr/>
          <w:p>
            <w:pPr>
              <w:pStyle w:val="Compact"/>
              <w:jc w:val="left"/>
            </w:pPr>
            <w:r>
              <w:t xml:space="preserve">GBM R</w:t>
            </w:r>
            <m:oMath>
              <m:sSup>
                <m:e>
                  <m:r>
                    <m:t>​</m:t>
                  </m:r>
                </m:e>
                <m:sup>
                  <m:r>
                    <m:t>2</m:t>
                  </m:r>
                </m:sup>
              </m:sSup>
            </m:oMath>
          </w:p>
        </w:tc>
        <w:tc>
          <w:tcPr/>
          <w:p>
            <w:pPr>
              <w:pStyle w:val="Compact"/>
              <w:jc w:val="left"/>
            </w:pPr>
            <w:r>
              <w:t xml:space="preserve">LSTM R</w:t>
            </w:r>
            <m:oMath>
              <m:sSup>
                <m:e>
                  <m:r>
                    <m:t>​</m:t>
                  </m:r>
                </m:e>
                <m:sup>
                  <m:r>
                    <m:t>2</m:t>
                  </m:r>
                </m:sup>
              </m:sSup>
            </m:oMath>
          </w:p>
        </w:tc>
        <w:tc>
          <w:tcPr/>
          <w:p>
            <w:pPr>
              <w:pStyle w:val="Compact"/>
              <w:jc w:val="left"/>
            </w:pPr>
            <w:r>
              <w:t xml:space="preserve">TCN R</w:t>
            </w:r>
            <m:oMath>
              <m:sSup>
                <m:e>
                  <m:r>
                    <m:t>​</m:t>
                  </m:r>
                </m:e>
                <m:sup>
                  <m:r>
                    <m:t>2</m:t>
                  </m:r>
                </m:sup>
              </m:sSup>
            </m:oMath>
          </w:p>
        </w:tc>
      </w:tr>
      <w:tr>
        <w:tc>
          <w:tcPr/>
          <w:p>
            <w:pPr>
              <w:pStyle w:val="Compact"/>
              <w:jc w:val="left"/>
            </w:pPr>
            <w:r>
              <w:t xml:space="preserve">42</w:t>
            </w:r>
          </w:p>
        </w:tc>
        <w:tc>
          <w:tcPr/>
          <w:p>
            <w:pPr>
              <w:pStyle w:val="Compact"/>
              <w:jc w:val="left"/>
            </w:pPr>
            <w:r>
              <w:t xml:space="preserve">271.2</w:t>
            </w:r>
          </w:p>
        </w:tc>
        <w:tc>
          <w:tcPr/>
          <w:p>
            <w:pPr>
              <w:pStyle w:val="Compact"/>
              <w:jc w:val="left"/>
            </w:pPr>
            <w:r>
              <w:t xml:space="preserve">312.5</w:t>
            </w:r>
          </w:p>
        </w:tc>
        <w:tc>
          <w:tcPr/>
          <w:p>
            <w:pPr>
              <w:pStyle w:val="Compact"/>
              <w:jc w:val="left"/>
            </w:pPr>
            <w:r>
              <w:t xml:space="preserve">356.2</w:t>
            </w:r>
          </w:p>
        </w:tc>
        <w:tc>
          <w:tcPr/>
          <w:p>
            <w:pPr>
              <w:pStyle w:val="Compact"/>
              <w:jc w:val="left"/>
            </w:pPr>
            <w:r>
              <w:t xml:space="preserve">0.9991</w:t>
            </w:r>
          </w:p>
        </w:tc>
        <w:tc>
          <w:tcPr/>
          <w:p>
            <w:pPr>
              <w:pStyle w:val="Compact"/>
              <w:jc w:val="left"/>
            </w:pPr>
            <w:r>
              <w:t xml:space="preserve">0.9988</w:t>
            </w:r>
          </w:p>
        </w:tc>
        <w:tc>
          <w:tcPr/>
          <w:p>
            <w:pPr>
              <w:pStyle w:val="Compact"/>
              <w:jc w:val="left"/>
            </w:pPr>
            <w:r>
              <w:t xml:space="preserve">0.9984</w:t>
            </w:r>
          </w:p>
        </w:tc>
      </w:tr>
      <w:tr>
        <w:tc>
          <w:tcPr/>
          <w:p>
            <w:pPr>
              <w:pStyle w:val="Compact"/>
              <w:jc w:val="left"/>
            </w:pPr>
            <w:r>
              <w:t xml:space="preserve">123</w:t>
            </w:r>
          </w:p>
        </w:tc>
        <w:tc>
          <w:tcPr/>
          <w:p>
            <w:pPr>
              <w:pStyle w:val="Compact"/>
              <w:jc w:val="left"/>
            </w:pPr>
            <w:r>
              <w:t xml:space="preserve">272.8</w:t>
            </w:r>
          </w:p>
        </w:tc>
        <w:tc>
          <w:tcPr/>
          <w:p>
            <w:pPr>
              <w:pStyle w:val="Compact"/>
              <w:jc w:val="left"/>
            </w:pPr>
            <w:r>
              <w:t xml:space="preserve">318.4</w:t>
            </w:r>
          </w:p>
        </w:tc>
        <w:tc>
          <w:tcPr/>
          <w:p>
            <w:pPr>
              <w:pStyle w:val="Compact"/>
              <w:jc w:val="left"/>
            </w:pPr>
            <w:r>
              <w:t xml:space="preserve">362.1</w:t>
            </w:r>
          </w:p>
        </w:tc>
        <w:tc>
          <w:tcPr/>
          <w:p>
            <w:pPr>
              <w:pStyle w:val="Compact"/>
              <w:jc w:val="left"/>
            </w:pPr>
            <w:r>
              <w:t xml:space="preserve">0.9990</w:t>
            </w:r>
          </w:p>
        </w:tc>
        <w:tc>
          <w:tcPr/>
          <w:p>
            <w:pPr>
              <w:pStyle w:val="Compact"/>
              <w:jc w:val="left"/>
            </w:pPr>
            <w:r>
              <w:t xml:space="preserve">0.9987</w:t>
            </w:r>
          </w:p>
        </w:tc>
        <w:tc>
          <w:tcPr/>
          <w:p>
            <w:pPr>
              <w:pStyle w:val="Compact"/>
              <w:jc w:val="left"/>
            </w:pPr>
            <w:r>
              <w:t xml:space="preserve">0.9983</w:t>
            </w:r>
          </w:p>
        </w:tc>
      </w:tr>
      <w:tr>
        <w:tc>
          <w:tcPr/>
          <w:p>
            <w:pPr>
              <w:pStyle w:val="Compact"/>
              <w:jc w:val="left"/>
            </w:pPr>
            <w:r>
              <w:t xml:space="preserve">456</w:t>
            </w:r>
          </w:p>
        </w:tc>
        <w:tc>
          <w:tcPr/>
          <w:p>
            <w:pPr>
              <w:pStyle w:val="Compact"/>
              <w:jc w:val="left"/>
            </w:pPr>
            <w:r>
              <w:t xml:space="preserve">270.5</w:t>
            </w:r>
          </w:p>
        </w:tc>
        <w:tc>
          <w:tcPr/>
          <w:p>
            <w:pPr>
              <w:pStyle w:val="Compact"/>
              <w:jc w:val="left"/>
            </w:pPr>
            <w:r>
              <w:t xml:space="preserve">308.6</w:t>
            </w:r>
          </w:p>
        </w:tc>
        <w:tc>
          <w:tcPr/>
          <w:p>
            <w:pPr>
              <w:pStyle w:val="Compact"/>
              <w:jc w:val="left"/>
            </w:pPr>
            <w:r>
              <w:t xml:space="preserve">351.8</w:t>
            </w:r>
          </w:p>
        </w:tc>
        <w:tc>
          <w:tcPr/>
          <w:p>
            <w:pPr>
              <w:pStyle w:val="Compact"/>
              <w:jc w:val="left"/>
            </w:pPr>
            <w:r>
              <w:t xml:space="preserve">0.9991</w:t>
            </w:r>
          </w:p>
        </w:tc>
        <w:tc>
          <w:tcPr/>
          <w:p>
            <w:pPr>
              <w:pStyle w:val="Compact"/>
              <w:jc w:val="left"/>
            </w:pPr>
            <w:r>
              <w:t xml:space="preserve">0.9988</w:t>
            </w:r>
          </w:p>
        </w:tc>
        <w:tc>
          <w:tcPr/>
          <w:p>
            <w:pPr>
              <w:pStyle w:val="Compact"/>
              <w:jc w:val="left"/>
            </w:pPr>
            <w:r>
              <w:t xml:space="preserve">0.9985</w:t>
            </w:r>
          </w:p>
        </w:tc>
      </w:tr>
      <w:tr>
        <w:tc>
          <w:tcPr/>
          <w:p>
            <w:pPr>
              <w:pStyle w:val="Compact"/>
              <w:jc w:val="left"/>
            </w:pPr>
            <w:r>
              <w:t xml:space="preserve">789</w:t>
            </w:r>
          </w:p>
        </w:tc>
        <w:tc>
          <w:tcPr/>
          <w:p>
            <w:pPr>
              <w:pStyle w:val="Compact"/>
              <w:jc w:val="left"/>
            </w:pPr>
            <w:r>
              <w:t xml:space="preserve">273.1</w:t>
            </w:r>
          </w:p>
        </w:tc>
        <w:tc>
          <w:tcPr/>
          <w:p>
            <w:pPr>
              <w:pStyle w:val="Compact"/>
              <w:jc w:val="left"/>
            </w:pPr>
            <w:r>
              <w:t xml:space="preserve">315.2</w:t>
            </w:r>
          </w:p>
        </w:tc>
        <w:tc>
          <w:tcPr/>
          <w:p>
            <w:pPr>
              <w:pStyle w:val="Compact"/>
              <w:jc w:val="left"/>
            </w:pPr>
            <w:r>
              <w:t xml:space="preserve">359.4</w:t>
            </w:r>
          </w:p>
        </w:tc>
        <w:tc>
          <w:tcPr/>
          <w:p>
            <w:pPr>
              <w:pStyle w:val="Compact"/>
              <w:jc w:val="left"/>
            </w:pPr>
            <w:r>
              <w:t xml:space="preserve">0.9990</w:t>
            </w:r>
          </w:p>
        </w:tc>
        <w:tc>
          <w:tcPr/>
          <w:p>
            <w:pPr>
              <w:pStyle w:val="Compact"/>
              <w:jc w:val="left"/>
            </w:pPr>
            <w:r>
              <w:t xml:space="preserve">0.9988</w:t>
            </w:r>
          </w:p>
        </w:tc>
        <w:tc>
          <w:tcPr/>
          <w:p>
            <w:pPr>
              <w:pStyle w:val="Compact"/>
              <w:jc w:val="left"/>
            </w:pPr>
            <w:r>
              <w:t xml:space="preserve">0.9984</w:t>
            </w:r>
          </w:p>
        </w:tc>
      </w:tr>
      <w:tr>
        <w:tc>
          <w:tcPr/>
          <w:p>
            <w:pPr>
              <w:pStyle w:val="Compact"/>
              <w:jc w:val="left"/>
            </w:pPr>
            <w:r>
              <w:t xml:space="preserve">1000</w:t>
            </w:r>
          </w:p>
        </w:tc>
        <w:tc>
          <w:tcPr/>
          <w:p>
            <w:pPr>
              <w:pStyle w:val="Compact"/>
              <w:jc w:val="left"/>
            </w:pPr>
            <w:r>
              <w:t xml:space="preserve">271.9</w:t>
            </w:r>
          </w:p>
        </w:tc>
        <w:tc>
          <w:tcPr/>
          <w:p>
            <w:pPr>
              <w:pStyle w:val="Compact"/>
              <w:jc w:val="left"/>
            </w:pPr>
            <w:r>
              <w:t xml:space="preserve">310.8</w:t>
            </w:r>
          </w:p>
        </w:tc>
        <w:tc>
          <w:tcPr/>
          <w:p>
            <w:pPr>
              <w:pStyle w:val="Compact"/>
              <w:jc w:val="left"/>
            </w:pPr>
            <w:r>
              <w:t xml:space="preserve">354.6</w:t>
            </w:r>
          </w:p>
        </w:tc>
        <w:tc>
          <w:tcPr/>
          <w:p>
            <w:pPr>
              <w:pStyle w:val="Compact"/>
              <w:jc w:val="left"/>
            </w:pPr>
            <w:r>
              <w:t xml:space="preserve">0.9990</w:t>
            </w:r>
          </w:p>
        </w:tc>
        <w:tc>
          <w:tcPr/>
          <w:p>
            <w:pPr>
              <w:pStyle w:val="Compact"/>
              <w:jc w:val="left"/>
            </w:pPr>
            <w:r>
              <w:t xml:space="preserve">0.9988</w:t>
            </w:r>
          </w:p>
        </w:tc>
        <w:tc>
          <w:tcPr/>
          <w:p>
            <w:pPr>
              <w:pStyle w:val="Compact"/>
              <w:jc w:val="left"/>
            </w:pPr>
            <w:r>
              <w:t xml:space="preserve">0.9984</w:t>
            </w:r>
          </w:p>
        </w:tc>
      </w:tr>
      <w:tr>
        <w:tc>
          <w:tcPr/>
          <w:p>
            <w:pPr>
              <w:pStyle w:val="Compact"/>
              <w:jc w:val="left"/>
            </w:pPr>
            <w:r>
              <w:rPr>
                <w:b/>
                <w:bCs/>
              </w:rPr>
              <w:t xml:space="preserve">Mean</w:t>
            </w:r>
          </w:p>
        </w:tc>
        <w:tc>
          <w:tcPr/>
          <w:p>
            <w:pPr>
              <w:pStyle w:val="Compact"/>
              <w:jc w:val="left"/>
            </w:pPr>
            <w:r>
              <w:rPr>
                <w:b/>
                <w:bCs/>
              </w:rPr>
              <w:t xml:space="preserve">271.9</w:t>
            </w:r>
          </w:p>
        </w:tc>
        <w:tc>
          <w:tcPr/>
          <w:p>
            <w:pPr>
              <w:pStyle w:val="Compact"/>
              <w:jc w:val="left"/>
            </w:pPr>
            <w:r>
              <w:rPr>
                <w:b/>
                <w:bCs/>
              </w:rPr>
              <w:t xml:space="preserve">313.1</w:t>
            </w:r>
          </w:p>
        </w:tc>
        <w:tc>
          <w:tcPr/>
          <w:p>
            <w:pPr>
              <w:pStyle w:val="Compact"/>
              <w:jc w:val="left"/>
            </w:pPr>
            <w:r>
              <w:rPr>
                <w:b/>
                <w:bCs/>
              </w:rPr>
              <w:t xml:space="preserve">356.8</w:t>
            </w:r>
          </w:p>
        </w:tc>
        <w:tc>
          <w:tcPr/>
          <w:p>
            <w:pPr>
              <w:pStyle w:val="Compact"/>
              <w:jc w:val="left"/>
            </w:pPr>
            <w:r>
              <w:rPr>
                <w:b/>
                <w:bCs/>
              </w:rPr>
              <w:t xml:space="preserve">0.9990</w:t>
            </w:r>
          </w:p>
        </w:tc>
        <w:tc>
          <w:tcPr/>
          <w:p>
            <w:pPr>
              <w:pStyle w:val="Compact"/>
              <w:jc w:val="left"/>
            </w:pPr>
            <w:r>
              <w:rPr>
                <w:b/>
                <w:bCs/>
              </w:rPr>
              <w:t xml:space="preserve">0.9988</w:t>
            </w:r>
          </w:p>
        </w:tc>
        <w:tc>
          <w:tcPr/>
          <w:p>
            <w:pPr>
              <w:pStyle w:val="Compact"/>
              <w:jc w:val="left"/>
            </w:pPr>
            <w:r>
              <w:rPr>
                <w:b/>
                <w:bCs/>
              </w:rPr>
              <w:t xml:space="preserve">0.9984</w:t>
            </w:r>
          </w:p>
        </w:tc>
      </w:tr>
      <w:tr>
        <w:tc>
          <w:tcPr/>
          <w:p>
            <w:pPr>
              <w:pStyle w:val="Compact"/>
              <w:jc w:val="left"/>
            </w:pPr>
            <w:r>
              <w:rPr>
                <w:b/>
                <w:bCs/>
              </w:rPr>
              <w:t xml:space="preserve">Std</w:t>
            </w:r>
          </w:p>
        </w:tc>
        <w:tc>
          <w:tcPr/>
          <w:p>
            <w:pPr>
              <w:pStyle w:val="Compact"/>
              <w:jc w:val="left"/>
            </w:pPr>
            <w:r>
              <w:rPr>
                <w:b/>
                <w:bCs/>
              </w:rPr>
              <w:t xml:space="preserve">1.0</w:t>
            </w:r>
          </w:p>
        </w:tc>
        <w:tc>
          <w:tcPr/>
          <w:p>
            <w:pPr>
              <w:pStyle w:val="Compact"/>
              <w:jc w:val="left"/>
            </w:pPr>
            <w:r>
              <w:rPr>
                <w:b/>
                <w:bCs/>
              </w:rPr>
              <w:t xml:space="preserve">3.8</w:t>
            </w:r>
          </w:p>
        </w:tc>
        <w:tc>
          <w:tcPr/>
          <w:p>
            <w:pPr>
              <w:pStyle w:val="Compact"/>
              <w:jc w:val="left"/>
            </w:pPr>
            <w:r>
              <w:rPr>
                <w:b/>
                <w:bCs/>
              </w:rPr>
              <w:t xml:space="preserve">4.1</w:t>
            </w:r>
          </w:p>
        </w:tc>
        <w:tc>
          <w:tcPr/>
          <w:p>
            <w:pPr>
              <w:pStyle w:val="Compact"/>
              <w:jc w:val="left"/>
            </w:pPr>
            <w:r>
              <w:rPr>
                <w:b/>
                <w:bCs/>
              </w:rPr>
              <w:t xml:space="preserve">0.0001</w:t>
            </w:r>
          </w:p>
        </w:tc>
        <w:tc>
          <w:tcPr/>
          <w:p>
            <w:pPr>
              <w:pStyle w:val="Compact"/>
              <w:jc w:val="left"/>
            </w:pPr>
            <w:r>
              <w:rPr>
                <w:b/>
                <w:bCs/>
              </w:rPr>
              <w:t xml:space="preserve">0.0001</w:t>
            </w:r>
          </w:p>
        </w:tc>
        <w:tc>
          <w:tcPr/>
          <w:p>
            <w:pPr>
              <w:pStyle w:val="Compact"/>
              <w:jc w:val="left"/>
            </w:pPr>
            <w:r>
              <w:rPr>
                <w:b/>
                <w:bCs/>
              </w:rPr>
              <w:t xml:space="preserve">0.0001</w:t>
            </w:r>
          </w:p>
        </w:tc>
      </w:tr>
      <w:tr>
        <w:tc>
          <w:tcPr/>
          <w:p>
            <w:pPr>
              <w:pStyle w:val="Compact"/>
              <w:jc w:val="left"/>
            </w:pPr>
            <w:r>
              <w:rPr>
                <w:b/>
                <w:bCs/>
              </w:rPr>
              <w:t xml:space="preserve">95% CI</w:t>
            </w:r>
          </w:p>
        </w:tc>
        <w:tc>
          <w:tcPr/>
          <w:p>
            <w:pPr>
              <w:pStyle w:val="Compact"/>
              <w:jc w:val="left"/>
            </w:pPr>
            <w:r>
              <w:rPr>
                <w:b/>
                <w:bCs/>
              </w:rPr>
              <w:t xml:space="preserve">[270.0, 273.8]</w:t>
            </w:r>
          </w:p>
        </w:tc>
        <w:tc>
          <w:tcPr/>
          <w:p>
            <w:pPr>
              <w:pStyle w:val="Compact"/>
              <w:jc w:val="left"/>
            </w:pPr>
            <w:r>
              <w:rPr>
                <w:b/>
                <w:bCs/>
              </w:rPr>
              <w:t xml:space="preserve">[305.6, 320.6]</w:t>
            </w:r>
          </w:p>
        </w:tc>
        <w:tc>
          <w:tcPr/>
          <w:p>
            <w:pPr>
              <w:pStyle w:val="Compact"/>
              <w:jc w:val="left"/>
            </w:pPr>
            <w:r>
              <w:rPr>
                <w:b/>
                <w:bCs/>
              </w:rPr>
              <w:t xml:space="preserve">[348.8, 364.8]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bookmarkEnd w:id="100"/>
    <w:bookmarkEnd w:id="101"/>
    <w:bookmarkEnd w:id="102"/>
    <w:bookmarkStart w:id="109" w:name="statistical-significance-testing"/>
    <w:p>
      <w:pPr>
        <w:pStyle w:val="Heading1"/>
      </w:pPr>
      <w:r>
        <w:t xml:space="preserve">Statistical Significance Testing</w:t>
      </w:r>
    </w:p>
    <w:bookmarkStart w:id="104" w:name="diebold-mariano-test-results"/>
    <w:p>
      <w:pPr>
        <w:pStyle w:val="Heading2"/>
      </w:pPr>
      <w:r>
        <w:t xml:space="preserve">Diebold-Mariano Test Results</w:t>
      </w:r>
    </w:p>
    <w:bookmarkStart w:id="103" w:name="tab:f1"/>
    <w:p>
      <w:pPr>
        <w:pStyle w:val="TableCaption"/>
      </w:pPr>
      <w:r>
        <w:t xml:space="preserve">Diebold-Mariano Forecast Comparison Tests</w:t>
      </w:r>
    </w:p>
    <w:tbl>
      <w:tblPr>
        <w:tblStyle w:val="Table"/>
        <w:tblW w:type="auto" w:w="0"/>
        <w:tblLook w:firstRow="1" w:lastRow="0" w:firstColumn="0" w:lastColumn="0" w:noHBand="0" w:noVBand="0" w:val="0020"/>
        <w:tblCaption w:val="Diebold-Mariano Forecast Comparison Tests"/>
      </w:tblPr>
      <w:tblGrid>
        <w:gridCol w:w="1980"/>
        <w:gridCol w:w="1980"/>
        <w:gridCol w:w="1980"/>
        <w:gridCol w:w="1980"/>
      </w:tblGrid>
      <w:tr>
        <w:trPr>
          <w:tblHeader w:val="on"/>
        </w:trPr>
        <w:tc>
          <w:tcPr/>
          <w:p>
            <w:pPr>
              <w:pStyle w:val="Compact"/>
              <w:jc w:val="left"/>
            </w:pPr>
            <w:r>
              <w:t xml:space="preserve">Model Comparison</w:t>
            </w:r>
          </w:p>
        </w:tc>
        <w:tc>
          <w:tcPr/>
          <w:p>
            <w:pPr>
              <w:pStyle w:val="Compact"/>
              <w:jc w:val="left"/>
            </w:pPr>
            <w:r>
              <w:t xml:space="preserve">DM Statistic</w:t>
            </w:r>
          </w:p>
        </w:tc>
        <w:tc>
          <w:tcPr/>
          <w:p>
            <w:pPr>
              <w:pStyle w:val="Compact"/>
              <w:jc w:val="left"/>
            </w:pPr>
            <w:r>
              <w:t xml:space="preserve">p-value</w:t>
            </w:r>
          </w:p>
        </w:tc>
        <w:tc>
          <w:tcPr/>
          <w:p>
            <w:pPr>
              <w:pStyle w:val="Compact"/>
              <w:jc w:val="left"/>
            </w:pPr>
            <w:r>
              <w:t xml:space="preserve">Significant (</w:t>
            </w:r>
            <m:oMath>
              <m:r>
                <m:t>α</m:t>
              </m:r>
            </m:oMath>
            <w:r>
              <w:t xml:space="preserve">=0.05)</w:t>
            </w:r>
          </w:p>
        </w:tc>
      </w:tr>
      <w:tr>
        <w:tc>
          <w:tcPr/>
          <w:p>
            <w:pPr>
              <w:pStyle w:val="Compact"/>
              <w:jc w:val="left"/>
            </w:pPr>
            <w:r>
              <w:t xml:space="preserve">GBM vs Persistence</w:t>
            </w:r>
          </w:p>
        </w:tc>
        <w:tc>
          <w:tcPr/>
          <w:p>
            <w:pPr>
              <w:pStyle w:val="Compact"/>
              <w:jc w:val="left"/>
            </w:pPr>
            <w:r>
              <w:t xml:space="preserve">45.67</w:t>
            </w:r>
          </w:p>
        </w:tc>
        <w:tc>
          <w:tcPr/>
          <w:p>
            <w:pPr>
              <w:pStyle w:val="Compact"/>
              <w:jc w:val="left"/>
            </w:pPr>
            <w:r>
              <w:t xml:space="preserve">&lt;0.0001</w:t>
            </w:r>
          </w:p>
        </w:tc>
        <w:tc>
          <w:tcPr/>
          <w:p>
            <w:pPr>
              <w:pStyle w:val="Compact"/>
              <w:jc w:val="left"/>
            </w:pPr>
            <w:r>
              <w:t xml:space="preserve">***</w:t>
            </w:r>
          </w:p>
        </w:tc>
      </w:tr>
      <w:tr>
        <w:tc>
          <w:tcPr/>
          <w:p>
            <w:pPr>
              <w:pStyle w:val="Compact"/>
              <w:jc w:val="left"/>
            </w:pPr>
            <w:r>
              <w:t xml:space="preserve">GBM vs LSTM</w:t>
            </w:r>
          </w:p>
        </w:tc>
        <w:tc>
          <w:tcPr/>
          <w:p>
            <w:pPr>
              <w:pStyle w:val="Compact"/>
              <w:jc w:val="left"/>
            </w:pPr>
            <w:r>
              <w:t xml:space="preserve">8.23</w:t>
            </w:r>
          </w:p>
        </w:tc>
        <w:tc>
          <w:tcPr/>
          <w:p>
            <w:pPr>
              <w:pStyle w:val="Compact"/>
              <w:jc w:val="left"/>
            </w:pPr>
            <w:r>
              <w:t xml:space="preserve">&lt;0.0001</w:t>
            </w:r>
          </w:p>
        </w:tc>
        <w:tc>
          <w:tcPr/>
          <w:p>
            <w:pPr>
              <w:pStyle w:val="Compact"/>
              <w:jc w:val="left"/>
            </w:pPr>
            <w:r>
              <w:t xml:space="preserve">***</w:t>
            </w:r>
          </w:p>
        </w:tc>
      </w:tr>
      <w:tr>
        <w:tc>
          <w:tcPr/>
          <w:p>
            <w:pPr>
              <w:pStyle w:val="Compact"/>
              <w:jc w:val="left"/>
            </w:pPr>
            <w:r>
              <w:t xml:space="preserve">GBM vs TCN</w:t>
            </w:r>
          </w:p>
        </w:tc>
        <w:tc>
          <w:tcPr/>
          <w:p>
            <w:pPr>
              <w:pStyle w:val="Compact"/>
              <w:jc w:val="left"/>
            </w:pPr>
            <w:r>
              <w:t xml:space="preserve">12.45</w:t>
            </w:r>
          </w:p>
        </w:tc>
        <w:tc>
          <w:tcPr/>
          <w:p>
            <w:pPr>
              <w:pStyle w:val="Compact"/>
              <w:jc w:val="left"/>
            </w:pPr>
            <w:r>
              <w:t xml:space="preserve">&lt;0.0001</w:t>
            </w:r>
          </w:p>
        </w:tc>
        <w:tc>
          <w:tcPr/>
          <w:p>
            <w:pPr>
              <w:pStyle w:val="Compact"/>
              <w:jc w:val="left"/>
            </w:pPr>
            <w:r>
              <w:t xml:space="preserve">***</w:t>
            </w:r>
          </w:p>
        </w:tc>
      </w:tr>
      <w:tr>
        <w:tc>
          <w:tcPr/>
          <w:p>
            <w:pPr>
              <w:pStyle w:val="Compact"/>
              <w:jc w:val="left"/>
            </w:pPr>
            <w:r>
              <w:t xml:space="preserve">LSTM vs Persistence</w:t>
            </w:r>
          </w:p>
        </w:tc>
        <w:tc>
          <w:tcPr/>
          <w:p>
            <w:pPr>
              <w:pStyle w:val="Compact"/>
              <w:jc w:val="left"/>
            </w:pPr>
            <w:r>
              <w:t xml:space="preserve">38.12</w:t>
            </w:r>
          </w:p>
        </w:tc>
        <w:tc>
          <w:tcPr/>
          <w:p>
            <w:pPr>
              <w:pStyle w:val="Compact"/>
              <w:jc w:val="left"/>
            </w:pPr>
            <w:r>
              <w:t xml:space="preserve">&lt;0.0001</w:t>
            </w:r>
          </w:p>
        </w:tc>
        <w:tc>
          <w:tcPr/>
          <w:p>
            <w:pPr>
              <w:pStyle w:val="Compact"/>
              <w:jc w:val="left"/>
            </w:pPr>
            <w:r>
              <w:t xml:space="preserve">***</w:t>
            </w:r>
          </w:p>
        </w:tc>
      </w:tr>
      <w:tr>
        <w:tc>
          <w:tcPr/>
          <w:p>
            <w:pPr>
              <w:pStyle w:val="Compact"/>
              <w:jc w:val="left"/>
            </w:pPr>
            <w:r>
              <w:t xml:space="preserve">TCN vs Persistence</w:t>
            </w:r>
          </w:p>
        </w:tc>
        <w:tc>
          <w:tcPr/>
          <w:p>
            <w:pPr>
              <w:pStyle w:val="Compact"/>
              <w:jc w:val="left"/>
            </w:pPr>
            <w:r>
              <w:t xml:space="preserve">35.78</w:t>
            </w:r>
          </w:p>
        </w:tc>
        <w:tc>
          <w:tcPr/>
          <w:p>
            <w:pPr>
              <w:pStyle w:val="Compact"/>
              <w:jc w:val="left"/>
            </w:pPr>
            <w:r>
              <w:t xml:space="preserve">&lt;0.0001</w:t>
            </w:r>
          </w:p>
        </w:tc>
        <w:tc>
          <w:tcPr/>
          <w:p>
            <w:pPr>
              <w:pStyle w:val="Compact"/>
              <w:jc w:val="left"/>
            </w:pPr>
            <w:r>
              <w:t xml:space="preserve">***</w:t>
            </w:r>
          </w:p>
        </w:tc>
      </w:tr>
      <w:tr>
        <w:tc>
          <w:tcPr/>
          <w:p>
            <w:pPr>
              <w:pStyle w:val="Compact"/>
              <w:jc w:val="left"/>
            </w:pPr>
            <w:r>
              <w:t xml:space="preserve">LSTM vs TCN</w:t>
            </w:r>
          </w:p>
        </w:tc>
        <w:tc>
          <w:tcPr/>
          <w:p>
            <w:pPr>
              <w:pStyle w:val="Compact"/>
              <w:jc w:val="left"/>
            </w:pPr>
            <w:r>
              <w:t xml:space="preserve">3.42</w:t>
            </w:r>
          </w:p>
        </w:tc>
        <w:tc>
          <w:tcPr/>
          <w:p>
            <w:pPr>
              <w:pStyle w:val="Compact"/>
              <w:jc w:val="left"/>
            </w:pPr>
            <w:r>
              <w:t xml:space="preserve">0.0006</w:t>
            </w:r>
          </w:p>
        </w:tc>
        <w:tc>
          <w:tcPr/>
          <w:p>
            <w:pPr>
              <w:pStyle w:val="Compact"/>
              <w:jc w:val="left"/>
            </w:pPr>
            <w:r>
              <w:t xml:space="preserve">***</w:t>
            </w:r>
          </w:p>
        </w:tc>
      </w:tr>
    </w:tbl>
    <w:bookmarkEnd w:id="103"/>
    <w:bookmarkEnd w:id="104"/>
    <w:bookmarkStart w:id="106" w:name="paired-t-test-for-cost-savings"/>
    <w:p>
      <w:pPr>
        <w:pStyle w:val="Heading2"/>
      </w:pPr>
      <w:r>
        <w:t xml:space="preserve">Paired t-Test for Cost Savings</w:t>
      </w:r>
    </w:p>
    <w:bookmarkStart w:id="105" w:name="tab:f2"/>
    <w:p>
      <w:pPr>
        <w:pStyle w:val="TableCaption"/>
      </w:pPr>
      <w:r>
        <w:t xml:space="preserve">Paired t-Test Results for Weekly Cost Savings</w:t>
      </w:r>
    </w:p>
    <w:tbl>
      <w:tblPr>
        <w:tblStyle w:val="Table"/>
        <w:tblW w:type="auto" w:w="0"/>
        <w:tblLook w:firstRow="1" w:lastRow="0" w:firstColumn="0" w:lastColumn="0" w:noHBand="0" w:noVBand="0" w:val="0020"/>
        <w:tblCaption w:val="Paired t-Test Results for Weekly Cost Savings"/>
      </w:tblPr>
      <w:tblGrid>
        <w:gridCol w:w="1584"/>
        <w:gridCol w:w="1584"/>
        <w:gridCol w:w="1584"/>
        <w:gridCol w:w="1584"/>
        <w:gridCol w:w="1584"/>
      </w:tblGrid>
      <w:tr>
        <w:trPr>
          <w:tblHeader w:val="on"/>
        </w:trPr>
        <w:tc>
          <w:tcPr/>
          <w:p>
            <w:pPr>
              <w:pStyle w:val="Compact"/>
              <w:jc w:val="left"/>
            </w:pPr>
            <w:r>
              <w:t xml:space="preserve">Comparison</w:t>
            </w:r>
          </w:p>
        </w:tc>
        <w:tc>
          <w:tcPr/>
          <w:p>
            <w:pPr>
              <w:pStyle w:val="Compact"/>
              <w:jc w:val="left"/>
            </w:pPr>
            <w:r>
              <w:t xml:space="preserve">Mean Diff ($M)</w:t>
            </w:r>
          </w:p>
        </w:tc>
        <w:tc>
          <w:tcPr/>
          <w:p>
            <w:pPr>
              <w:pStyle w:val="Compact"/>
              <w:jc w:val="left"/>
            </w:pPr>
            <w:r>
              <w:t xml:space="preserve">Std Err</w:t>
            </w:r>
          </w:p>
        </w:tc>
        <w:tc>
          <w:tcPr/>
          <w:p>
            <w:pPr>
              <w:pStyle w:val="Compact"/>
              <w:jc w:val="left"/>
            </w:pPr>
            <w:r>
              <w:t xml:space="preserve">t-statistic</w:t>
            </w:r>
          </w:p>
        </w:tc>
        <w:tc>
          <w:tcPr/>
          <w:p>
            <w:pPr>
              <w:pStyle w:val="Compact"/>
              <w:jc w:val="left"/>
            </w:pPr>
            <w:r>
              <w:t xml:space="preserve">p-value</w:t>
            </w:r>
          </w:p>
        </w:tc>
      </w:tr>
      <w:tr>
        <w:tc>
          <w:tcPr/>
          <w:p>
            <w:pPr>
              <w:pStyle w:val="Compact"/>
              <w:jc w:val="left"/>
            </w:pPr>
            <w:r>
              <w:t xml:space="preserve">GridPulse vs Market</w:t>
            </w:r>
          </w:p>
        </w:tc>
        <w:tc>
          <w:tcPr/>
          <w:p>
            <w:pPr>
              <w:pStyle w:val="Compact"/>
              <w:jc w:val="left"/>
            </w:pPr>
            <w:r>
              <w:t xml:space="preserve">-4.47</w:t>
            </w:r>
          </w:p>
        </w:tc>
        <w:tc>
          <w:tcPr/>
          <w:p>
            <w:pPr>
              <w:pStyle w:val="Compact"/>
              <w:jc w:val="left"/>
            </w:pPr>
            <w:r>
              <w:t xml:space="preserve">0.23</w:t>
            </w:r>
          </w:p>
        </w:tc>
        <w:tc>
          <w:tcPr/>
          <w:p>
            <w:pPr>
              <w:pStyle w:val="Compact"/>
              <w:jc w:val="left"/>
            </w:pPr>
            <w:r>
              <w:t xml:space="preserve">-19.42</w:t>
            </w:r>
          </w:p>
        </w:tc>
        <w:tc>
          <w:tcPr/>
          <w:p>
            <w:pPr>
              <w:pStyle w:val="Compact"/>
              <w:jc w:val="left"/>
            </w:pPr>
            <w:r>
              <w:t xml:space="preserve">&lt;0.0001</w:t>
            </w:r>
          </w:p>
        </w:tc>
      </w:tr>
      <w:tr>
        <w:tc>
          <w:tcPr/>
          <w:p>
            <w:pPr>
              <w:pStyle w:val="Compact"/>
              <w:jc w:val="left"/>
            </w:pPr>
            <w:r>
              <w:t xml:space="preserve">GridPulse vs Persistence</w:t>
            </w:r>
          </w:p>
        </w:tc>
        <w:tc>
          <w:tcPr/>
          <w:p>
            <w:pPr>
              <w:pStyle w:val="Compact"/>
              <w:jc w:val="left"/>
            </w:pPr>
            <w:r>
              <w:t xml:space="preserve">-3.89</w:t>
            </w:r>
          </w:p>
        </w:tc>
        <w:tc>
          <w:tcPr/>
          <w:p>
            <w:pPr>
              <w:pStyle w:val="Compact"/>
              <w:jc w:val="left"/>
            </w:pPr>
            <w:r>
              <w:t xml:space="preserve">0.31</w:t>
            </w:r>
          </w:p>
        </w:tc>
        <w:tc>
          <w:tcPr/>
          <w:p>
            <w:pPr>
              <w:pStyle w:val="Compact"/>
              <w:jc w:val="left"/>
            </w:pPr>
            <w:r>
              <w:t xml:space="preserve">-12.55</w:t>
            </w:r>
          </w:p>
        </w:tc>
        <w:tc>
          <w:tcPr/>
          <w:p>
            <w:pPr>
              <w:pStyle w:val="Compact"/>
              <w:jc w:val="left"/>
            </w:pPr>
            <w:r>
              <w:t xml:space="preserve">&lt;0.0001</w:t>
            </w:r>
          </w:p>
        </w:tc>
      </w:tr>
      <w:tr>
        <w:tc>
          <w:tcPr/>
          <w:p>
            <w:pPr>
              <w:pStyle w:val="Compact"/>
              <w:jc w:val="left"/>
            </w:pPr>
            <w:r>
              <w:t xml:space="preserve">GridPulse vs No-Battery</w:t>
            </w:r>
          </w:p>
        </w:tc>
        <w:tc>
          <w:tcPr/>
          <w:p>
            <w:pPr>
              <w:pStyle w:val="Compact"/>
              <w:jc w:val="left"/>
            </w:pPr>
            <w:r>
              <w:t xml:space="preserve">-17.46</w:t>
            </w:r>
          </w:p>
        </w:tc>
        <w:tc>
          <w:tcPr/>
          <w:p>
            <w:pPr>
              <w:pStyle w:val="Compact"/>
              <w:jc w:val="left"/>
            </w:pPr>
            <w:r>
              <w:t xml:space="preserve">0.87</w:t>
            </w:r>
          </w:p>
        </w:tc>
        <w:tc>
          <w:tcPr/>
          <w:p>
            <w:pPr>
              <w:pStyle w:val="Compact"/>
              <w:jc w:val="left"/>
            </w:pPr>
            <w:r>
              <w:t xml:space="preserve">-20.07</w:t>
            </w:r>
          </w:p>
        </w:tc>
        <w:tc>
          <w:tcPr/>
          <w:p>
            <w:pPr>
              <w:pStyle w:val="Compact"/>
              <w:jc w:val="left"/>
            </w:pPr>
            <w:r>
              <w:t xml:space="preserve">&lt;0.0001</w:t>
            </w:r>
          </w:p>
        </w:tc>
      </w:tr>
    </w:tbl>
    <w:bookmarkEnd w:id="105"/>
    <w:bookmarkEnd w:id="106"/>
    <w:bookmarkStart w:id="108" w:name="bootstrap-confidence-intervals"/>
    <w:p>
      <w:pPr>
        <w:pStyle w:val="Heading2"/>
      </w:pPr>
      <w:r>
        <w:t xml:space="preserve">Bootstrap Confidence Intervals</w:t>
      </w:r>
    </w:p>
    <w:bookmarkStart w:id="107" w:name="tab:f3"/>
    <w:p>
      <w:pPr>
        <w:pStyle w:val="TableCaption"/>
      </w:pPr>
      <w:r>
        <w:t xml:space="preserve">10,000-sample Bootstrap Confidence Intervals</w:t>
      </w:r>
    </w:p>
    <w:tbl>
      <w:tblPr>
        <w:tblStyle w:val="Table"/>
        <w:tblW w:type="auto" w:w="0"/>
        <w:tblLook w:firstRow="1" w:lastRow="0" w:firstColumn="0" w:lastColumn="0" w:noHBand="0" w:noVBand="0" w:val="0020"/>
        <w:tblCaption w:val="10,000-sample Bootstrap Confidence Intervals"/>
      </w:tblPr>
      <w:tblGrid>
        <w:gridCol w:w="1980"/>
        <w:gridCol w:w="1980"/>
        <w:gridCol w:w="1980"/>
        <w:gridCol w:w="1980"/>
      </w:tblGrid>
      <w:tr>
        <w:trPr>
          <w:tblHeader w:val="on"/>
        </w:trPr>
        <w:tc>
          <w:tcPr/>
          <w:p>
            <w:pPr>
              <w:pStyle w:val="Compact"/>
              <w:jc w:val="left"/>
            </w:pPr>
            <w:r>
              <w:t xml:space="preserve">Metric</w:t>
            </w:r>
          </w:p>
        </w:tc>
        <w:tc>
          <w:tcPr/>
          <w:p>
            <w:pPr>
              <w:pStyle w:val="Compact"/>
              <w:jc w:val="left"/>
            </w:pPr>
            <w:r>
              <w:t xml:space="preserve">Mean</w:t>
            </w:r>
          </w:p>
        </w:tc>
        <w:tc>
          <w:tcPr/>
          <w:p>
            <w:pPr>
              <w:pStyle w:val="Compact"/>
              <w:jc w:val="left"/>
            </w:pPr>
            <w:r>
              <w:t xml:space="preserve">Bootstrap 95% CI</w:t>
            </w:r>
          </w:p>
        </w:tc>
        <w:tc>
          <w:tcPr/>
          <w:p>
            <w:pPr>
              <w:pStyle w:val="Compact"/>
              <w:jc w:val="left"/>
            </w:pPr>
            <w:r>
              <w:t xml:space="preserve">Bootstrap Std</w:t>
            </w:r>
          </w:p>
        </w:tc>
      </w:tr>
      <w:tr>
        <w:tc>
          <w:tcPr/>
          <w:p>
            <w:pPr>
              <w:pStyle w:val="Compact"/>
              <w:jc w:val="left"/>
            </w:pPr>
            <w:r>
              <w:t xml:space="preserve">Cost Savings (%)</w:t>
            </w:r>
          </w:p>
        </w:tc>
        <w:tc>
          <w:tcPr/>
          <w:p>
            <w:pPr>
              <w:pStyle w:val="Compact"/>
              <w:jc w:val="left"/>
            </w:pPr>
            <w:r>
              <w:t xml:space="preserve">2.89%</w:t>
            </w:r>
          </w:p>
        </w:tc>
        <w:tc>
          <w:tcPr/>
          <w:p>
            <w:pPr>
              <w:pStyle w:val="Compact"/>
              <w:jc w:val="left"/>
            </w:pPr>
            <w:r>
              <w:t xml:space="preserve">[2.71%, 3.08%]</w:t>
            </w:r>
          </w:p>
        </w:tc>
        <w:tc>
          <w:tcPr/>
          <w:p>
            <w:pPr>
              <w:pStyle w:val="Compact"/>
              <w:jc w:val="left"/>
            </w:pPr>
            <w:r>
              <w:t xml:space="preserve">0.09%</w:t>
            </w:r>
          </w:p>
        </w:tc>
      </w:tr>
      <w:tr>
        <w:tc>
          <w:tcPr/>
          <w:p>
            <w:pPr>
              <w:pStyle w:val="Compact"/>
              <w:jc w:val="left"/>
            </w:pPr>
            <w:r>
              <w:t xml:space="preserve">Carbon Reduction (%)</w:t>
            </w:r>
          </w:p>
        </w:tc>
        <w:tc>
          <w:tcPr/>
          <w:p>
            <w:pPr>
              <w:pStyle w:val="Compact"/>
              <w:jc w:val="left"/>
            </w:pPr>
            <w:r>
              <w:t xml:space="preserve">0.58%</w:t>
            </w:r>
          </w:p>
        </w:tc>
        <w:tc>
          <w:tcPr/>
          <w:p>
            <w:pPr>
              <w:pStyle w:val="Compact"/>
              <w:jc w:val="left"/>
            </w:pPr>
            <w:r>
              <w:t xml:space="preserve">[0.52%, 0.64%]</w:t>
            </w:r>
          </w:p>
        </w:tc>
        <w:tc>
          <w:tcPr/>
          <w:p>
            <w:pPr>
              <w:pStyle w:val="Compact"/>
              <w:jc w:val="left"/>
            </w:pPr>
            <w:r>
              <w:t xml:space="preserve">0.03%</w:t>
            </w:r>
          </w:p>
        </w:tc>
      </w:tr>
      <w:tr>
        <w:tc>
          <w:tcPr/>
          <w:p>
            <w:pPr>
              <w:pStyle w:val="Compact"/>
              <w:jc w:val="left"/>
            </w:pPr>
            <w:r>
              <w:t xml:space="preserve">Load Forecast RMSE</w:t>
            </w:r>
          </w:p>
        </w:tc>
        <w:tc>
          <w:tcPr/>
          <w:p>
            <w:pPr>
              <w:pStyle w:val="Compact"/>
              <w:jc w:val="left"/>
            </w:pPr>
            <w:r>
              <w:t xml:space="preserve">271.2</w:t>
            </w:r>
          </w:p>
        </w:tc>
        <w:tc>
          <w:tcPr/>
          <w:p>
            <w:pPr>
              <w:pStyle w:val="Compact"/>
              <w:jc w:val="left"/>
            </w:pPr>
            <w:r>
              <w:t xml:space="preserve">[267.4, 275.1]</w:t>
            </w:r>
          </w:p>
        </w:tc>
        <w:tc>
          <w:tcPr/>
          <w:p>
            <w:pPr>
              <w:pStyle w:val="Compact"/>
              <w:jc w:val="left"/>
            </w:pPr>
            <w:r>
              <w:t xml:space="preserve">1.9</w:t>
            </w:r>
          </w:p>
        </w:tc>
      </w:tr>
      <w:tr>
        <w:tc>
          <w:tcPr/>
          <w:p>
            <w:pPr>
              <w:pStyle w:val="Compact"/>
              <w:jc w:val="left"/>
            </w:pPr>
            <w:r>
              <w:t xml:space="preserve">Wind Forecast RMSE</w:t>
            </w:r>
          </w:p>
        </w:tc>
        <w:tc>
          <w:tcPr/>
          <w:p>
            <w:pPr>
              <w:pStyle w:val="Compact"/>
              <w:jc w:val="left"/>
            </w:pPr>
            <w:r>
              <w:t xml:space="preserve">127.1</w:t>
            </w:r>
          </w:p>
        </w:tc>
        <w:tc>
          <w:tcPr/>
          <w:p>
            <w:pPr>
              <w:pStyle w:val="Compact"/>
              <w:jc w:val="left"/>
            </w:pPr>
            <w:r>
              <w:t xml:space="preserve">[123.8, 130.4]</w:t>
            </w:r>
          </w:p>
        </w:tc>
        <w:tc>
          <w:tcPr/>
          <w:p>
            <w:pPr>
              <w:pStyle w:val="Compact"/>
              <w:jc w:val="left"/>
            </w:pPr>
            <w:r>
              <w:t xml:space="preserve">1.7</w:t>
            </w:r>
          </w:p>
        </w:tc>
      </w:tr>
    </w:tbl>
    <w:bookmarkEnd w:id="107"/>
    <w:bookmarkEnd w:id="108"/>
    <w:bookmarkEnd w:id="109"/>
    <w:bookmarkStart w:id="116" w:name="hyperparameter-sensitivity-analysis"/>
    <w:p>
      <w:pPr>
        <w:pStyle w:val="Heading1"/>
      </w:pPr>
      <w:r>
        <w:t xml:space="preserve">Hyperparameter Sensitivity Analysis</w:t>
      </w:r>
    </w:p>
    <w:bookmarkStart w:id="111" w:name="lightgbm-sensitivity"/>
    <w:p>
      <w:pPr>
        <w:pStyle w:val="Heading2"/>
      </w:pPr>
      <w:r>
        <w:t xml:space="preserve">LightGBM Sensitivity</w:t>
      </w:r>
    </w:p>
    <w:bookmarkStart w:id="110" w:name="tab:g1"/>
    <w:p>
      <w:pPr>
        <w:pStyle w:val="TableCaption"/>
      </w:pPr>
      <w:r>
        <w:t xml:space="preserve">LightGBM Hyperparameter Sensitivity (Optuna 50 trials)</w:t>
      </w:r>
    </w:p>
    <w:tbl>
      <w:tblPr>
        <w:tblStyle w:val="Table"/>
        <w:tblW w:type="auto" w:w="0"/>
        <w:tblLook w:firstRow="1" w:lastRow="0" w:firstColumn="0" w:lastColumn="0" w:noHBand="0" w:noVBand="0" w:val="0020"/>
        <w:tblCaption w:val="LightGBM Hyperparameter Sensitivity (Optuna 50 trials)"/>
      </w:tblPr>
      <w:tblGrid>
        <w:gridCol w:w="1584"/>
        <w:gridCol w:w="1584"/>
        <w:gridCol w:w="1584"/>
        <w:gridCol w:w="1584"/>
        <w:gridCol w:w="1584"/>
      </w:tblGrid>
      <w:tr>
        <w:trPr>
          <w:tblHeader w:val="on"/>
        </w:trPr>
        <w:tc>
          <w:tcPr/>
          <w:p>
            <w:pPr>
              <w:pStyle w:val="Compact"/>
              <w:jc w:val="left"/>
            </w:pPr>
            <w:r>
              <w:t xml:space="preserve">Parameter</w:t>
            </w:r>
          </w:p>
        </w:tc>
        <w:tc>
          <w:tcPr/>
          <w:p>
            <w:pPr>
              <w:pStyle w:val="Compact"/>
              <w:jc w:val="left"/>
            </w:pPr>
            <w:r>
              <w:t xml:space="preserve">Range Tested</w:t>
            </w:r>
          </w:p>
        </w:tc>
        <w:tc>
          <w:tcPr/>
          <w:p>
            <w:pPr>
              <w:pStyle w:val="Compact"/>
              <w:jc w:val="left"/>
            </w:pPr>
            <w:r>
              <w:t xml:space="preserve">Optimal</w:t>
            </w:r>
          </w:p>
        </w:tc>
        <w:tc>
          <w:tcPr/>
          <w:p>
            <w:pPr>
              <w:pStyle w:val="Compact"/>
              <w:jc w:val="left"/>
            </w:pPr>
            <w:r>
              <w:t xml:space="preserve">RMSE Range</w:t>
            </w:r>
          </w:p>
        </w:tc>
        <w:tc>
          <w:tcPr/>
          <w:p>
            <w:pPr>
              <w:pStyle w:val="Compact"/>
              <w:jc w:val="left"/>
            </w:pPr>
            <w:r>
              <w:t xml:space="preserve">Impact</w:t>
            </w:r>
          </w:p>
        </w:tc>
      </w:tr>
      <w:tr>
        <w:tc>
          <w:tcPr/>
          <w:p>
            <w:pPr>
              <w:pStyle w:val="Compact"/>
              <w:jc w:val="left"/>
            </w:pPr>
            <w:r>
              <w:t xml:space="preserve">n_estimators</w:t>
            </w:r>
          </w:p>
        </w:tc>
        <w:tc>
          <w:tcPr/>
          <w:p>
            <w:pPr>
              <w:pStyle w:val="Compact"/>
              <w:jc w:val="left"/>
            </w:pPr>
            <w:r>
              <w:t xml:space="preserve">[100, 2000]</w:t>
            </w:r>
          </w:p>
        </w:tc>
        <w:tc>
          <w:tcPr/>
          <w:p>
            <w:pPr>
              <w:pStyle w:val="Compact"/>
              <w:jc w:val="left"/>
            </w:pPr>
            <w:r>
              <w:t xml:space="preserve">1000</w:t>
            </w:r>
          </w:p>
        </w:tc>
        <w:tc>
          <w:tcPr/>
          <w:p>
            <w:pPr>
              <w:pStyle w:val="Compact"/>
              <w:jc w:val="left"/>
            </w:pPr>
            <w:r>
              <w:t xml:space="preserve">[268, 298]</w:t>
            </w:r>
          </w:p>
        </w:tc>
        <w:tc>
          <w:tcPr/>
          <w:p>
            <w:pPr>
              <w:pStyle w:val="Compact"/>
              <w:jc w:val="left"/>
            </w:pPr>
            <w:r>
              <w:t xml:space="preserve">Medium</w:t>
            </w:r>
          </w:p>
        </w:tc>
      </w:tr>
      <w:tr>
        <w:tc>
          <w:tcPr/>
          <w:p>
            <w:pPr>
              <w:pStyle w:val="Compact"/>
              <w:jc w:val="left"/>
            </w:pPr>
            <w:r>
              <w:t xml:space="preserve">learning_rate</w:t>
            </w:r>
          </w:p>
        </w:tc>
        <w:tc>
          <w:tcPr/>
          <w:p>
            <w:pPr>
              <w:pStyle w:val="Compact"/>
              <w:jc w:val="left"/>
            </w:pPr>
            <w:r>
              <w:t xml:space="preserve">[0.01, 0.3]</w:t>
            </w:r>
          </w:p>
        </w:tc>
        <w:tc>
          <w:tcPr/>
          <w:p>
            <w:pPr>
              <w:pStyle w:val="Compact"/>
              <w:jc w:val="left"/>
            </w:pPr>
            <w:r>
              <w:t xml:space="preserve">0.05</w:t>
            </w:r>
          </w:p>
        </w:tc>
        <w:tc>
          <w:tcPr/>
          <w:p>
            <w:pPr>
              <w:pStyle w:val="Compact"/>
              <w:jc w:val="left"/>
            </w:pPr>
            <w:r>
              <w:t xml:space="preserve">[265, 312]</w:t>
            </w:r>
          </w:p>
        </w:tc>
        <w:tc>
          <w:tcPr/>
          <w:p>
            <w:pPr>
              <w:pStyle w:val="Compact"/>
              <w:jc w:val="left"/>
            </w:pPr>
            <w:r>
              <w:t xml:space="preserve">High</w:t>
            </w:r>
          </w:p>
        </w:tc>
      </w:tr>
      <w:tr>
        <w:tc>
          <w:tcPr/>
          <w:p>
            <w:pPr>
              <w:pStyle w:val="Compact"/>
              <w:jc w:val="left"/>
            </w:pPr>
            <w:r>
              <w:t xml:space="preserve">max_depth</w:t>
            </w:r>
          </w:p>
        </w:tc>
        <w:tc>
          <w:tcPr/>
          <w:p>
            <w:pPr>
              <w:pStyle w:val="Compact"/>
              <w:jc w:val="left"/>
            </w:pPr>
            <w:r>
              <w:t xml:space="preserve">[3, 15]</w:t>
            </w:r>
          </w:p>
        </w:tc>
        <w:tc>
          <w:tcPr/>
          <w:p>
            <w:pPr>
              <w:pStyle w:val="Compact"/>
              <w:jc w:val="left"/>
            </w:pPr>
            <w:r>
              <w:t xml:space="preserve">8</w:t>
            </w:r>
          </w:p>
        </w:tc>
        <w:tc>
          <w:tcPr/>
          <w:p>
            <w:pPr>
              <w:pStyle w:val="Compact"/>
              <w:jc w:val="left"/>
            </w:pPr>
            <w:r>
              <w:t xml:space="preserve">[271, 285]</w:t>
            </w:r>
          </w:p>
        </w:tc>
        <w:tc>
          <w:tcPr/>
          <w:p>
            <w:pPr>
              <w:pStyle w:val="Compact"/>
              <w:jc w:val="left"/>
            </w:pPr>
            <w:r>
              <w:t xml:space="preserve">Low</w:t>
            </w:r>
          </w:p>
        </w:tc>
      </w:tr>
      <w:tr>
        <w:tc>
          <w:tcPr/>
          <w:p>
            <w:pPr>
              <w:pStyle w:val="Compact"/>
              <w:jc w:val="left"/>
            </w:pPr>
            <w:r>
              <w:t xml:space="preserve">num_leaves</w:t>
            </w:r>
          </w:p>
        </w:tc>
        <w:tc>
          <w:tcPr/>
          <w:p>
            <w:pPr>
              <w:pStyle w:val="Compact"/>
              <w:jc w:val="left"/>
            </w:pPr>
            <w:r>
              <w:t xml:space="preserve">[16, 256]</w:t>
            </w:r>
          </w:p>
        </w:tc>
        <w:tc>
          <w:tcPr/>
          <w:p>
            <w:pPr>
              <w:pStyle w:val="Compact"/>
              <w:jc w:val="left"/>
            </w:pPr>
            <w:r>
              <w:t xml:space="preserve">64</w:t>
            </w:r>
          </w:p>
        </w:tc>
        <w:tc>
          <w:tcPr/>
          <w:p>
            <w:pPr>
              <w:pStyle w:val="Compact"/>
              <w:jc w:val="left"/>
            </w:pPr>
            <w:r>
              <w:t xml:space="preserve">[268, 295]</w:t>
            </w:r>
          </w:p>
        </w:tc>
        <w:tc>
          <w:tcPr/>
          <w:p>
            <w:pPr>
              <w:pStyle w:val="Compact"/>
              <w:jc w:val="left"/>
            </w:pPr>
            <w:r>
              <w:t xml:space="preserve">Medium</w:t>
            </w:r>
          </w:p>
        </w:tc>
      </w:tr>
      <w:tr>
        <w:tc>
          <w:tcPr/>
          <w:p>
            <w:pPr>
              <w:pStyle w:val="Compact"/>
              <w:jc w:val="left"/>
            </w:pPr>
            <w:r>
              <w:t xml:space="preserve">min_data_in_leaf</w:t>
            </w:r>
          </w:p>
        </w:tc>
        <w:tc>
          <w:tcPr/>
          <w:p>
            <w:pPr>
              <w:pStyle w:val="Compact"/>
              <w:jc w:val="left"/>
            </w:pPr>
            <w:r>
              <w:t xml:space="preserve">[5, 100]</w:t>
            </w:r>
          </w:p>
        </w:tc>
        <w:tc>
          <w:tcPr/>
          <w:p>
            <w:pPr>
              <w:pStyle w:val="Compact"/>
              <w:jc w:val="left"/>
            </w:pPr>
            <w:r>
              <w:t xml:space="preserve">20</w:t>
            </w:r>
          </w:p>
        </w:tc>
        <w:tc>
          <w:tcPr/>
          <w:p>
            <w:pPr>
              <w:pStyle w:val="Compact"/>
              <w:jc w:val="left"/>
            </w:pPr>
            <w:r>
              <w:t xml:space="preserve">[270, 284]</w:t>
            </w:r>
          </w:p>
        </w:tc>
        <w:tc>
          <w:tcPr/>
          <w:p>
            <w:pPr>
              <w:pStyle w:val="Compact"/>
              <w:jc w:val="left"/>
            </w:pPr>
            <w:r>
              <w:t xml:space="preserve">Low</w:t>
            </w:r>
          </w:p>
        </w:tc>
      </w:tr>
      <w:tr>
        <w:tc>
          <w:tcPr/>
          <w:p>
            <w:pPr>
              <w:pStyle w:val="Compact"/>
              <w:jc w:val="left"/>
            </w:pPr>
            <w:r>
              <w:t xml:space="preserve">subsample</w:t>
            </w:r>
          </w:p>
        </w:tc>
        <w:tc>
          <w:tcPr/>
          <w:p>
            <w:pPr>
              <w:pStyle w:val="Compact"/>
              <w:jc w:val="left"/>
            </w:pPr>
            <w:r>
              <w:t xml:space="preserve">[0.5, 1.0]</w:t>
            </w:r>
          </w:p>
        </w:tc>
        <w:tc>
          <w:tcPr/>
          <w:p>
            <w:pPr>
              <w:pStyle w:val="Compact"/>
              <w:jc w:val="left"/>
            </w:pPr>
            <w:r>
              <w:t xml:space="preserve">0.8</w:t>
            </w:r>
          </w:p>
        </w:tc>
        <w:tc>
          <w:tcPr/>
          <w:p>
            <w:pPr>
              <w:pStyle w:val="Compact"/>
              <w:jc w:val="left"/>
            </w:pPr>
            <w:r>
              <w:t xml:space="preserve">[271, 278]</w:t>
            </w:r>
          </w:p>
        </w:tc>
        <w:tc>
          <w:tcPr/>
          <w:p>
            <w:pPr>
              <w:pStyle w:val="Compact"/>
              <w:jc w:val="left"/>
            </w:pPr>
            <w:r>
              <w:t xml:space="preserve">Low</w:t>
            </w:r>
          </w:p>
        </w:tc>
      </w:tr>
      <w:tr>
        <w:tc>
          <w:tcPr/>
          <w:p>
            <w:pPr>
              <w:pStyle w:val="Compact"/>
              <w:jc w:val="left"/>
            </w:pPr>
            <w:r>
              <w:t xml:space="preserve">reg_alpha</w:t>
            </w:r>
          </w:p>
        </w:tc>
        <w:tc>
          <w:tcPr/>
          <w:p>
            <w:pPr>
              <w:pStyle w:val="Compact"/>
              <w:jc w:val="left"/>
            </w:pPr>
            <w:r>
              <w:t xml:space="preserve">[0, 10]</w:t>
            </w:r>
          </w:p>
        </w:tc>
        <w:tc>
          <w:tcPr/>
          <w:p>
            <w:pPr>
              <w:pStyle w:val="Compact"/>
              <w:jc w:val="left"/>
            </w:pPr>
            <w:r>
              <w:t xml:space="preserve">0.1</w:t>
            </w:r>
          </w:p>
        </w:tc>
        <w:tc>
          <w:tcPr/>
          <w:p>
            <w:pPr>
              <w:pStyle w:val="Compact"/>
              <w:jc w:val="left"/>
            </w:pPr>
            <w:r>
              <w:t xml:space="preserve">[270, 276]</w:t>
            </w:r>
          </w:p>
        </w:tc>
        <w:tc>
          <w:tcPr/>
          <w:p>
            <w:pPr>
              <w:pStyle w:val="Compact"/>
              <w:jc w:val="left"/>
            </w:pPr>
            <w:r>
              <w:t xml:space="preserve">Low</w:t>
            </w:r>
          </w:p>
        </w:tc>
      </w:tr>
      <w:tr>
        <w:tc>
          <w:tcPr/>
          <w:p>
            <w:pPr>
              <w:pStyle w:val="Compact"/>
              <w:jc w:val="left"/>
            </w:pPr>
            <w:r>
              <w:t xml:space="preserve">reg_lambda</w:t>
            </w:r>
          </w:p>
        </w:tc>
        <w:tc>
          <w:tcPr/>
          <w:p>
            <w:pPr>
              <w:pStyle w:val="Compact"/>
              <w:jc w:val="left"/>
            </w:pPr>
            <w:r>
              <w:t xml:space="preserve">[0, 10]</w:t>
            </w:r>
          </w:p>
        </w:tc>
        <w:tc>
          <w:tcPr/>
          <w:p>
            <w:pPr>
              <w:pStyle w:val="Compact"/>
              <w:jc w:val="left"/>
            </w:pPr>
            <w:r>
              <w:t xml:space="preserve">0.1</w:t>
            </w:r>
          </w:p>
        </w:tc>
        <w:tc>
          <w:tcPr/>
          <w:p>
            <w:pPr>
              <w:pStyle w:val="Compact"/>
              <w:jc w:val="left"/>
            </w:pPr>
            <w:r>
              <w:t xml:space="preserve">[270, 277]</w:t>
            </w:r>
          </w:p>
        </w:tc>
        <w:tc>
          <w:tcPr/>
          <w:p>
            <w:pPr>
              <w:pStyle w:val="Compact"/>
              <w:jc w:val="left"/>
            </w:pPr>
            <w:r>
              <w:t xml:space="preserve">Low</w:t>
            </w:r>
          </w:p>
        </w:tc>
      </w:tr>
    </w:tbl>
    <w:bookmarkEnd w:id="110"/>
    <w:p>
      <w:pPr>
        <w:pStyle w:val="BodyText"/>
      </w:pPr>
      <w:r>
        <w:rPr>
          <w:b/>
          <w:bCs/>
        </w:rPr>
        <w:t xml:space="preserve">Key Finding</w:t>
      </w:r>
      <w:r>
        <w:t xml:space="preserve">: Learning rate is the most sensitive parameter; optimal range is 0.03–0.08.</w:t>
      </w:r>
    </w:p>
    <w:bookmarkEnd w:id="111"/>
    <w:bookmarkStart w:id="113" w:name="lstm-sensitivity"/>
    <w:p>
      <w:pPr>
        <w:pStyle w:val="Heading2"/>
      </w:pPr>
      <w:r>
        <w:t xml:space="preserve">LSTM Sensitivity</w:t>
      </w:r>
    </w:p>
    <w:bookmarkStart w:id="112" w:name="tab:g2"/>
    <w:p>
      <w:pPr>
        <w:pStyle w:val="TableCaption"/>
      </w:pPr>
      <w:r>
        <w:t xml:space="preserve">LSTM Hyperparameter Sensitivity</w:t>
      </w:r>
    </w:p>
    <w:tbl>
      <w:tblPr>
        <w:tblStyle w:val="Table"/>
        <w:tblW w:type="auto" w:w="0"/>
        <w:tblLook w:firstRow="1" w:lastRow="0" w:firstColumn="0" w:lastColumn="0" w:noHBand="0" w:noVBand="0" w:val="0020"/>
        <w:tblCaption w:val="LSTM Hyperparameter Sensitivity"/>
      </w:tblPr>
      <w:tblGrid>
        <w:gridCol w:w="1584"/>
        <w:gridCol w:w="1584"/>
        <w:gridCol w:w="1584"/>
        <w:gridCol w:w="1584"/>
        <w:gridCol w:w="1584"/>
      </w:tblGrid>
      <w:tr>
        <w:trPr>
          <w:tblHeader w:val="on"/>
        </w:trPr>
        <w:tc>
          <w:tcPr/>
          <w:p>
            <w:pPr>
              <w:pStyle w:val="Compact"/>
              <w:jc w:val="left"/>
            </w:pPr>
            <w:r>
              <w:t xml:space="preserve">Parameter</w:t>
            </w:r>
          </w:p>
        </w:tc>
        <w:tc>
          <w:tcPr/>
          <w:p>
            <w:pPr>
              <w:pStyle w:val="Compact"/>
              <w:jc w:val="left"/>
            </w:pPr>
            <w:r>
              <w:t xml:space="preserve">Range Tested</w:t>
            </w:r>
          </w:p>
        </w:tc>
        <w:tc>
          <w:tcPr/>
          <w:p>
            <w:pPr>
              <w:pStyle w:val="Compact"/>
              <w:jc w:val="left"/>
            </w:pPr>
            <w:r>
              <w:t xml:space="preserve">Optimal</w:t>
            </w:r>
          </w:p>
        </w:tc>
        <w:tc>
          <w:tcPr/>
          <w:p>
            <w:pPr>
              <w:pStyle w:val="Compact"/>
              <w:jc w:val="left"/>
            </w:pPr>
            <w:r>
              <w:t xml:space="preserve">RMSE Range</w:t>
            </w:r>
          </w:p>
        </w:tc>
        <w:tc>
          <w:tcPr/>
          <w:p>
            <w:pPr>
              <w:pStyle w:val="Compact"/>
              <w:jc w:val="left"/>
            </w:pPr>
            <w:r>
              <w:t xml:space="preserve">Impact</w:t>
            </w:r>
          </w:p>
        </w:tc>
      </w:tr>
      <w:tr>
        <w:tc>
          <w:tcPr/>
          <w:p>
            <w:pPr>
              <w:pStyle w:val="Compact"/>
              <w:jc w:val="left"/>
            </w:pPr>
            <w:r>
              <w:t xml:space="preserve">hidden_size</w:t>
            </w:r>
          </w:p>
        </w:tc>
        <w:tc>
          <w:tcPr/>
          <w:p>
            <w:pPr>
              <w:pStyle w:val="Compact"/>
              <w:jc w:val="left"/>
            </w:pPr>
            <w:r>
              <w:t xml:space="preserve">[32, 512]</w:t>
            </w:r>
          </w:p>
        </w:tc>
        <w:tc>
          <w:tcPr/>
          <w:p>
            <w:pPr>
              <w:pStyle w:val="Compact"/>
              <w:jc w:val="left"/>
            </w:pPr>
            <w:r>
              <w:t xml:space="preserve">256</w:t>
            </w:r>
          </w:p>
        </w:tc>
        <w:tc>
          <w:tcPr/>
          <w:p>
            <w:pPr>
              <w:pStyle w:val="Compact"/>
              <w:jc w:val="left"/>
            </w:pPr>
            <w:r>
              <w:t xml:space="preserve">[298, 456]</w:t>
            </w:r>
          </w:p>
        </w:tc>
        <w:tc>
          <w:tcPr/>
          <w:p>
            <w:pPr>
              <w:pStyle w:val="Compact"/>
              <w:jc w:val="left"/>
            </w:pPr>
            <w:r>
              <w:t xml:space="preserve">High</w:t>
            </w:r>
          </w:p>
        </w:tc>
      </w:tr>
      <w:tr>
        <w:tc>
          <w:tcPr/>
          <w:p>
            <w:pPr>
              <w:pStyle w:val="Compact"/>
              <w:jc w:val="left"/>
            </w:pPr>
            <w:r>
              <w:t xml:space="preserve">num_layers</w:t>
            </w:r>
          </w:p>
        </w:tc>
        <w:tc>
          <w:tcPr/>
          <w:p>
            <w:pPr>
              <w:pStyle w:val="Compact"/>
              <w:jc w:val="left"/>
            </w:pPr>
            <w:r>
              <w:t xml:space="preserve">[1, 4]</w:t>
            </w:r>
          </w:p>
        </w:tc>
        <w:tc>
          <w:tcPr/>
          <w:p>
            <w:pPr>
              <w:pStyle w:val="Compact"/>
              <w:jc w:val="left"/>
            </w:pPr>
            <w:r>
              <w:t xml:space="preserve">3</w:t>
            </w:r>
          </w:p>
        </w:tc>
        <w:tc>
          <w:tcPr/>
          <w:p>
            <w:pPr>
              <w:pStyle w:val="Compact"/>
              <w:jc w:val="left"/>
            </w:pPr>
            <w:r>
              <w:t xml:space="preserve">[312, 398]</w:t>
            </w:r>
          </w:p>
        </w:tc>
        <w:tc>
          <w:tcPr/>
          <w:p>
            <w:pPr>
              <w:pStyle w:val="Compact"/>
              <w:jc w:val="left"/>
            </w:pPr>
            <w:r>
              <w:t xml:space="preserve">High</w:t>
            </w:r>
          </w:p>
        </w:tc>
      </w:tr>
      <w:tr>
        <w:tc>
          <w:tcPr/>
          <w:p>
            <w:pPr>
              <w:pStyle w:val="Compact"/>
              <w:jc w:val="left"/>
            </w:pPr>
            <w:r>
              <w:t xml:space="preserve">dropout</w:t>
            </w:r>
          </w:p>
        </w:tc>
        <w:tc>
          <w:tcPr/>
          <w:p>
            <w:pPr>
              <w:pStyle w:val="Compact"/>
              <w:jc w:val="left"/>
            </w:pPr>
            <w:r>
              <w:t xml:space="preserve">[0, 0.5]</w:t>
            </w:r>
          </w:p>
        </w:tc>
        <w:tc>
          <w:tcPr/>
          <w:p>
            <w:pPr>
              <w:pStyle w:val="Compact"/>
              <w:jc w:val="left"/>
            </w:pPr>
            <w:r>
              <w:t xml:space="preserve">0.3</w:t>
            </w:r>
          </w:p>
        </w:tc>
        <w:tc>
          <w:tcPr/>
          <w:p>
            <w:pPr>
              <w:pStyle w:val="Compact"/>
              <w:jc w:val="left"/>
            </w:pPr>
            <w:r>
              <w:t xml:space="preserve">[308, 342]</w:t>
            </w:r>
          </w:p>
        </w:tc>
        <w:tc>
          <w:tcPr/>
          <w:p>
            <w:pPr>
              <w:pStyle w:val="Compact"/>
              <w:jc w:val="left"/>
            </w:pPr>
            <w:r>
              <w:t xml:space="preserve">Medium</w:t>
            </w:r>
          </w:p>
        </w:tc>
      </w:tr>
      <w:tr>
        <w:tc>
          <w:tcPr/>
          <w:p>
            <w:pPr>
              <w:pStyle w:val="Compact"/>
              <w:jc w:val="left"/>
            </w:pPr>
            <w:r>
              <w:t xml:space="preserve">learning_rate</w:t>
            </w:r>
          </w:p>
        </w:tc>
        <w:tc>
          <w:tcPr/>
          <w:p>
            <w:pPr>
              <w:pStyle w:val="Compact"/>
              <w:jc w:val="left"/>
            </w:pPr>
            <w:r>
              <w:t xml:space="preserve">[1e-4, 1e-2]</w:t>
            </w:r>
          </w:p>
        </w:tc>
        <w:tc>
          <w:tcPr/>
          <w:p>
            <w:pPr>
              <w:pStyle w:val="Compact"/>
              <w:jc w:val="left"/>
            </w:pPr>
            <w:r>
              <w:t xml:space="preserve">1e-3</w:t>
            </w:r>
          </w:p>
        </w:tc>
        <w:tc>
          <w:tcPr/>
          <w:p>
            <w:pPr>
              <w:pStyle w:val="Compact"/>
              <w:jc w:val="left"/>
            </w:pPr>
            <w:r>
              <w:t xml:space="preserve">[305, 412]</w:t>
            </w:r>
          </w:p>
        </w:tc>
        <w:tc>
          <w:tcPr/>
          <w:p>
            <w:pPr>
              <w:pStyle w:val="Compact"/>
              <w:jc w:val="left"/>
            </w:pPr>
            <w:r>
              <w:t xml:space="preserve">High</w:t>
            </w:r>
          </w:p>
        </w:tc>
      </w:tr>
      <w:tr>
        <w:tc>
          <w:tcPr/>
          <w:p>
            <w:pPr>
              <w:pStyle w:val="Compact"/>
              <w:jc w:val="left"/>
            </w:pPr>
            <w:r>
              <w:t xml:space="preserve">batch_size</w:t>
            </w:r>
          </w:p>
        </w:tc>
        <w:tc>
          <w:tcPr/>
          <w:p>
            <w:pPr>
              <w:pStyle w:val="Compact"/>
              <w:jc w:val="left"/>
            </w:pPr>
            <w:r>
              <w:t xml:space="preserve">[16, 128]</w:t>
            </w:r>
          </w:p>
        </w:tc>
        <w:tc>
          <w:tcPr/>
          <w:p>
            <w:pPr>
              <w:pStyle w:val="Compact"/>
              <w:jc w:val="left"/>
            </w:pPr>
            <w:r>
              <w:t xml:space="preserve">32</w:t>
            </w:r>
          </w:p>
        </w:tc>
        <w:tc>
          <w:tcPr/>
          <w:p>
            <w:pPr>
              <w:pStyle w:val="Compact"/>
              <w:jc w:val="left"/>
            </w:pPr>
            <w:r>
              <w:t xml:space="preserve">[312, 325]</w:t>
            </w:r>
          </w:p>
        </w:tc>
        <w:tc>
          <w:tcPr/>
          <w:p>
            <w:pPr>
              <w:pStyle w:val="Compact"/>
              <w:jc w:val="left"/>
            </w:pPr>
            <w:r>
              <w:t xml:space="preserve">Low</w:t>
            </w:r>
          </w:p>
        </w:tc>
      </w:tr>
      <w:tr>
        <w:tc>
          <w:tcPr/>
          <w:p>
            <w:pPr>
              <w:pStyle w:val="Compact"/>
              <w:jc w:val="left"/>
            </w:pPr>
            <w:r>
              <w:t xml:space="preserve">sequence_length</w:t>
            </w:r>
          </w:p>
        </w:tc>
        <w:tc>
          <w:tcPr/>
          <w:p>
            <w:pPr>
              <w:pStyle w:val="Compact"/>
              <w:jc w:val="left"/>
            </w:pPr>
            <w:r>
              <w:t xml:space="preserve">[24, 336]</w:t>
            </w:r>
          </w:p>
        </w:tc>
        <w:tc>
          <w:tcPr/>
          <w:p>
            <w:pPr>
              <w:pStyle w:val="Compact"/>
              <w:jc w:val="left"/>
            </w:pPr>
            <w:r>
              <w:t xml:space="preserve">168</w:t>
            </w:r>
          </w:p>
        </w:tc>
        <w:tc>
          <w:tcPr/>
          <w:p>
            <w:pPr>
              <w:pStyle w:val="Compact"/>
              <w:jc w:val="left"/>
            </w:pPr>
            <w:r>
              <w:t xml:space="preserve">[287, 378]</w:t>
            </w:r>
          </w:p>
        </w:tc>
        <w:tc>
          <w:tcPr/>
          <w:p>
            <w:pPr>
              <w:pStyle w:val="Compact"/>
              <w:jc w:val="left"/>
            </w:pPr>
            <w:r>
              <w:t xml:space="preserve">High</w:t>
            </w:r>
          </w:p>
        </w:tc>
      </w:tr>
    </w:tbl>
    <w:bookmarkEnd w:id="112"/>
    <w:bookmarkEnd w:id="113"/>
    <w:bookmarkStart w:id="115" w:name="optimization-parameters"/>
    <w:p>
      <w:pPr>
        <w:pStyle w:val="Heading2"/>
      </w:pPr>
      <w:r>
        <w:t xml:space="preserve">Optimization Parameters</w:t>
      </w:r>
    </w:p>
    <w:bookmarkStart w:id="114" w:name="tab:g3"/>
    <w:p>
      <w:pPr>
        <w:pStyle w:val="TableCaption"/>
      </w:pPr>
      <w:r>
        <w:t xml:space="preserve">MILP Optimization Parameter Sensitivity</w:t>
      </w:r>
    </w:p>
    <w:tbl>
      <w:tblPr>
        <w:tblStyle w:val="Table"/>
        <w:tblW w:type="auto" w:w="0"/>
        <w:tblLook w:firstRow="1" w:lastRow="0" w:firstColumn="0" w:lastColumn="0" w:noHBand="0" w:noVBand="0" w:val="0020"/>
        <w:tblCaption w:val="MILP Optimization Parameter Sensitivity"/>
      </w:tblPr>
      <w:tblGrid>
        <w:gridCol w:w="1584"/>
        <w:gridCol w:w="1584"/>
        <w:gridCol w:w="1584"/>
        <w:gridCol w:w="1584"/>
        <w:gridCol w:w="1584"/>
      </w:tblGrid>
      <w:tr>
        <w:trPr>
          <w:tblHeader w:val="on"/>
        </w:trPr>
        <w:tc>
          <w:tcPr/>
          <w:p>
            <w:pPr>
              <w:pStyle w:val="Compact"/>
              <w:jc w:val="left"/>
            </w:pPr>
            <w:r>
              <w:t xml:space="preserve">Parameter</w:t>
            </w:r>
          </w:p>
        </w:tc>
        <w:tc>
          <w:tcPr/>
          <w:p>
            <w:pPr>
              <w:pStyle w:val="Compact"/>
              <w:jc w:val="left"/>
            </w:pPr>
            <w:r>
              <w:t xml:space="preserve">Range</w:t>
            </w:r>
          </w:p>
        </w:tc>
        <w:tc>
          <w:tcPr/>
          <w:p>
            <w:pPr>
              <w:pStyle w:val="Compact"/>
              <w:jc w:val="left"/>
            </w:pPr>
            <w:r>
              <w:t xml:space="preserve">Optimal</w:t>
            </w:r>
          </w:p>
        </w:tc>
        <w:tc>
          <w:tcPr/>
          <w:p>
            <w:pPr>
              <w:pStyle w:val="Compact"/>
              <w:jc w:val="left"/>
            </w:pPr>
            <w:r>
              <w:t xml:space="preserve">Cost Impact</w:t>
            </w:r>
          </w:p>
        </w:tc>
        <w:tc>
          <w:tcPr/>
          <w:p>
            <w:pPr>
              <w:pStyle w:val="Compact"/>
              <w:jc w:val="left"/>
            </w:pPr>
            <w:r>
              <w:t xml:space="preserve">Carbon Impact</w:t>
            </w:r>
          </w:p>
        </w:tc>
      </w:tr>
      <w:tr>
        <w:tc>
          <w:tcPr/>
          <w:p>
            <w:pPr>
              <w:pStyle w:val="Compact"/>
              <w:jc w:val="left"/>
            </w:pPr>
            <w:r>
              <w:t xml:space="preserve">carbon_penalty</w:t>
            </w:r>
          </w:p>
        </w:tc>
        <w:tc>
          <w:tcPr/>
          <w:p>
            <w:pPr>
              <w:pStyle w:val="Compact"/>
              <w:jc w:val="left"/>
            </w:pPr>
            <w:r>
              <w:t xml:space="preserve">[0, 100]</w:t>
            </w:r>
          </w:p>
        </w:tc>
        <w:tc>
          <w:tcPr/>
          <w:p>
            <w:pPr>
              <w:pStyle w:val="Compact"/>
              <w:jc w:val="left"/>
            </w:pPr>
            <w:r>
              <w:t xml:space="preserve">50 €/tCO</w:t>
            </w:r>
            <m:oMath>
              <m:sSub>
                <m:e>
                  <m:r>
                    <m:t>​</m:t>
                  </m:r>
                </m:e>
                <m:sub>
                  <m:r>
                    <m:t>2</m:t>
                  </m:r>
                </m:sub>
              </m:sSub>
            </m:oMath>
          </w:p>
        </w:tc>
        <w:tc>
          <w:tcPr/>
          <w:p>
            <w:pPr>
              <w:pStyle w:val="Compact"/>
              <w:jc w:val="left"/>
            </w:pPr>
            <w:r>
              <w:t xml:space="preserve">+2.1%</w:t>
            </w:r>
          </w:p>
        </w:tc>
        <w:tc>
          <w:tcPr/>
          <w:p>
            <w:pPr>
              <w:pStyle w:val="Compact"/>
              <w:jc w:val="left"/>
            </w:pPr>
            <w:r>
              <w:t xml:space="preserve">-0.58%</w:t>
            </w:r>
          </w:p>
        </w:tc>
      </w:tr>
      <w:tr>
        <w:tc>
          <w:tcPr/>
          <w:p>
            <w:pPr>
              <w:pStyle w:val="Compact"/>
              <w:jc w:val="left"/>
            </w:pPr>
            <w:r>
              <w:t xml:space="preserve">battery_capacity</w:t>
            </w:r>
          </w:p>
        </w:tc>
        <w:tc>
          <w:tcPr/>
          <w:p>
            <w:pPr>
              <w:pStyle w:val="Compact"/>
              <w:jc w:val="left"/>
            </w:pPr>
            <w:r>
              <w:t xml:space="preserve">[50, 500] MW</w:t>
            </w:r>
          </w:p>
        </w:tc>
        <w:tc>
          <w:tcPr/>
          <w:p>
            <w:pPr>
              <w:pStyle w:val="Compact"/>
              <w:jc w:val="left"/>
            </w:pPr>
            <w:r>
              <w:t xml:space="preserve">100 MW</w:t>
            </w:r>
          </w:p>
        </w:tc>
        <w:tc>
          <w:tcPr/>
          <w:p>
            <w:pPr>
              <w:pStyle w:val="Compact"/>
              <w:jc w:val="left"/>
            </w:pPr>
            <w:r>
              <w:t xml:space="preserve">-2.8% baseline</w:t>
            </w:r>
          </w:p>
        </w:tc>
        <w:tc>
          <w:tcPr/>
          <w:p>
            <w:pPr>
              <w:pStyle w:val="Compact"/>
              <w:jc w:val="left"/>
            </w:pPr>
            <w:r>
              <w:t xml:space="preserve">–</w:t>
            </w:r>
          </w:p>
        </w:tc>
      </w:tr>
      <w:tr>
        <w:tc>
          <w:tcPr/>
          <w:p>
            <w:pPr>
              <w:pStyle w:val="Compact"/>
              <w:jc w:val="left"/>
            </w:pPr>
            <w:r>
              <w:t xml:space="preserve">charge_efficiency</w:t>
            </w:r>
          </w:p>
        </w:tc>
        <w:tc>
          <w:tcPr/>
          <w:p>
            <w:pPr>
              <w:pStyle w:val="Compact"/>
              <w:jc w:val="left"/>
            </w:pPr>
            <w:r>
              <w:t xml:space="preserve">[0.85, 0.98]</w:t>
            </w:r>
          </w:p>
        </w:tc>
        <w:tc>
          <w:tcPr/>
          <w:p>
            <w:pPr>
              <w:pStyle w:val="Compact"/>
              <w:jc w:val="left"/>
            </w:pPr>
            <w:r>
              <w:t xml:space="preserve">0.95</w:t>
            </w:r>
          </w:p>
        </w:tc>
        <w:tc>
          <w:tcPr/>
          <w:p>
            <w:pPr>
              <w:pStyle w:val="Compact"/>
              <w:jc w:val="left"/>
            </w:pPr>
            <m:oMath>
              <m:r>
                <m:rPr>
                  <m:sty m:val="p"/>
                </m:rPr>
                <m:t>±</m:t>
              </m:r>
            </m:oMath>
            <w:r>
              <w:t xml:space="preserve">0.3%</w:t>
            </w:r>
          </w:p>
        </w:tc>
        <w:tc>
          <w:tcPr/>
          <w:p>
            <w:pPr>
              <w:pStyle w:val="Compact"/>
              <w:jc w:val="left"/>
            </w:pPr>
            <w:r>
              <w:t xml:space="preserve">–</w:t>
            </w:r>
          </w:p>
        </w:tc>
      </w:tr>
      <w:tr>
        <w:tc>
          <w:tcPr/>
          <w:p>
            <w:pPr>
              <w:pStyle w:val="Compact"/>
              <w:jc w:val="left"/>
            </w:pPr>
            <w:r>
              <w:t xml:space="preserve">forecast_horizon</w:t>
            </w:r>
          </w:p>
        </w:tc>
        <w:tc>
          <w:tcPr/>
          <w:p>
            <w:pPr>
              <w:pStyle w:val="Compact"/>
              <w:jc w:val="left"/>
            </w:pPr>
            <w:r>
              <w:t xml:space="preserve">[12, 72] hours</w:t>
            </w:r>
          </w:p>
        </w:tc>
        <w:tc>
          <w:tcPr/>
          <w:p>
            <w:pPr>
              <w:pStyle w:val="Compact"/>
              <w:jc w:val="left"/>
            </w:pPr>
            <w:r>
              <w:t xml:space="preserve">24</w:t>
            </w:r>
          </w:p>
        </w:tc>
        <w:tc>
          <w:tcPr/>
          <w:p>
            <w:pPr>
              <w:pStyle w:val="Compact"/>
              <w:jc w:val="left"/>
            </w:pPr>
            <m:oMath>
              <m:r>
                <m:rPr>
                  <m:sty m:val="p"/>
                </m:rPr>
                <m:t>±</m:t>
              </m:r>
            </m:oMath>
            <w:r>
              <w:t xml:space="preserve">0.1%</w:t>
            </w:r>
          </w:p>
        </w:tc>
        <w:tc>
          <w:tcPr/>
          <w:p>
            <w:pPr>
              <w:pStyle w:val="Compact"/>
              <w:jc w:val="left"/>
            </w:pPr>
            <w:r>
              <w:t xml:space="preserve">–</w:t>
            </w:r>
          </w:p>
        </w:tc>
      </w:tr>
    </w:tbl>
    <w:bookmarkEnd w:id="114"/>
    <w:bookmarkEnd w:id="115"/>
    <w:bookmarkEnd w:id="116"/>
    <w:bookmarkStart w:id="121" w:name="computational-resources"/>
    <w:p>
      <w:pPr>
        <w:pStyle w:val="Heading1"/>
      </w:pPr>
      <w:r>
        <w:t xml:space="preserve">Computational Resources</w:t>
      </w:r>
    </w:p>
    <w:bookmarkStart w:id="118" w:name="training-time-breakdown"/>
    <w:p>
      <w:pPr>
        <w:pStyle w:val="Heading2"/>
      </w:pPr>
      <w:r>
        <w:t xml:space="preserve">Training Time Breakdown</w:t>
      </w:r>
    </w:p>
    <w:bookmarkStart w:id="117" w:name="tab:h1"/>
    <w:p>
      <w:pPr>
        <w:pStyle w:val="TableCaption"/>
      </w:pPr>
      <w:r>
        <w:t xml:space="preserve">Training Time and Resource Usage</w:t>
      </w:r>
    </w:p>
    <w:tbl>
      <w:tblPr>
        <w:tblStyle w:val="Table"/>
        <w:tblW w:type="auto" w:w="0"/>
        <w:tblLook w:firstRow="1" w:lastRow="0" w:firstColumn="0" w:lastColumn="0" w:noHBand="0" w:noVBand="0" w:val="0020"/>
        <w:tblCaption w:val="Training Time and Resource Usage"/>
      </w:tblPr>
      <w:tblGrid>
        <w:gridCol w:w="1980"/>
        <w:gridCol w:w="1980"/>
        <w:gridCol w:w="1980"/>
        <w:gridCol w:w="1980"/>
      </w:tblGrid>
      <w:tr>
        <w:trPr>
          <w:tblHeader w:val="on"/>
        </w:trPr>
        <w:tc>
          <w:tcPr/>
          <w:p>
            <w:pPr>
              <w:pStyle w:val="Compact"/>
              <w:jc w:val="left"/>
            </w:pPr>
            <w:r>
              <w:t xml:space="preserve">Component</w:t>
            </w:r>
          </w:p>
        </w:tc>
        <w:tc>
          <w:tcPr/>
          <w:p>
            <w:pPr>
              <w:pStyle w:val="Compact"/>
              <w:jc w:val="left"/>
            </w:pPr>
            <w:r>
              <w:t xml:space="preserve">Time (min)</w:t>
            </w:r>
          </w:p>
        </w:tc>
        <w:tc>
          <w:tcPr/>
          <w:p>
            <w:pPr>
              <w:pStyle w:val="Compact"/>
              <w:jc w:val="left"/>
            </w:pPr>
            <w:r>
              <w:t xml:space="preserve">GPU/CPU</w:t>
            </w:r>
          </w:p>
        </w:tc>
        <w:tc>
          <w:tcPr/>
          <w:p>
            <w:pPr>
              <w:pStyle w:val="Compact"/>
              <w:jc w:val="left"/>
            </w:pPr>
            <w:r>
              <w:t xml:space="preserve">Memory Peak</w:t>
            </w:r>
          </w:p>
        </w:tc>
      </w:tr>
      <w:tr>
        <w:tc>
          <w:tcPr/>
          <w:p>
            <w:pPr>
              <w:pStyle w:val="Compact"/>
              <w:jc w:val="left"/>
            </w:pPr>
            <w:r>
              <w:t xml:space="preserve">Data Loading</w:t>
            </w:r>
          </w:p>
        </w:tc>
        <w:tc>
          <w:tcPr/>
          <w:p>
            <w:pPr>
              <w:pStyle w:val="Compact"/>
              <w:jc w:val="left"/>
            </w:pPr>
            <w:r>
              <w:t xml:space="preserve">1.2</w:t>
            </w:r>
          </w:p>
        </w:tc>
        <w:tc>
          <w:tcPr/>
          <w:p>
            <w:pPr>
              <w:pStyle w:val="Compact"/>
              <w:jc w:val="left"/>
            </w:pPr>
            <w:r>
              <w:t xml:space="preserve">CPU</w:t>
            </w:r>
          </w:p>
        </w:tc>
        <w:tc>
          <w:tcPr/>
          <w:p>
            <w:pPr>
              <w:pStyle w:val="Compact"/>
              <w:jc w:val="left"/>
            </w:pPr>
            <w:r>
              <w:t xml:space="preserve">2.1 GB</w:t>
            </w:r>
          </w:p>
        </w:tc>
      </w:tr>
      <w:tr>
        <w:tc>
          <w:tcPr/>
          <w:p>
            <w:pPr>
              <w:pStyle w:val="Compact"/>
              <w:jc w:val="left"/>
            </w:pPr>
            <w:r>
              <w:t xml:space="preserve">Feature Engineering</w:t>
            </w:r>
          </w:p>
        </w:tc>
        <w:tc>
          <w:tcPr/>
          <w:p>
            <w:pPr>
              <w:pStyle w:val="Compact"/>
              <w:jc w:val="left"/>
            </w:pPr>
            <w:r>
              <w:t xml:space="preserve">3.5</w:t>
            </w:r>
          </w:p>
        </w:tc>
        <w:tc>
          <w:tcPr/>
          <w:p>
            <w:pPr>
              <w:pStyle w:val="Compact"/>
              <w:jc w:val="left"/>
            </w:pPr>
            <w:r>
              <w:t xml:space="preserve">CPU</w:t>
            </w:r>
          </w:p>
        </w:tc>
        <w:tc>
          <w:tcPr/>
          <w:p>
            <w:pPr>
              <w:pStyle w:val="Compact"/>
              <w:jc w:val="left"/>
            </w:pPr>
            <w:r>
              <w:t xml:space="preserve">4.8 GB</w:t>
            </w:r>
          </w:p>
        </w:tc>
      </w:tr>
      <w:tr>
        <w:tc>
          <w:tcPr/>
          <w:p>
            <w:pPr>
              <w:pStyle w:val="Compact"/>
              <w:jc w:val="left"/>
            </w:pPr>
            <w:r>
              <w:t xml:space="preserve">GBM Training</w:t>
            </w:r>
          </w:p>
        </w:tc>
        <w:tc>
          <w:tcPr/>
          <w:p>
            <w:pPr>
              <w:pStyle w:val="Compact"/>
              <w:jc w:val="left"/>
            </w:pPr>
            <w:r>
              <w:t xml:space="preserve">0.4</w:t>
            </w:r>
          </w:p>
        </w:tc>
        <w:tc>
          <w:tcPr/>
          <w:p>
            <w:pPr>
              <w:pStyle w:val="Compact"/>
              <w:jc w:val="left"/>
            </w:pPr>
            <w:r>
              <w:t xml:space="preserve">CPU</w:t>
            </w:r>
          </w:p>
        </w:tc>
        <w:tc>
          <w:tcPr/>
          <w:p>
            <w:pPr>
              <w:pStyle w:val="Compact"/>
              <w:jc w:val="left"/>
            </w:pPr>
            <w:r>
              <w:t xml:space="preserve">1.2 GB</w:t>
            </w:r>
          </w:p>
        </w:tc>
      </w:tr>
      <w:tr>
        <w:tc>
          <w:tcPr/>
          <w:p>
            <w:pPr>
              <w:pStyle w:val="Compact"/>
              <w:jc w:val="left"/>
            </w:pPr>
            <w:r>
              <w:t xml:space="preserve">GBM CV (10-fold)</w:t>
            </w:r>
          </w:p>
        </w:tc>
        <w:tc>
          <w:tcPr/>
          <w:p>
            <w:pPr>
              <w:pStyle w:val="Compact"/>
              <w:jc w:val="left"/>
            </w:pPr>
            <w:r>
              <w:t xml:space="preserve">4.1</w:t>
            </w:r>
          </w:p>
        </w:tc>
        <w:tc>
          <w:tcPr/>
          <w:p>
            <w:pPr>
              <w:pStyle w:val="Compact"/>
              <w:jc w:val="left"/>
            </w:pPr>
            <w:r>
              <w:t xml:space="preserve">CPU</w:t>
            </w:r>
          </w:p>
        </w:tc>
        <w:tc>
          <w:tcPr/>
          <w:p>
            <w:pPr>
              <w:pStyle w:val="Compact"/>
              <w:jc w:val="left"/>
            </w:pPr>
            <w:r>
              <w:t xml:space="preserve">1.5 GB</w:t>
            </w:r>
          </w:p>
        </w:tc>
      </w:tr>
      <w:tr>
        <w:tc>
          <w:tcPr/>
          <w:p>
            <w:pPr>
              <w:pStyle w:val="Compact"/>
              <w:jc w:val="left"/>
            </w:pPr>
            <w:r>
              <w:t xml:space="preserve">LSTM Training (100 ep)</w:t>
            </w:r>
          </w:p>
        </w:tc>
        <w:tc>
          <w:tcPr/>
          <w:p>
            <w:pPr>
              <w:pStyle w:val="Compact"/>
              <w:jc w:val="left"/>
            </w:pPr>
            <w:r>
              <w:t xml:space="preserve">18.2</w:t>
            </w:r>
          </w:p>
        </w:tc>
        <w:tc>
          <w:tcPr/>
          <w:p>
            <w:pPr>
              <w:pStyle w:val="Compact"/>
              <w:jc w:val="left"/>
            </w:pPr>
            <w:r>
              <w:t xml:space="preserve">MPS</w:t>
            </w:r>
          </w:p>
        </w:tc>
        <w:tc>
          <w:tcPr/>
          <w:p>
            <w:pPr>
              <w:pStyle w:val="Compact"/>
              <w:jc w:val="left"/>
            </w:pPr>
            <w:r>
              <w:t xml:space="preserve">3.2 GB</w:t>
            </w:r>
          </w:p>
        </w:tc>
      </w:tr>
      <w:tr>
        <w:tc>
          <w:tcPr/>
          <w:p>
            <w:pPr>
              <w:pStyle w:val="Compact"/>
              <w:jc w:val="left"/>
            </w:pPr>
            <w:r>
              <w:t xml:space="preserve">TCN Training (100 ep)</w:t>
            </w:r>
          </w:p>
        </w:tc>
        <w:tc>
          <w:tcPr/>
          <w:p>
            <w:pPr>
              <w:pStyle w:val="Compact"/>
              <w:jc w:val="left"/>
            </w:pPr>
            <w:r>
              <w:t xml:space="preserve">12.4</w:t>
            </w:r>
          </w:p>
        </w:tc>
        <w:tc>
          <w:tcPr/>
          <w:p>
            <w:pPr>
              <w:pStyle w:val="Compact"/>
              <w:jc w:val="left"/>
            </w:pPr>
            <w:r>
              <w:t xml:space="preserve">MPS</w:t>
            </w:r>
          </w:p>
        </w:tc>
        <w:tc>
          <w:tcPr/>
          <w:p>
            <w:pPr>
              <w:pStyle w:val="Compact"/>
              <w:jc w:val="left"/>
            </w:pPr>
            <w:r>
              <w:t xml:space="preserve">2.8 GB</w:t>
            </w:r>
          </w:p>
        </w:tc>
      </w:tr>
      <w:tr>
        <w:tc>
          <w:tcPr/>
          <w:p>
            <w:pPr>
              <w:pStyle w:val="Compact"/>
              <w:jc w:val="left"/>
            </w:pPr>
            <w:r>
              <w:t xml:space="preserve">Optuna Tuning (50 trials)</w:t>
            </w:r>
          </w:p>
        </w:tc>
        <w:tc>
          <w:tcPr/>
          <w:p>
            <w:pPr>
              <w:pStyle w:val="Compact"/>
              <w:jc w:val="left"/>
            </w:pPr>
            <w:r>
              <w:t xml:space="preserve">45.6</w:t>
            </w:r>
          </w:p>
        </w:tc>
        <w:tc>
          <w:tcPr/>
          <w:p>
            <w:pPr>
              <w:pStyle w:val="Compact"/>
              <w:jc w:val="left"/>
            </w:pPr>
            <w:r>
              <w:t xml:space="preserve">CPU</w:t>
            </w:r>
          </w:p>
        </w:tc>
        <w:tc>
          <w:tcPr/>
          <w:p>
            <w:pPr>
              <w:pStyle w:val="Compact"/>
              <w:jc w:val="left"/>
            </w:pPr>
            <w:r>
              <w:t xml:space="preserve">2.1 GB</w:t>
            </w:r>
          </w:p>
        </w:tc>
      </w:tr>
      <w:tr>
        <w:tc>
          <w:tcPr/>
          <w:p>
            <w:pPr>
              <w:pStyle w:val="Compact"/>
              <w:jc w:val="left"/>
            </w:pPr>
            <w:r>
              <w:t xml:space="preserve">Conformal Calibration</w:t>
            </w:r>
          </w:p>
        </w:tc>
        <w:tc>
          <w:tcPr/>
          <w:p>
            <w:pPr>
              <w:pStyle w:val="Compact"/>
              <w:jc w:val="left"/>
            </w:pPr>
            <w:r>
              <w:t xml:space="preserve">0.8</w:t>
            </w:r>
          </w:p>
        </w:tc>
        <w:tc>
          <w:tcPr/>
          <w:p>
            <w:pPr>
              <w:pStyle w:val="Compact"/>
              <w:jc w:val="left"/>
            </w:pPr>
            <w:r>
              <w:t xml:space="preserve">CPU</w:t>
            </w:r>
          </w:p>
        </w:tc>
        <w:tc>
          <w:tcPr/>
          <w:p>
            <w:pPr>
              <w:pStyle w:val="Compact"/>
              <w:jc w:val="left"/>
            </w:pPr>
            <w:r>
              <w:t xml:space="preserve">1.0 GB</w:t>
            </w:r>
          </w:p>
        </w:tc>
      </w:tr>
      <w:tr>
        <w:tc>
          <w:tcPr/>
          <w:p>
            <w:pPr>
              <w:pStyle w:val="Compact"/>
              <w:jc w:val="left"/>
            </w:pPr>
            <w:r>
              <w:rPr>
                <w:b/>
                <w:bCs/>
              </w:rPr>
              <w:t xml:space="preserve">Total Pipeline</w:t>
            </w:r>
          </w:p>
        </w:tc>
        <w:tc>
          <w:tcPr/>
          <w:p>
            <w:pPr>
              <w:pStyle w:val="Compact"/>
              <w:jc w:val="left"/>
            </w:pPr>
            <w:r>
              <w:rPr>
                <w:b/>
                <w:bCs/>
              </w:rPr>
              <w:t xml:space="preserve"> 90</w:t>
            </w:r>
          </w:p>
        </w:tc>
        <w:tc>
          <w:tcPr/>
          <w:p>
            <w:pPr>
              <w:pStyle w:val="Compact"/>
              <w:jc w:val="left"/>
            </w:pPr>
            <w:r>
              <w:t xml:space="preserve">–</w:t>
            </w:r>
          </w:p>
        </w:tc>
        <w:tc>
          <w:tcPr/>
          <w:p>
            <w:pPr>
              <w:pStyle w:val="Compact"/>
              <w:jc w:val="left"/>
            </w:pPr>
            <w:r>
              <w:rPr>
                <w:b/>
                <w:bCs/>
              </w:rPr>
              <w:t xml:space="preserve">4.8 GB</w:t>
            </w:r>
          </w:p>
        </w:tc>
      </w:tr>
    </w:tbl>
    <w:bookmarkEnd w:id="117"/>
    <w:bookmarkEnd w:id="118"/>
    <w:bookmarkStart w:id="120" w:name="inference-latency"/>
    <w:p>
      <w:pPr>
        <w:pStyle w:val="Heading2"/>
      </w:pPr>
      <w:r>
        <w:t xml:space="preserve">Inference Latency</w:t>
      </w:r>
    </w:p>
    <w:bookmarkStart w:id="119" w:name="tab:h2"/>
    <w:p>
      <w:pPr>
        <w:pStyle w:val="TableCaption"/>
      </w:pPr>
      <w:r>
        <w:t xml:space="preserve">Inference Latency Benchmarks (1000 requests)</w:t>
      </w:r>
    </w:p>
    <w:tbl>
      <w:tblPr>
        <w:tblStyle w:val="Table"/>
        <w:tblW w:type="auto" w:w="0"/>
        <w:tblLook w:firstRow="1" w:lastRow="0" w:firstColumn="0" w:lastColumn="0" w:noHBand="0" w:noVBand="0" w:val="0020"/>
        <w:tblCaption w:val="Inference Latency Benchmarks (1000 requests)"/>
      </w:tblPr>
      <w:tblGrid>
        <w:gridCol w:w="1980"/>
        <w:gridCol w:w="1980"/>
        <w:gridCol w:w="1980"/>
        <w:gridCol w:w="1980"/>
      </w:tblGrid>
      <w:tr>
        <w:trPr>
          <w:tblHeader w:val="on"/>
        </w:trPr>
        <w:tc>
          <w:tcPr/>
          <w:p>
            <w:pPr>
              <w:pStyle w:val="Compact"/>
              <w:jc w:val="left"/>
            </w:pPr>
            <w:r>
              <w:t xml:space="preserve">Component</w:t>
            </w:r>
          </w:p>
        </w:tc>
        <w:tc>
          <w:tcPr/>
          <w:p>
            <w:pPr>
              <w:pStyle w:val="Compact"/>
              <w:jc w:val="left"/>
            </w:pPr>
            <w:r>
              <w:t xml:space="preserve">Latency (ms)</w:t>
            </w:r>
          </w:p>
        </w:tc>
        <w:tc>
          <w:tcPr/>
          <w:p>
            <w:pPr>
              <w:pStyle w:val="Compact"/>
              <w:jc w:val="left"/>
            </w:pPr>
            <w:r>
              <w:t xml:space="preserve">P50</w:t>
            </w:r>
          </w:p>
        </w:tc>
        <w:tc>
          <w:tcPr/>
          <w:p>
            <w:pPr>
              <w:pStyle w:val="Compact"/>
              <w:jc w:val="left"/>
            </w:pPr>
            <w:r>
              <w:t xml:space="preserve">P99</w:t>
            </w:r>
          </w:p>
        </w:tc>
      </w:tr>
      <w:tr>
        <w:tc>
          <w:tcPr/>
          <w:p>
            <w:pPr>
              <w:pStyle w:val="Compact"/>
              <w:jc w:val="left"/>
            </w:pPr>
            <w:r>
              <w:t xml:space="preserve">Feature Engineering</w:t>
            </w:r>
          </w:p>
        </w:tc>
        <w:tc>
          <w:tcPr/>
          <w:p>
            <w:pPr>
              <w:pStyle w:val="Compact"/>
              <w:jc w:val="left"/>
            </w:pPr>
            <w:r>
              <w:t xml:space="preserve">12.3</w:t>
            </w:r>
          </w:p>
        </w:tc>
        <w:tc>
          <w:tcPr/>
          <w:p>
            <w:pPr>
              <w:pStyle w:val="Compact"/>
              <w:jc w:val="left"/>
            </w:pPr>
            <w:r>
              <w:t xml:space="preserve">11.8</w:t>
            </w:r>
          </w:p>
        </w:tc>
        <w:tc>
          <w:tcPr/>
          <w:p>
            <w:pPr>
              <w:pStyle w:val="Compact"/>
              <w:jc w:val="left"/>
            </w:pPr>
            <w:r>
              <w:t xml:space="preserve">18.4</w:t>
            </w:r>
          </w:p>
        </w:tc>
      </w:tr>
      <w:tr>
        <w:tc>
          <w:tcPr/>
          <w:p>
            <w:pPr>
              <w:pStyle w:val="Compact"/>
              <w:jc w:val="left"/>
            </w:pPr>
            <w:r>
              <w:t xml:space="preserve">GBM Prediction</w:t>
            </w:r>
          </w:p>
        </w:tc>
        <w:tc>
          <w:tcPr/>
          <w:p>
            <w:pPr>
              <w:pStyle w:val="Compact"/>
              <w:jc w:val="left"/>
            </w:pPr>
            <w:r>
              <w:t xml:space="preserve">0.3</w:t>
            </w:r>
          </w:p>
        </w:tc>
        <w:tc>
          <w:tcPr/>
          <w:p>
            <w:pPr>
              <w:pStyle w:val="Compact"/>
              <w:jc w:val="left"/>
            </w:pPr>
            <w:r>
              <w:t xml:space="preserve">0.2</w:t>
            </w:r>
          </w:p>
        </w:tc>
        <w:tc>
          <w:tcPr/>
          <w:p>
            <w:pPr>
              <w:pStyle w:val="Compact"/>
              <w:jc w:val="left"/>
            </w:pPr>
            <w:r>
              <w:t xml:space="preserve">0.8</w:t>
            </w:r>
          </w:p>
        </w:tc>
      </w:tr>
      <w:tr>
        <w:tc>
          <w:tcPr/>
          <w:p>
            <w:pPr>
              <w:pStyle w:val="Compact"/>
              <w:jc w:val="left"/>
            </w:pPr>
            <w:r>
              <w:t xml:space="preserve">LSTM Prediction</w:t>
            </w:r>
          </w:p>
        </w:tc>
        <w:tc>
          <w:tcPr/>
          <w:p>
            <w:pPr>
              <w:pStyle w:val="Compact"/>
              <w:jc w:val="left"/>
            </w:pPr>
            <w:r>
              <w:t xml:space="preserve">2.1</w:t>
            </w:r>
          </w:p>
        </w:tc>
        <w:tc>
          <w:tcPr/>
          <w:p>
            <w:pPr>
              <w:pStyle w:val="Compact"/>
              <w:jc w:val="left"/>
            </w:pPr>
            <w:r>
              <w:t xml:space="preserve">1.9</w:t>
            </w:r>
          </w:p>
        </w:tc>
        <w:tc>
          <w:tcPr/>
          <w:p>
            <w:pPr>
              <w:pStyle w:val="Compact"/>
              <w:jc w:val="left"/>
            </w:pPr>
            <w:r>
              <w:t xml:space="preserve">4.2</w:t>
            </w:r>
          </w:p>
        </w:tc>
      </w:tr>
      <w:tr>
        <w:tc>
          <w:tcPr/>
          <w:p>
            <w:pPr>
              <w:pStyle w:val="Compact"/>
              <w:jc w:val="left"/>
            </w:pPr>
            <w:r>
              <w:t xml:space="preserve">Conformal Intervals</w:t>
            </w:r>
          </w:p>
        </w:tc>
        <w:tc>
          <w:tcPr/>
          <w:p>
            <w:pPr>
              <w:pStyle w:val="Compact"/>
              <w:jc w:val="left"/>
            </w:pPr>
            <w:r>
              <w:t xml:space="preserve">0.1</w:t>
            </w:r>
          </w:p>
        </w:tc>
        <w:tc>
          <w:tcPr/>
          <w:p>
            <w:pPr>
              <w:pStyle w:val="Compact"/>
              <w:jc w:val="left"/>
            </w:pPr>
            <w:r>
              <w:t xml:space="preserve">0.1</w:t>
            </w:r>
          </w:p>
        </w:tc>
        <w:tc>
          <w:tcPr/>
          <w:p>
            <w:pPr>
              <w:pStyle w:val="Compact"/>
              <w:jc w:val="left"/>
            </w:pPr>
            <w:r>
              <w:t xml:space="preserve">0.3</w:t>
            </w:r>
          </w:p>
        </w:tc>
      </w:tr>
      <w:tr>
        <w:tc>
          <w:tcPr/>
          <w:p>
            <w:pPr>
              <w:pStyle w:val="Compact"/>
              <w:jc w:val="left"/>
            </w:pPr>
            <w:r>
              <w:t xml:space="preserve">MILP Dispatch</w:t>
            </w:r>
          </w:p>
        </w:tc>
        <w:tc>
          <w:tcPr/>
          <w:p>
            <w:pPr>
              <w:pStyle w:val="Compact"/>
              <w:jc w:val="left"/>
            </w:pPr>
            <w:r>
              <w:t xml:space="preserve">1.2</w:t>
            </w:r>
          </w:p>
        </w:tc>
        <w:tc>
          <w:tcPr/>
          <w:p>
            <w:pPr>
              <w:pStyle w:val="Compact"/>
              <w:jc w:val="left"/>
            </w:pPr>
            <w:r>
              <w:t xml:space="preserve">1.0</w:t>
            </w:r>
          </w:p>
        </w:tc>
        <w:tc>
          <w:tcPr/>
          <w:p>
            <w:pPr>
              <w:pStyle w:val="Compact"/>
              <w:jc w:val="left"/>
            </w:pPr>
            <w:r>
              <w:t xml:space="preserve">3.5</w:t>
            </w:r>
          </w:p>
        </w:tc>
      </w:tr>
      <w:tr>
        <w:tc>
          <w:tcPr/>
          <w:p>
            <w:pPr>
              <w:pStyle w:val="Compact"/>
              <w:jc w:val="left"/>
            </w:pPr>
            <w:r>
              <w:rPr>
                <w:b/>
                <w:bCs/>
              </w:rPr>
              <w:t xml:space="preserve">End-to-End</w:t>
            </w:r>
          </w:p>
        </w:tc>
        <w:tc>
          <w:tcPr/>
          <w:p>
            <w:pPr>
              <w:pStyle w:val="Compact"/>
              <w:jc w:val="left"/>
            </w:pPr>
            <w:r>
              <w:rPr>
                <w:b/>
                <w:bCs/>
              </w:rPr>
              <w:t xml:space="preserve">&lt; 15</w:t>
            </w:r>
          </w:p>
        </w:tc>
        <w:tc>
          <w:tcPr/>
          <w:p>
            <w:pPr>
              <w:pStyle w:val="Compact"/>
              <w:jc w:val="left"/>
            </w:pPr>
            <w:r>
              <w:rPr>
                <w:b/>
                <w:bCs/>
              </w:rPr>
              <w:t xml:space="preserve">13.2</w:t>
            </w:r>
          </w:p>
        </w:tc>
        <w:tc>
          <w:tcPr/>
          <w:p>
            <w:pPr>
              <w:pStyle w:val="Compact"/>
              <w:jc w:val="left"/>
            </w:pPr>
            <w:r>
              <w:rPr>
                <w:b/>
                <w:bCs/>
              </w:rPr>
              <w:t xml:space="preserve">22.1</w:t>
            </w:r>
          </w:p>
        </w:tc>
      </w:tr>
    </w:tbl>
    <w:bookmarkEnd w:id="119"/>
    <w:bookmarkEnd w:id="120"/>
    <w:bookmarkEnd w:id="121"/>
    <w:bookmarkStart w:id="128" w:name="regional-comparison-germany-vs-usa"/>
    <w:p>
      <w:pPr>
        <w:pStyle w:val="Heading1"/>
      </w:pPr>
      <w:r>
        <w:t xml:space="preserve">Regional Comparison (Germany vs USA)</w:t>
      </w:r>
    </w:p>
    <w:bookmarkStart w:id="123" w:name="forecasting-performance-by-region"/>
    <w:p>
      <w:pPr>
        <w:pStyle w:val="Heading2"/>
      </w:pPr>
      <w:r>
        <w:t xml:space="preserve">Forecasting Performance by Region</w:t>
      </w:r>
    </w:p>
    <w:bookmarkStart w:id="122" w:name="tab:i1"/>
    <w:p>
      <w:pPr>
        <w:pStyle w:val="TableCaption"/>
      </w:pPr>
      <w:r>
        <w:t xml:space="preserve">Regional Forecasting Performance Comparison</w:t>
      </w:r>
    </w:p>
    <w:tbl>
      <w:tblPr>
        <w:tblStyle w:val="Table"/>
        <w:tblW w:type="auto" w:w="0"/>
        <w:tblLook w:firstRow="1" w:lastRow="0" w:firstColumn="0" w:lastColumn="0" w:noHBand="0" w:noVBand="0" w:val="0020"/>
        <w:tblCaption w:val="Regional Forecasting Performance Comparison"/>
      </w:tblPr>
      <w:tblGrid>
        <w:gridCol w:w="1584"/>
        <w:gridCol w:w="1584"/>
        <w:gridCol w:w="1584"/>
        <w:gridCol w:w="1584"/>
        <w:gridCol w:w="1584"/>
      </w:tblGrid>
      <w:tr>
        <w:trPr>
          <w:tblHeader w:val="on"/>
        </w:trPr>
        <w:tc>
          <w:tcPr/>
          <w:p>
            <w:pPr>
              <w:pStyle w:val="Compact"/>
              <w:jc w:val="left"/>
            </w:pPr>
            <w:r>
              <w:t xml:space="preserve">Target</w:t>
            </w:r>
          </w:p>
        </w:tc>
        <w:tc>
          <w:tcPr/>
          <w:p>
            <w:pPr>
              <w:pStyle w:val="Compact"/>
              <w:jc w:val="left"/>
            </w:pPr>
            <w:r>
              <w:t xml:space="preserve">Metric</w:t>
            </w:r>
          </w:p>
        </w:tc>
        <w:tc>
          <w:tcPr/>
          <w:p>
            <w:pPr>
              <w:pStyle w:val="Compact"/>
              <w:jc w:val="left"/>
            </w:pPr>
            <w:r>
              <w:t xml:space="preserve">Germany (OPSD)</w:t>
            </w:r>
          </w:p>
        </w:tc>
        <w:tc>
          <w:tcPr/>
          <w:p>
            <w:pPr>
              <w:pStyle w:val="Compact"/>
              <w:jc w:val="left"/>
            </w:pPr>
            <w:r>
              <w:t xml:space="preserve">USA (EIA-930)</w:t>
            </w:r>
          </w:p>
        </w:tc>
        <w:tc>
          <w:tcPr/>
          <w:p>
            <w:pPr>
              <w:pStyle w:val="Compact"/>
              <w:jc w:val="left"/>
            </w:pPr>
            <m:oMath>
              <m:r>
                <m:rPr>
                  <m:sty m:val="p"/>
                </m:rPr>
                <m:t>Δ</m:t>
              </m:r>
            </m:oMath>
            <w:r>
              <w:t xml:space="preserve"> </w:t>
            </w:r>
            <w:r>
              <w:t xml:space="preserve">Relative</w:t>
            </w:r>
          </w:p>
        </w:tc>
      </w:tr>
      <w:tr>
        <w:tc>
          <w:tcPr/>
          <w:p>
            <w:pPr>
              <w:pStyle w:val="Compact"/>
              <w:jc w:val="left"/>
            </w:pPr>
            <w:r>
              <w:rPr>
                <w:b/>
                <w:bCs/>
              </w:rPr>
              <w:t xml:space="preserve">Load</w:t>
            </w:r>
          </w:p>
        </w:tc>
        <w:tc>
          <w:tcPr/>
          <w:p>
            <w:pPr>
              <w:pStyle w:val="Compact"/>
              <w:jc w:val="left"/>
            </w:pPr>
            <w:r>
              <w:t xml:space="preserve">RMSE (MW)</w:t>
            </w:r>
          </w:p>
        </w:tc>
        <w:tc>
          <w:tcPr/>
          <w:p>
            <w:pPr>
              <w:pStyle w:val="Compact"/>
              <w:jc w:val="left"/>
            </w:pPr>
            <w:r>
              <w:t xml:space="preserve">271.2</w:t>
            </w:r>
          </w:p>
        </w:tc>
        <w:tc>
          <w:tcPr/>
          <w:p>
            <w:pPr>
              <w:pStyle w:val="Compact"/>
              <w:jc w:val="left"/>
            </w:pPr>
            <w:r>
              <w:t xml:space="preserve">1,847.3</w:t>
            </w:r>
          </w:p>
        </w:tc>
        <w:tc>
          <w:tcPr/>
          <w:p>
            <w:pPr>
              <w:pStyle w:val="Compact"/>
              <w:jc w:val="left"/>
            </w:pPr>
            <w:r>
              <w:t xml:space="preserve">–</w:t>
            </w:r>
          </w:p>
        </w:tc>
      </w:tr>
      <w:tr>
        <w:tc>
          <w:tcPr/>
          <w:p>
            <w:pPr>
              <w:pStyle w:val="Compact"/>
            </w:pPr>
          </w:p>
        </w:tc>
        <w:tc>
          <w:tcPr/>
          <w:p>
            <w:pPr>
              <w:pStyle w:val="Compact"/>
              <w:jc w:val="left"/>
            </w:pPr>
            <w:r>
              <w:t xml:space="preserve">MAE (MW)</w:t>
            </w:r>
          </w:p>
        </w:tc>
        <w:tc>
          <w:tcPr/>
          <w:p>
            <w:pPr>
              <w:pStyle w:val="Compact"/>
              <w:jc w:val="left"/>
            </w:pPr>
            <w:r>
              <w:t xml:space="preserve">191.3</w:t>
            </w:r>
          </w:p>
        </w:tc>
        <w:tc>
          <w:tcPr/>
          <w:p>
            <w:pPr>
              <w:pStyle w:val="Compact"/>
              <w:jc w:val="left"/>
            </w:pPr>
            <w:r>
              <w:t xml:space="preserve">1,312.5</w:t>
            </w:r>
          </w:p>
        </w:tc>
        <w:tc>
          <w:tcPr/>
          <w:p>
            <w:pPr>
              <w:pStyle w:val="Compact"/>
              <w:jc w:val="left"/>
            </w:pPr>
            <w:r>
              <w:t xml:space="preserve">–</w:t>
            </w:r>
          </w:p>
        </w:tc>
      </w:tr>
      <w:tr>
        <w:tc>
          <w:tcPr/>
          <w:p>
            <w:pPr>
              <w:pStyle w:val="Compact"/>
            </w:pPr>
          </w:p>
        </w:tc>
        <w:tc>
          <w:tcPr/>
          <w:p>
            <w:pPr>
              <w:pStyle w:val="Compact"/>
              <w:jc w:val="left"/>
            </w:pPr>
            <w:r>
              <w:t xml:space="preserve">MAPE (%)</w:t>
            </w:r>
          </w:p>
        </w:tc>
        <w:tc>
          <w:tcPr/>
          <w:p>
            <w:pPr>
              <w:pStyle w:val="Compact"/>
              <w:jc w:val="left"/>
            </w:pPr>
            <w:r>
              <w:t xml:space="preserve">0.47%</w:t>
            </w:r>
          </w:p>
        </w:tc>
        <w:tc>
          <w:tcPr/>
          <w:p>
            <w:pPr>
              <w:pStyle w:val="Compact"/>
              <w:jc w:val="left"/>
            </w:pPr>
            <w:r>
              <w:t xml:space="preserve">1.23%</w:t>
            </w:r>
          </w:p>
        </w:tc>
        <w:tc>
          <w:tcPr/>
          <w:p>
            <w:pPr>
              <w:pStyle w:val="Compact"/>
              <w:jc w:val="left"/>
            </w:pPr>
            <w:r>
              <w:t xml:space="preserve">+162%</w:t>
            </w:r>
          </w:p>
        </w:tc>
      </w:tr>
      <w:tr>
        <w:tc>
          <w:tcPr/>
          <w:p>
            <w:pPr>
              <w:pStyle w:val="Compact"/>
            </w:pPr>
          </w:p>
        </w:tc>
        <w:tc>
          <w:tcPr/>
          <w:p>
            <w:pPr>
              <w:pStyle w:val="Compact"/>
              <w:jc w:val="left"/>
            </w:pPr>
            <w:r>
              <w:t xml:space="preserve">R</w:t>
            </w:r>
            <m:oMath>
              <m:sSup>
                <m:e>
                  <m:r>
                    <m:t>​</m:t>
                  </m:r>
                </m:e>
                <m:sup>
                  <m:r>
                    <m:t>2</m:t>
                  </m:r>
                </m:sup>
              </m:sSup>
            </m:oMath>
          </w:p>
        </w:tc>
        <w:tc>
          <w:tcPr/>
          <w:p>
            <w:pPr>
              <w:pStyle w:val="Compact"/>
              <w:jc w:val="left"/>
            </w:pPr>
            <w:r>
              <w:t xml:space="preserve">0.9991</w:t>
            </w:r>
          </w:p>
        </w:tc>
        <w:tc>
          <w:tcPr/>
          <w:p>
            <w:pPr>
              <w:pStyle w:val="Compact"/>
              <w:jc w:val="left"/>
            </w:pPr>
            <w:r>
              <w:t xml:space="preserve">0.9978</w:t>
            </w:r>
          </w:p>
        </w:tc>
        <w:tc>
          <w:tcPr/>
          <w:p>
            <w:pPr>
              <w:pStyle w:val="Compact"/>
              <w:jc w:val="left"/>
            </w:pPr>
            <w:r>
              <w:t xml:space="preserve">-0.13%</w:t>
            </w:r>
          </w:p>
        </w:tc>
      </w:tr>
      <w:tr>
        <w:tc>
          <w:tcPr/>
          <w:p>
            <w:pPr>
              <w:pStyle w:val="Compact"/>
              <w:jc w:val="left"/>
            </w:pPr>
            <w:r>
              <w:rPr>
                <w:b/>
                <w:bCs/>
              </w:rPr>
              <w:t xml:space="preserve">Wind</w:t>
            </w:r>
          </w:p>
        </w:tc>
        <w:tc>
          <w:tcPr/>
          <w:p>
            <w:pPr>
              <w:pStyle w:val="Compact"/>
              <w:jc w:val="left"/>
            </w:pPr>
            <w:r>
              <w:t xml:space="preserve">RMSE (MW)</w:t>
            </w:r>
          </w:p>
        </w:tc>
        <w:tc>
          <w:tcPr/>
          <w:p>
            <w:pPr>
              <w:pStyle w:val="Compact"/>
              <w:jc w:val="left"/>
            </w:pPr>
            <w:r>
              <w:t xml:space="preserve">127.1</w:t>
            </w:r>
          </w:p>
        </w:tc>
        <w:tc>
          <w:tcPr/>
          <w:p>
            <w:pPr>
              <w:pStyle w:val="Compact"/>
              <w:jc w:val="left"/>
            </w:pPr>
            <w:r>
              <w:t xml:space="preserve">892.4</w:t>
            </w:r>
          </w:p>
        </w:tc>
        <w:tc>
          <w:tcPr/>
          <w:p>
            <w:pPr>
              <w:pStyle w:val="Compact"/>
              <w:jc w:val="left"/>
            </w:pPr>
            <w:r>
              <w:t xml:space="preserve">–</w:t>
            </w:r>
          </w:p>
        </w:tc>
      </w:tr>
      <w:tr>
        <w:tc>
          <w:tcPr/>
          <w:p>
            <w:pPr>
              <w:pStyle w:val="Compact"/>
            </w:pPr>
          </w:p>
        </w:tc>
        <w:tc>
          <w:tcPr/>
          <w:p>
            <w:pPr>
              <w:pStyle w:val="Compact"/>
              <w:jc w:val="left"/>
            </w:pPr>
            <w:r>
              <w:t xml:space="preserve">MAE (MW)</w:t>
            </w:r>
          </w:p>
        </w:tc>
        <w:tc>
          <w:tcPr/>
          <w:p>
            <w:pPr>
              <w:pStyle w:val="Compact"/>
              <w:jc w:val="left"/>
            </w:pPr>
            <w:r>
              <w:t xml:space="preserve">89.4</w:t>
            </w:r>
          </w:p>
        </w:tc>
        <w:tc>
          <w:tcPr/>
          <w:p>
            <w:pPr>
              <w:pStyle w:val="Compact"/>
              <w:jc w:val="left"/>
            </w:pPr>
            <w:r>
              <w:t xml:space="preserve">634.2</w:t>
            </w:r>
          </w:p>
        </w:tc>
        <w:tc>
          <w:tcPr/>
          <w:p>
            <w:pPr>
              <w:pStyle w:val="Compact"/>
              <w:jc w:val="left"/>
            </w:pPr>
            <w:r>
              <w:t xml:space="preserve">–</w:t>
            </w:r>
          </w:p>
        </w:tc>
      </w:tr>
      <w:tr>
        <w:tc>
          <w:tcPr/>
          <w:p>
            <w:pPr>
              <w:pStyle w:val="Compact"/>
            </w:pPr>
          </w:p>
        </w:tc>
        <w:tc>
          <w:tcPr/>
          <w:p>
            <w:pPr>
              <w:pStyle w:val="Compact"/>
              <w:jc w:val="left"/>
            </w:pPr>
            <w:r>
              <w:t xml:space="preserve">MAPE (%)</w:t>
            </w:r>
          </w:p>
        </w:tc>
        <w:tc>
          <w:tcPr/>
          <w:p>
            <w:pPr>
              <w:pStyle w:val="Compact"/>
              <w:jc w:val="left"/>
            </w:pPr>
            <w:r>
              <w:t xml:space="preserve">2.31%</w:t>
            </w:r>
          </w:p>
        </w:tc>
        <w:tc>
          <w:tcPr/>
          <w:p>
            <w:pPr>
              <w:pStyle w:val="Compact"/>
              <w:jc w:val="left"/>
            </w:pPr>
            <w:r>
              <w:t xml:space="preserve">3.87%</w:t>
            </w:r>
          </w:p>
        </w:tc>
        <w:tc>
          <w:tcPr/>
          <w:p>
            <w:pPr>
              <w:pStyle w:val="Compact"/>
              <w:jc w:val="left"/>
            </w:pPr>
            <w:r>
              <w:t xml:space="preserve">+68%</w:t>
            </w:r>
          </w:p>
        </w:tc>
      </w:tr>
      <w:tr>
        <w:tc>
          <w:tcPr/>
          <w:p>
            <w:pPr>
              <w:pStyle w:val="Compact"/>
            </w:pPr>
          </w:p>
        </w:tc>
        <w:tc>
          <w:tcPr/>
          <w:p>
            <w:pPr>
              <w:pStyle w:val="Compact"/>
              <w:jc w:val="left"/>
            </w:pPr>
            <w:r>
              <w:t xml:space="preserve">R</w:t>
            </w:r>
            <m:oMath>
              <m:sSup>
                <m:e>
                  <m:r>
                    <m:t>​</m:t>
                  </m:r>
                </m:e>
                <m:sup>
                  <m:r>
                    <m:t>2</m:t>
                  </m:r>
                </m:sup>
              </m:sSup>
            </m:oMath>
          </w:p>
        </w:tc>
        <w:tc>
          <w:tcPr/>
          <w:p>
            <w:pPr>
              <w:pStyle w:val="Compact"/>
              <w:jc w:val="left"/>
            </w:pPr>
            <w:r>
              <w:t xml:space="preserve">0.9987</w:t>
            </w:r>
          </w:p>
        </w:tc>
        <w:tc>
          <w:tcPr/>
          <w:p>
            <w:pPr>
              <w:pStyle w:val="Compact"/>
              <w:jc w:val="left"/>
            </w:pPr>
            <w:r>
              <w:t xml:space="preserve">0.9962</w:t>
            </w:r>
          </w:p>
        </w:tc>
        <w:tc>
          <w:tcPr/>
          <w:p>
            <w:pPr>
              <w:pStyle w:val="Compact"/>
              <w:jc w:val="left"/>
            </w:pPr>
            <w:r>
              <w:t xml:space="preserve">-0.25%</w:t>
            </w:r>
          </w:p>
        </w:tc>
      </w:tr>
      <w:tr>
        <w:tc>
          <w:tcPr/>
          <w:p>
            <w:pPr>
              <w:pStyle w:val="Compact"/>
              <w:jc w:val="left"/>
            </w:pPr>
            <w:r>
              <w:rPr>
                <w:b/>
                <w:bCs/>
              </w:rPr>
              <w:t xml:space="preserve">Solar</w:t>
            </w:r>
          </w:p>
        </w:tc>
        <w:tc>
          <w:tcPr/>
          <w:p>
            <w:pPr>
              <w:pStyle w:val="Compact"/>
              <w:jc w:val="left"/>
            </w:pPr>
            <w:r>
              <w:t xml:space="preserve">RMSE (MW)</w:t>
            </w:r>
          </w:p>
        </w:tc>
        <w:tc>
          <w:tcPr/>
          <w:p>
            <w:pPr>
              <w:pStyle w:val="Compact"/>
              <w:jc w:val="left"/>
            </w:pPr>
            <w:r>
              <w:t xml:space="preserve">91.2</w:t>
            </w:r>
          </w:p>
        </w:tc>
        <w:tc>
          <w:tcPr/>
          <w:p>
            <w:pPr>
              <w:pStyle w:val="Compact"/>
              <w:jc w:val="left"/>
            </w:pPr>
            <w:r>
              <w:t xml:space="preserve">587.3</w:t>
            </w:r>
          </w:p>
        </w:tc>
        <w:tc>
          <w:tcPr/>
          <w:p>
            <w:pPr>
              <w:pStyle w:val="Compact"/>
              <w:jc w:val="left"/>
            </w:pPr>
            <w:r>
              <w:t xml:space="preserve">–</w:t>
            </w:r>
          </w:p>
        </w:tc>
      </w:tr>
      <w:tr>
        <w:tc>
          <w:tcPr/>
          <w:p>
            <w:pPr>
              <w:pStyle w:val="Compact"/>
            </w:pPr>
          </w:p>
        </w:tc>
        <w:tc>
          <w:tcPr/>
          <w:p>
            <w:pPr>
              <w:pStyle w:val="Compact"/>
              <w:jc w:val="left"/>
            </w:pPr>
            <w:r>
              <w:t xml:space="preserve">MAE (MW)</w:t>
            </w:r>
          </w:p>
        </w:tc>
        <w:tc>
          <w:tcPr/>
          <w:p>
            <w:pPr>
              <w:pStyle w:val="Compact"/>
              <w:jc w:val="left"/>
            </w:pPr>
            <w:r>
              <w:t xml:space="preserve">64.8</w:t>
            </w:r>
          </w:p>
        </w:tc>
        <w:tc>
          <w:tcPr/>
          <w:p>
            <w:pPr>
              <w:pStyle w:val="Compact"/>
              <w:jc w:val="left"/>
            </w:pPr>
            <w:r>
              <w:t xml:space="preserve">421.6</w:t>
            </w:r>
          </w:p>
        </w:tc>
        <w:tc>
          <w:tcPr/>
          <w:p>
            <w:pPr>
              <w:pStyle w:val="Compact"/>
              <w:jc w:val="left"/>
            </w:pPr>
            <w:r>
              <w:t xml:space="preserve">–</w:t>
            </w:r>
          </w:p>
        </w:tc>
      </w:tr>
      <w:tr>
        <w:tc>
          <w:tcPr/>
          <w:p>
            <w:pPr>
              <w:pStyle w:val="Compact"/>
            </w:pPr>
          </w:p>
        </w:tc>
        <w:tc>
          <w:tcPr/>
          <w:p>
            <w:pPr>
              <w:pStyle w:val="Compact"/>
              <w:jc w:val="left"/>
            </w:pPr>
            <w:r>
              <w:t xml:space="preserve">MAPE (%)</w:t>
            </w:r>
          </w:p>
        </w:tc>
        <w:tc>
          <w:tcPr/>
          <w:p>
            <w:pPr>
              <w:pStyle w:val="Compact"/>
              <w:jc w:val="left"/>
            </w:pPr>
            <w:r>
              <w:t xml:space="preserve">3.12%</w:t>
            </w:r>
          </w:p>
        </w:tc>
        <w:tc>
          <w:tcPr/>
          <w:p>
            <w:pPr>
              <w:pStyle w:val="Compact"/>
              <w:jc w:val="left"/>
            </w:pPr>
            <w:r>
              <w:t xml:space="preserve">4.56%</w:t>
            </w:r>
          </w:p>
        </w:tc>
        <w:tc>
          <w:tcPr/>
          <w:p>
            <w:pPr>
              <w:pStyle w:val="Compact"/>
              <w:jc w:val="left"/>
            </w:pPr>
            <w:r>
              <w:t xml:space="preserve">+46%</w:t>
            </w:r>
          </w:p>
        </w:tc>
      </w:tr>
      <w:tr>
        <w:tc>
          <w:tcPr/>
          <w:p>
            <w:pPr>
              <w:pStyle w:val="Compact"/>
            </w:pPr>
          </w:p>
        </w:tc>
        <w:tc>
          <w:tcPr/>
          <w:p>
            <w:pPr>
              <w:pStyle w:val="Compact"/>
              <w:jc w:val="left"/>
            </w:pPr>
            <w:r>
              <w:t xml:space="preserve">R</w:t>
            </w:r>
            <m:oMath>
              <m:sSup>
                <m:e>
                  <m:r>
                    <m:t>​</m:t>
                  </m:r>
                </m:e>
                <m:sup>
                  <m:r>
                    <m:t>2</m:t>
                  </m:r>
                </m:sup>
              </m:sSup>
            </m:oMath>
          </w:p>
        </w:tc>
        <w:tc>
          <w:tcPr/>
          <w:p>
            <w:pPr>
              <w:pStyle w:val="Compact"/>
              <w:jc w:val="left"/>
            </w:pPr>
            <w:r>
              <w:t xml:space="preserve">0.9984</w:t>
            </w:r>
          </w:p>
        </w:tc>
        <w:tc>
          <w:tcPr/>
          <w:p>
            <w:pPr>
              <w:pStyle w:val="Compact"/>
              <w:jc w:val="left"/>
            </w:pPr>
            <w:r>
              <w:t xml:space="preserve">0.9958</w:t>
            </w:r>
          </w:p>
        </w:tc>
        <w:tc>
          <w:tcPr/>
          <w:p>
            <w:pPr>
              <w:pStyle w:val="Compact"/>
              <w:jc w:val="left"/>
            </w:pPr>
            <w:r>
              <w:t xml:space="preserve">-0.26%</w:t>
            </w:r>
          </w:p>
        </w:tc>
      </w:tr>
    </w:tbl>
    <w:bookmarkEnd w:id="122"/>
    <w:p>
      <w:pPr>
        <w:pStyle w:val="BodyText"/>
      </w:pPr>
      <w:r>
        <w:t xml:space="preserve">Note: Absolute RMSE differs due to grid scale (DE: about 50 GW peak, US-MISO: about 120 GW peak). Normalized metrics (MAPE,</w:t>
      </w:r>
      <w:r>
        <w:t xml:space="preserve"> </w:t>
      </w:r>
      <m:oMath>
        <m:sSup>
          <m:e>
            <m:r>
              <m:t>R</m:t>
            </m:r>
          </m:e>
          <m:sup>
            <m:r>
              <m:t>2</m:t>
            </m:r>
          </m:sup>
        </m:sSup>
      </m:oMath>
      <w:r>
        <w:t xml:space="preserve">) enable fair comparison.</w:t>
      </w:r>
    </w:p>
    <w:bookmarkEnd w:id="123"/>
    <w:bookmarkStart w:id="125" w:name="optimization-impact-by-region"/>
    <w:p>
      <w:pPr>
        <w:pStyle w:val="Heading2"/>
      </w:pPr>
      <w:r>
        <w:t xml:space="preserve">Optimization Impact by Region</w:t>
      </w:r>
    </w:p>
    <w:bookmarkStart w:id="124" w:name="tab:i2"/>
    <w:p>
      <w:pPr>
        <w:pStyle w:val="TableCaption"/>
      </w:pPr>
      <w:r>
        <w:t xml:space="preserve">Regional Optimization Impact Comparison</w:t>
      </w:r>
    </w:p>
    <w:tbl>
      <w:tblPr>
        <w:tblStyle w:val="Table"/>
        <w:tblW w:type="auto" w:w="0"/>
        <w:tblLook w:firstRow="1" w:lastRow="0" w:firstColumn="0" w:lastColumn="0" w:noHBand="0" w:noVBand="0" w:val="0020"/>
        <w:tblCaption w:val="Regional Optimization Impact Comparison"/>
      </w:tblPr>
      <w:tblGrid>
        <w:gridCol w:w="1980"/>
        <w:gridCol w:w="1980"/>
        <w:gridCol w:w="1980"/>
        <w:gridCol w:w="1980"/>
      </w:tblGrid>
      <w:tr>
        <w:trPr>
          <w:tblHeader w:val="on"/>
        </w:trPr>
        <w:tc>
          <w:tcPr/>
          <w:p>
            <w:pPr>
              <w:pStyle w:val="Compact"/>
              <w:jc w:val="left"/>
            </w:pPr>
            <w:r>
              <w:t xml:space="preserve">Metric</w:t>
            </w:r>
          </w:p>
        </w:tc>
        <w:tc>
          <w:tcPr/>
          <w:p>
            <w:pPr>
              <w:pStyle w:val="Compact"/>
              <w:jc w:val="left"/>
            </w:pPr>
            <w:r>
              <w:t xml:space="preserve">Germany</w:t>
            </w:r>
          </w:p>
        </w:tc>
        <w:tc>
          <w:tcPr/>
          <w:p>
            <w:pPr>
              <w:pStyle w:val="Compact"/>
              <w:jc w:val="left"/>
            </w:pPr>
            <w:r>
              <w:t xml:space="preserve">USA (MISO)</w:t>
            </w:r>
          </w:p>
        </w:tc>
        <w:tc>
          <w:tcPr/>
          <w:p>
            <w:pPr>
              <w:pStyle w:val="Compact"/>
              <w:jc w:val="left"/>
            </w:pPr>
            <w:r>
              <w:t xml:space="preserve">Notes</w:t>
            </w:r>
          </w:p>
        </w:tc>
      </w:tr>
      <w:tr>
        <w:tc>
          <w:tcPr/>
          <w:p>
            <w:pPr>
              <w:pStyle w:val="Compact"/>
              <w:jc w:val="left"/>
            </w:pPr>
            <w:r>
              <w:t xml:space="preserve">Baseline Cost ($/week)</w:t>
            </w:r>
          </w:p>
        </w:tc>
        <w:tc>
          <w:tcPr/>
          <w:p>
            <w:pPr>
              <w:pStyle w:val="Compact"/>
              <w:jc w:val="left"/>
            </w:pPr>
            <w:r>
              <w:t xml:space="preserve">$154.8M</w:t>
            </w:r>
          </w:p>
        </w:tc>
        <w:tc>
          <w:tcPr/>
          <w:p>
            <w:pPr>
              <w:pStyle w:val="Compact"/>
              <w:jc w:val="left"/>
            </w:pPr>
            <w:r>
              <w:t xml:space="preserve">$312.4M</w:t>
            </w:r>
          </w:p>
        </w:tc>
        <w:tc>
          <w:tcPr/>
          <w:p>
            <w:pPr>
              <w:pStyle w:val="Compact"/>
              <w:jc w:val="left"/>
            </w:pPr>
            <w:r>
              <w:t xml:space="preserve">Grid scale difference</w:t>
            </w:r>
          </w:p>
        </w:tc>
      </w:tr>
      <w:tr>
        <w:tc>
          <w:tcPr/>
          <w:p>
            <w:pPr>
              <w:pStyle w:val="Compact"/>
              <w:jc w:val="left"/>
            </w:pPr>
            <w:r>
              <w:t xml:space="preserve">Optimized Cost ($/week)</w:t>
            </w:r>
          </w:p>
        </w:tc>
        <w:tc>
          <w:tcPr/>
          <w:p>
            <w:pPr>
              <w:pStyle w:val="Compact"/>
              <w:jc w:val="left"/>
            </w:pPr>
            <w:r>
              <w:t xml:space="preserve">$150.3M</w:t>
            </w:r>
          </w:p>
        </w:tc>
        <w:tc>
          <w:tcPr/>
          <w:p>
            <w:pPr>
              <w:pStyle w:val="Compact"/>
              <w:jc w:val="left"/>
            </w:pPr>
            <w:r>
              <w:t xml:space="preserve">$303.4M</w:t>
            </w:r>
          </w:p>
        </w:tc>
        <w:tc>
          <w:tcPr/>
          <w:p>
            <w:pPr>
              <w:pStyle w:val="Compact"/>
              <w:jc w:val="left"/>
            </w:pPr>
            <w:r>
              <w:t xml:space="preserve">–</w:t>
            </w:r>
          </w:p>
        </w:tc>
      </w:tr>
      <w:tr>
        <w:tc>
          <w:tcPr/>
          <w:p>
            <w:pPr>
              <w:pStyle w:val="Compact"/>
              <w:jc w:val="left"/>
            </w:pPr>
            <w:r>
              <w:rPr>
                <w:b/>
                <w:bCs/>
              </w:rPr>
              <w:t xml:space="preserve">Cost Savings (%)</w:t>
            </w:r>
          </w:p>
        </w:tc>
        <w:tc>
          <w:tcPr/>
          <w:p>
            <w:pPr>
              <w:pStyle w:val="Compact"/>
              <w:jc w:val="left"/>
            </w:pPr>
            <w:r>
              <w:rPr>
                <w:b/>
                <w:bCs/>
              </w:rPr>
              <w:t xml:space="preserve">2.89%</w:t>
            </w:r>
          </w:p>
        </w:tc>
        <w:tc>
          <w:tcPr/>
          <w:p>
            <w:pPr>
              <w:pStyle w:val="Compact"/>
              <w:jc w:val="left"/>
            </w:pPr>
            <w:r>
              <w:rPr>
                <w:b/>
                <w:bCs/>
              </w:rPr>
              <w:t xml:space="preserve">2.88%</w:t>
            </w:r>
          </w:p>
        </w:tc>
        <w:tc>
          <w:tcPr/>
          <w:p>
            <w:pPr>
              <w:pStyle w:val="Compact"/>
              <w:jc w:val="left"/>
            </w:pPr>
            <w:r>
              <w:t xml:space="preserve">Consistent</w:t>
            </w:r>
          </w:p>
        </w:tc>
      </w:tr>
      <w:tr>
        <w:tc>
          <w:tcPr/>
          <w:p>
            <w:pPr>
              <w:pStyle w:val="Compact"/>
              <w:jc w:val="left"/>
            </w:pPr>
            <w:r>
              <w:t xml:space="preserve">Baseline Carbon (kg/week)</w:t>
            </w:r>
          </w:p>
        </w:tc>
        <w:tc>
          <w:tcPr/>
          <w:p>
            <w:pPr>
              <w:pStyle w:val="Compact"/>
              <w:jc w:val="left"/>
            </w:pPr>
            <w:r>
              <w:t xml:space="preserve">1,472.3M</w:t>
            </w:r>
          </w:p>
        </w:tc>
        <w:tc>
          <w:tcPr/>
          <w:p>
            <w:pPr>
              <w:pStyle w:val="Compact"/>
              <w:jc w:val="left"/>
            </w:pPr>
            <w:r>
              <w:t xml:space="preserve">2,834.6M</w:t>
            </w:r>
          </w:p>
        </w:tc>
        <w:tc>
          <w:tcPr/>
          <w:p>
            <w:pPr>
              <w:pStyle w:val="Compact"/>
              <w:jc w:val="left"/>
            </w:pPr>
            <w:r>
              <w:t xml:space="preserve">Higher US coal mix</w:t>
            </w:r>
          </w:p>
        </w:tc>
      </w:tr>
      <w:tr>
        <w:tc>
          <w:tcPr/>
          <w:p>
            <w:pPr>
              <w:pStyle w:val="Compact"/>
              <w:jc w:val="left"/>
            </w:pPr>
            <w:r>
              <w:t xml:space="preserve">Optimized Carbon (kg/week)</w:t>
            </w:r>
          </w:p>
        </w:tc>
        <w:tc>
          <w:tcPr/>
          <w:p>
            <w:pPr>
              <w:pStyle w:val="Compact"/>
              <w:jc w:val="left"/>
            </w:pPr>
            <w:r>
              <w:t xml:space="preserve">1,463.8M</w:t>
            </w:r>
          </w:p>
        </w:tc>
        <w:tc>
          <w:tcPr/>
          <w:p>
            <w:pPr>
              <w:pStyle w:val="Compact"/>
              <w:jc w:val="left"/>
            </w:pPr>
            <w:r>
              <w:t xml:space="preserve">2,818.2M</w:t>
            </w:r>
          </w:p>
        </w:tc>
        <w:tc>
          <w:tcPr/>
          <w:p>
            <w:pPr>
              <w:pStyle w:val="Compact"/>
              <w:jc w:val="left"/>
            </w:pPr>
            <w:r>
              <w:t xml:space="preserve">–</w:t>
            </w:r>
          </w:p>
        </w:tc>
      </w:tr>
      <w:tr>
        <w:tc>
          <w:tcPr/>
          <w:p>
            <w:pPr>
              <w:pStyle w:val="Compact"/>
              <w:jc w:val="left"/>
            </w:pPr>
            <w:r>
              <w:rPr>
                <w:b/>
                <w:bCs/>
              </w:rPr>
              <w:t xml:space="preserve">Carbon Reduction (%)</w:t>
            </w:r>
          </w:p>
        </w:tc>
        <w:tc>
          <w:tcPr/>
          <w:p>
            <w:pPr>
              <w:pStyle w:val="Compact"/>
              <w:jc w:val="left"/>
            </w:pPr>
            <w:r>
              <w:rPr>
                <w:b/>
                <w:bCs/>
              </w:rPr>
              <w:t xml:space="preserve">0.58%</w:t>
            </w:r>
          </w:p>
        </w:tc>
        <w:tc>
          <w:tcPr/>
          <w:p>
            <w:pPr>
              <w:pStyle w:val="Compact"/>
              <w:jc w:val="left"/>
            </w:pPr>
            <w:r>
              <w:rPr>
                <w:b/>
                <w:bCs/>
              </w:rPr>
              <w:t xml:space="preserve">0.58%</w:t>
            </w:r>
          </w:p>
        </w:tc>
        <w:tc>
          <w:tcPr/>
          <w:p>
            <w:pPr>
              <w:pStyle w:val="Compact"/>
              <w:jc w:val="left"/>
            </w:pPr>
            <w:r>
              <w:t xml:space="preserve">Consistent</w:t>
            </w:r>
          </w:p>
        </w:tc>
      </w:tr>
      <w:tr>
        <w:tc>
          <w:tcPr/>
          <w:p>
            <w:pPr>
              <w:pStyle w:val="Compact"/>
              <w:jc w:val="left"/>
            </w:pPr>
            <w:r>
              <w:t xml:space="preserve">Infeasibility Rate</w:t>
            </w:r>
          </w:p>
        </w:tc>
        <w:tc>
          <w:tcPr/>
          <w:p>
            <w:pPr>
              <w:pStyle w:val="Compact"/>
              <w:jc w:val="left"/>
            </w:pPr>
            <w:r>
              <w:t xml:space="preserve">0%</w:t>
            </w:r>
          </w:p>
        </w:tc>
        <w:tc>
          <w:tcPr/>
          <w:p>
            <w:pPr>
              <w:pStyle w:val="Compact"/>
              <w:jc w:val="left"/>
            </w:pPr>
            <w:r>
              <w:t xml:space="preserve">0%</w:t>
            </w:r>
          </w:p>
        </w:tc>
        <w:tc>
          <w:tcPr/>
          <w:p>
            <w:pPr>
              <w:pStyle w:val="Compact"/>
              <w:jc w:val="left"/>
            </w:pPr>
            <w:r>
              <w:t xml:space="preserve">–</w:t>
            </w:r>
          </w:p>
        </w:tc>
      </w:tr>
    </w:tbl>
    <w:bookmarkEnd w:id="124"/>
    <w:bookmarkEnd w:id="125"/>
    <w:bookmarkStart w:id="127" w:name="transfer-learning-results"/>
    <w:p>
      <w:pPr>
        <w:pStyle w:val="Heading2"/>
      </w:pPr>
      <w:r>
        <w:t xml:space="preserve">Transfer Learning Results</w:t>
      </w:r>
    </w:p>
    <w:bookmarkStart w:id="126" w:name="tab:i3"/>
    <w:p>
      <w:pPr>
        <w:pStyle w:val="TableCaption"/>
      </w:pPr>
      <w:r>
        <w:t xml:space="preserve">Transfer Learning Performance</w:t>
      </w:r>
    </w:p>
    <w:tbl>
      <w:tblPr>
        <w:tblStyle w:val="Table"/>
        <w:tblW w:type="auto" w:w="0"/>
        <w:tblLook w:firstRow="1" w:lastRow="0" w:firstColumn="0" w:lastColumn="0" w:noHBand="0" w:noVBand="0" w:val="0020"/>
        <w:tblCaption w:val="Transfer Learning Performance"/>
      </w:tblPr>
      <w:tblGrid>
        <w:gridCol w:w="1980"/>
        <w:gridCol w:w="1980"/>
        <w:gridCol w:w="1980"/>
        <w:gridCol w:w="1980"/>
      </w:tblGrid>
      <w:tr>
        <w:trPr>
          <w:tblHeader w:val="on"/>
        </w:trPr>
        <w:tc>
          <w:tcPr/>
          <w:p>
            <w:pPr>
              <w:pStyle w:val="Compact"/>
              <w:jc w:val="left"/>
            </w:pPr>
            <w:r>
              <w:t xml:space="preserve">Configuration</w:t>
            </w:r>
          </w:p>
        </w:tc>
        <w:tc>
          <w:tcPr/>
          <w:p>
            <w:pPr>
              <w:pStyle w:val="Compact"/>
              <w:jc w:val="left"/>
            </w:pPr>
            <w:r>
              <w:t xml:space="preserve">Load RMSE</w:t>
            </w:r>
          </w:p>
        </w:tc>
        <w:tc>
          <w:tcPr/>
          <w:p>
            <w:pPr>
              <w:pStyle w:val="Compact"/>
              <w:jc w:val="left"/>
            </w:pPr>
            <w:r>
              <w:t xml:space="preserve">Wind RMSE</w:t>
            </w:r>
          </w:p>
        </w:tc>
        <w:tc>
          <w:tcPr/>
          <w:p>
            <w:pPr>
              <w:pStyle w:val="Compact"/>
              <w:jc w:val="left"/>
            </w:pPr>
            <w:r>
              <w:t xml:space="preserve">Solar RMSE</w:t>
            </w:r>
          </w:p>
        </w:tc>
      </w:tr>
      <w:tr>
        <w:tc>
          <w:tcPr/>
          <w:p>
            <w:pPr>
              <w:pStyle w:val="Compact"/>
              <w:jc w:val="left"/>
            </w:pPr>
            <w:r>
              <w:t xml:space="preserve">DE</w:t>
            </w:r>
            <w:r>
              <w:t xml:space="preserve"> </w:t>
            </w:r>
            <m:oMath>
              <m:r>
                <m:rPr>
                  <m:sty m:val="p"/>
                </m:rPr>
                <m:t>→</m:t>
              </m:r>
            </m:oMath>
            <w:r>
              <w:t xml:space="preserve"> </w:t>
            </w:r>
            <w:r>
              <w:t xml:space="preserve">DE (baseline)</w:t>
            </w:r>
          </w:p>
        </w:tc>
        <w:tc>
          <w:tcPr/>
          <w:p>
            <w:pPr>
              <w:pStyle w:val="Compact"/>
              <w:jc w:val="left"/>
            </w:pPr>
            <w:r>
              <w:t xml:space="preserve">271.2</w:t>
            </w:r>
          </w:p>
        </w:tc>
        <w:tc>
          <w:tcPr/>
          <w:p>
            <w:pPr>
              <w:pStyle w:val="Compact"/>
              <w:jc w:val="left"/>
            </w:pPr>
            <w:r>
              <w:t xml:space="preserve">127.1</w:t>
            </w:r>
          </w:p>
        </w:tc>
        <w:tc>
          <w:tcPr/>
          <w:p>
            <w:pPr>
              <w:pStyle w:val="Compact"/>
              <w:jc w:val="left"/>
            </w:pPr>
            <w:r>
              <w:t xml:space="preserve">91.2</w:t>
            </w:r>
          </w:p>
        </w:tc>
      </w:tr>
      <w:tr>
        <w:tc>
          <w:tcPr/>
          <w:p>
            <w:pPr>
              <w:pStyle w:val="Compact"/>
              <w:jc w:val="left"/>
            </w:pPr>
            <w:r>
              <w:t xml:space="preserve">US</w:t>
            </w:r>
            <w:r>
              <w:t xml:space="preserve"> </w:t>
            </w:r>
            <m:oMath>
              <m:r>
                <m:rPr>
                  <m:sty m:val="p"/>
                </m:rPr>
                <m:t>→</m:t>
              </m:r>
            </m:oMath>
            <w:r>
              <w:t xml:space="preserve"> </w:t>
            </w:r>
            <w:r>
              <w:t xml:space="preserve">US (baseline)</w:t>
            </w:r>
          </w:p>
        </w:tc>
        <w:tc>
          <w:tcPr/>
          <w:p>
            <w:pPr>
              <w:pStyle w:val="Compact"/>
              <w:jc w:val="left"/>
            </w:pPr>
            <w:r>
              <w:t xml:space="preserve">1,847.3</w:t>
            </w:r>
          </w:p>
        </w:tc>
        <w:tc>
          <w:tcPr/>
          <w:p>
            <w:pPr>
              <w:pStyle w:val="Compact"/>
              <w:jc w:val="left"/>
            </w:pPr>
            <w:r>
              <w:t xml:space="preserve">892.4</w:t>
            </w:r>
          </w:p>
        </w:tc>
        <w:tc>
          <w:tcPr/>
          <w:p>
            <w:pPr>
              <w:pStyle w:val="Compact"/>
              <w:jc w:val="left"/>
            </w:pPr>
            <w:r>
              <w:t xml:space="preserve">587.3</w:t>
            </w:r>
          </w:p>
        </w:tc>
      </w:tr>
      <w:tr>
        <w:tc>
          <w:tcPr/>
          <w:p>
            <w:pPr>
              <w:pStyle w:val="Compact"/>
              <w:jc w:val="left"/>
            </w:pPr>
            <w:r>
              <w:t xml:space="preserve">DE</w:t>
            </w:r>
            <w:r>
              <w:t xml:space="preserve"> </w:t>
            </w:r>
            <m:oMath>
              <m:r>
                <m:rPr>
                  <m:sty m:val="p"/>
                </m:rPr>
                <m:t>→</m:t>
              </m:r>
            </m:oMath>
            <w:r>
              <w:t xml:space="preserve"> </w:t>
            </w:r>
            <w:r>
              <w:t xml:space="preserve">US (zero-shot)</w:t>
            </w:r>
          </w:p>
        </w:tc>
        <w:tc>
          <w:tcPr/>
          <w:p>
            <w:pPr>
              <w:pStyle w:val="Compact"/>
              <w:jc w:val="left"/>
            </w:pPr>
            <w:r>
              <w:t xml:space="preserve">2,456.8 (+33%)</w:t>
            </w:r>
          </w:p>
        </w:tc>
        <w:tc>
          <w:tcPr/>
          <w:p>
            <w:pPr>
              <w:pStyle w:val="Compact"/>
              <w:jc w:val="left"/>
            </w:pPr>
            <w:r>
              <w:t xml:space="preserve">1,245.6 (+40%)</w:t>
            </w:r>
          </w:p>
        </w:tc>
        <w:tc>
          <w:tcPr/>
          <w:p>
            <w:pPr>
              <w:pStyle w:val="Compact"/>
              <w:jc w:val="left"/>
            </w:pPr>
            <w:r>
              <w:t xml:space="preserve">812.4 (+38%)</w:t>
            </w:r>
          </w:p>
        </w:tc>
      </w:tr>
      <w:tr>
        <w:tc>
          <w:tcPr/>
          <w:p>
            <w:pPr>
              <w:pStyle w:val="Compact"/>
              <w:jc w:val="left"/>
            </w:pPr>
            <w:r>
              <w:t xml:space="preserve">DE</w:t>
            </w:r>
            <w:r>
              <w:t xml:space="preserve"> </w:t>
            </w:r>
            <m:oMath>
              <m:r>
                <m:rPr>
                  <m:sty m:val="p"/>
                </m:rPr>
                <m:t>→</m:t>
              </m:r>
            </m:oMath>
            <w:r>
              <w:t xml:space="preserve"> </w:t>
            </w:r>
            <w:r>
              <w:t xml:space="preserve">US (fine-tuned 1k samples)</w:t>
            </w:r>
          </w:p>
        </w:tc>
        <w:tc>
          <w:tcPr/>
          <w:p>
            <w:pPr>
              <w:pStyle w:val="Compact"/>
              <w:jc w:val="left"/>
            </w:pPr>
            <w:r>
              <w:t xml:space="preserve">1,923.4 (+4.1%)</w:t>
            </w:r>
          </w:p>
        </w:tc>
        <w:tc>
          <w:tcPr/>
          <w:p>
            <w:pPr>
              <w:pStyle w:val="Compact"/>
              <w:jc w:val="left"/>
            </w:pPr>
            <w:r>
              <w:t xml:space="preserve">934.7 (+4.7%)</w:t>
            </w:r>
          </w:p>
        </w:tc>
        <w:tc>
          <w:tcPr/>
          <w:p>
            <w:pPr>
              <w:pStyle w:val="Compact"/>
              <w:jc w:val="left"/>
            </w:pPr>
            <w:r>
              <w:t xml:space="preserve">615.2 (+4.8%)</w:t>
            </w:r>
          </w:p>
        </w:tc>
      </w:tr>
      <w:tr>
        <w:tc>
          <w:tcPr/>
          <w:p>
            <w:pPr>
              <w:pStyle w:val="Compact"/>
              <w:jc w:val="left"/>
            </w:pPr>
            <w:r>
              <w:t xml:space="preserve">DE</w:t>
            </w:r>
            <w:r>
              <w:t xml:space="preserve"> </w:t>
            </w:r>
            <m:oMath>
              <m:r>
                <m:rPr>
                  <m:sty m:val="p"/>
                </m:rPr>
                <m:t>→</m:t>
              </m:r>
            </m:oMath>
            <w:r>
              <w:t xml:space="preserve"> </w:t>
            </w:r>
            <w:r>
              <w:t xml:space="preserve">US (fine-tuned 5k samples)</w:t>
            </w:r>
          </w:p>
        </w:tc>
        <w:tc>
          <w:tcPr/>
          <w:p>
            <w:pPr>
              <w:pStyle w:val="Compact"/>
              <w:jc w:val="left"/>
            </w:pPr>
            <w:r>
              <w:t xml:space="preserve">1,862.1 (+0.8%)</w:t>
            </w:r>
          </w:p>
        </w:tc>
        <w:tc>
          <w:tcPr/>
          <w:p>
            <w:pPr>
              <w:pStyle w:val="Compact"/>
              <w:jc w:val="left"/>
            </w:pPr>
            <w:r>
              <w:t xml:space="preserve">901.3 (+1.0%)</w:t>
            </w:r>
          </w:p>
        </w:tc>
        <w:tc>
          <w:tcPr/>
          <w:p>
            <w:pPr>
              <w:pStyle w:val="Compact"/>
              <w:jc w:val="left"/>
            </w:pPr>
            <w:r>
              <w:t xml:space="preserve">592.8 (+0.9%)</w:t>
            </w:r>
          </w:p>
        </w:tc>
      </w:tr>
    </w:tbl>
    <w:bookmarkEnd w:id="126"/>
    <w:p>
      <w:pPr>
        <w:pStyle w:val="BodyText"/>
      </w:pPr>
      <w:r>
        <w:t xml:space="preserve">Finding: Fine-tuning with 5,000 local samples recovers more than 99% of native performance.</w:t>
      </w:r>
    </w:p>
    <w:bookmarkEnd w:id="127"/>
    <w:bookmarkEnd w:id="128"/>
    <w:bookmarkStart w:id="135" w:name="seasonal-performance-analysis"/>
    <w:p>
      <w:pPr>
        <w:pStyle w:val="Heading1"/>
      </w:pPr>
      <w:r>
        <w:t xml:space="preserve">Seasonal Performance Analysis</w:t>
      </w:r>
    </w:p>
    <w:bookmarkStart w:id="130" w:name="X899f058e9a005426bb4d6d049276d63a89a1b01"/>
    <w:p>
      <w:pPr>
        <w:pStyle w:val="Heading2"/>
      </w:pPr>
      <w:r>
        <w:t xml:space="preserve">Monthly Performance Breakdown (Germany, Load)</w:t>
      </w:r>
    </w:p>
    <w:bookmarkStart w:id="129" w:name="tab:j1"/>
    <w:p>
      <w:pPr>
        <w:pStyle w:val="TableCaption"/>
      </w:pPr>
      <w:r>
        <w:t xml:space="preserve">Monthly Load Forecasting Performance (Germany)</w:t>
      </w:r>
    </w:p>
    <w:tbl>
      <w:tblPr>
        <w:tblStyle w:val="Table"/>
        <w:tblW w:type="auto" w:w="0"/>
        <w:tblLook w:firstRow="1" w:lastRow="0" w:firstColumn="0" w:lastColumn="0" w:noHBand="0" w:noVBand="0" w:val="0020"/>
        <w:tblCaption w:val="Monthly Load Forecasting Performance (Germany)"/>
      </w:tblPr>
      <w:tblGrid>
        <w:gridCol w:w="1320"/>
        <w:gridCol w:w="1320"/>
        <w:gridCol w:w="1320"/>
        <w:gridCol w:w="1320"/>
        <w:gridCol w:w="1320"/>
        <w:gridCol w:w="1320"/>
      </w:tblGrid>
      <w:tr>
        <w:trPr>
          <w:tblHeader w:val="on"/>
        </w:trPr>
        <w:tc>
          <w:tcPr/>
          <w:p>
            <w:pPr>
              <w:pStyle w:val="Compact"/>
              <w:jc w:val="left"/>
            </w:pPr>
            <w:r>
              <w:t xml:space="preserve">Month</w:t>
            </w:r>
          </w:p>
        </w:tc>
        <w:tc>
          <w:tcPr/>
          <w:p>
            <w:pPr>
              <w:pStyle w:val="Compact"/>
              <w:jc w:val="left"/>
            </w:pPr>
            <w:r>
              <w:t xml:space="preserve">RMSE</w:t>
            </w:r>
          </w:p>
        </w:tc>
        <w:tc>
          <w:tcPr/>
          <w:p>
            <w:pPr>
              <w:pStyle w:val="Compact"/>
              <w:jc w:val="left"/>
            </w:pPr>
            <w:r>
              <w:t xml:space="preserve">MAE</w:t>
            </w:r>
          </w:p>
        </w:tc>
        <w:tc>
          <w:tcPr/>
          <w:p>
            <w:pPr>
              <w:pStyle w:val="Compact"/>
              <w:jc w:val="left"/>
            </w:pPr>
            <w:r>
              <w:t xml:space="preserve">MAPE</w:t>
            </w:r>
          </w:p>
        </w:tc>
        <w:tc>
          <w:tcPr/>
          <w:p>
            <w:pPr>
              <w:pStyle w:val="Compact"/>
              <w:jc w:val="left"/>
            </w:pPr>
            <w:r>
              <w:t xml:space="preserve">Avg Load (MW)</w:t>
            </w:r>
          </w:p>
        </w:tc>
        <w:tc>
          <w:tcPr/>
          <w:p>
            <w:pPr>
              <w:pStyle w:val="Compact"/>
              <w:jc w:val="left"/>
            </w:pPr>
            <w:r>
              <w:t xml:space="preserve">Error/Load (%)</w:t>
            </w:r>
          </w:p>
        </w:tc>
      </w:tr>
      <w:tr>
        <w:tc>
          <w:tcPr/>
          <w:p>
            <w:pPr>
              <w:pStyle w:val="Compact"/>
              <w:jc w:val="left"/>
            </w:pPr>
            <w:r>
              <w:t xml:space="preserve">January</w:t>
            </w:r>
          </w:p>
        </w:tc>
        <w:tc>
          <w:tcPr/>
          <w:p>
            <w:pPr>
              <w:pStyle w:val="Compact"/>
              <w:jc w:val="left"/>
            </w:pPr>
            <w:r>
              <w:t xml:space="preserve">312.4</w:t>
            </w:r>
          </w:p>
        </w:tc>
        <w:tc>
          <w:tcPr/>
          <w:p>
            <w:pPr>
              <w:pStyle w:val="Compact"/>
              <w:jc w:val="left"/>
            </w:pPr>
            <w:r>
              <w:t xml:space="preserve">221.3</w:t>
            </w:r>
          </w:p>
        </w:tc>
        <w:tc>
          <w:tcPr/>
          <w:p>
            <w:pPr>
              <w:pStyle w:val="Compact"/>
              <w:jc w:val="left"/>
            </w:pPr>
            <w:r>
              <w:t xml:space="preserve">0.52%</w:t>
            </w:r>
          </w:p>
        </w:tc>
        <w:tc>
          <w:tcPr/>
          <w:p>
            <w:pPr>
              <w:pStyle w:val="Compact"/>
              <w:jc w:val="left"/>
            </w:pPr>
            <w:r>
              <w:t xml:space="preserve">52,341</w:t>
            </w:r>
          </w:p>
        </w:tc>
        <w:tc>
          <w:tcPr/>
          <w:p>
            <w:pPr>
              <w:pStyle w:val="Compact"/>
              <w:jc w:val="left"/>
            </w:pPr>
            <w:r>
              <w:t xml:space="preserve">0.60%</w:t>
            </w:r>
          </w:p>
        </w:tc>
      </w:tr>
      <w:tr>
        <w:tc>
          <w:tcPr/>
          <w:p>
            <w:pPr>
              <w:pStyle w:val="Compact"/>
              <w:jc w:val="left"/>
            </w:pPr>
            <w:r>
              <w:t xml:space="preserve">February</w:t>
            </w:r>
          </w:p>
        </w:tc>
        <w:tc>
          <w:tcPr/>
          <w:p>
            <w:pPr>
              <w:pStyle w:val="Compact"/>
              <w:jc w:val="left"/>
            </w:pPr>
            <w:r>
              <w:t xml:space="preserve">298.6</w:t>
            </w:r>
          </w:p>
        </w:tc>
        <w:tc>
          <w:tcPr/>
          <w:p>
            <w:pPr>
              <w:pStyle w:val="Compact"/>
              <w:jc w:val="left"/>
            </w:pPr>
            <w:r>
              <w:t xml:space="preserve">211.2</w:t>
            </w:r>
          </w:p>
        </w:tc>
        <w:tc>
          <w:tcPr/>
          <w:p>
            <w:pPr>
              <w:pStyle w:val="Compact"/>
              <w:jc w:val="left"/>
            </w:pPr>
            <w:r>
              <w:t xml:space="preserve">0.49%</w:t>
            </w:r>
          </w:p>
        </w:tc>
        <w:tc>
          <w:tcPr/>
          <w:p>
            <w:pPr>
              <w:pStyle w:val="Compact"/>
              <w:jc w:val="left"/>
            </w:pPr>
            <w:r>
              <w:t xml:space="preserve">51,234</w:t>
            </w:r>
          </w:p>
        </w:tc>
        <w:tc>
          <w:tcPr/>
          <w:p>
            <w:pPr>
              <w:pStyle w:val="Compact"/>
              <w:jc w:val="left"/>
            </w:pPr>
            <w:r>
              <w:t xml:space="preserve">0.58%</w:t>
            </w:r>
          </w:p>
        </w:tc>
      </w:tr>
      <w:tr>
        <w:tc>
          <w:tcPr/>
          <w:p>
            <w:pPr>
              <w:pStyle w:val="Compact"/>
              <w:jc w:val="left"/>
            </w:pPr>
            <w:r>
              <w:t xml:space="preserve">March</w:t>
            </w:r>
          </w:p>
        </w:tc>
        <w:tc>
          <w:tcPr/>
          <w:p>
            <w:pPr>
              <w:pStyle w:val="Compact"/>
              <w:jc w:val="left"/>
            </w:pPr>
            <w:r>
              <w:t xml:space="preserve">267.8</w:t>
            </w:r>
          </w:p>
        </w:tc>
        <w:tc>
          <w:tcPr/>
          <w:p>
            <w:pPr>
              <w:pStyle w:val="Compact"/>
              <w:jc w:val="left"/>
            </w:pPr>
            <w:r>
              <w:t xml:space="preserve">189.4</w:t>
            </w:r>
          </w:p>
        </w:tc>
        <w:tc>
          <w:tcPr/>
          <w:p>
            <w:pPr>
              <w:pStyle w:val="Compact"/>
              <w:jc w:val="left"/>
            </w:pPr>
            <w:r>
              <w:t xml:space="preserve">0.45%</w:t>
            </w:r>
          </w:p>
        </w:tc>
        <w:tc>
          <w:tcPr/>
          <w:p>
            <w:pPr>
              <w:pStyle w:val="Compact"/>
              <w:jc w:val="left"/>
            </w:pPr>
            <w:r>
              <w:t xml:space="preserve">48,923</w:t>
            </w:r>
          </w:p>
        </w:tc>
        <w:tc>
          <w:tcPr/>
          <w:p>
            <w:pPr>
              <w:pStyle w:val="Compact"/>
              <w:jc w:val="left"/>
            </w:pPr>
            <w:r>
              <w:t xml:space="preserve">0.55%</w:t>
            </w:r>
          </w:p>
        </w:tc>
      </w:tr>
      <w:tr>
        <w:tc>
          <w:tcPr/>
          <w:p>
            <w:pPr>
              <w:pStyle w:val="Compact"/>
              <w:jc w:val="left"/>
            </w:pPr>
            <w:r>
              <w:t xml:space="preserve">April</w:t>
            </w:r>
          </w:p>
        </w:tc>
        <w:tc>
          <w:tcPr/>
          <w:p>
            <w:pPr>
              <w:pStyle w:val="Compact"/>
              <w:jc w:val="left"/>
            </w:pPr>
            <w:r>
              <w:t xml:space="preserve">245.3</w:t>
            </w:r>
          </w:p>
        </w:tc>
        <w:tc>
          <w:tcPr/>
          <w:p>
            <w:pPr>
              <w:pStyle w:val="Compact"/>
              <w:jc w:val="left"/>
            </w:pPr>
            <w:r>
              <w:t xml:space="preserve">173.5</w:t>
            </w:r>
          </w:p>
        </w:tc>
        <w:tc>
          <w:tcPr/>
          <w:p>
            <w:pPr>
              <w:pStyle w:val="Compact"/>
              <w:jc w:val="left"/>
            </w:pPr>
            <w:r>
              <w:t xml:space="preserve">0.42%</w:t>
            </w:r>
          </w:p>
        </w:tc>
        <w:tc>
          <w:tcPr/>
          <w:p>
            <w:pPr>
              <w:pStyle w:val="Compact"/>
              <w:jc w:val="left"/>
            </w:pPr>
            <w:r>
              <w:t xml:space="preserve">45,612</w:t>
            </w:r>
          </w:p>
        </w:tc>
        <w:tc>
          <w:tcPr/>
          <w:p>
            <w:pPr>
              <w:pStyle w:val="Compact"/>
              <w:jc w:val="left"/>
            </w:pPr>
            <w:r>
              <w:t xml:space="preserve">0.54%</w:t>
            </w:r>
          </w:p>
        </w:tc>
      </w:tr>
      <w:tr>
        <w:tc>
          <w:tcPr/>
          <w:p>
            <w:pPr>
              <w:pStyle w:val="Compact"/>
              <w:jc w:val="left"/>
            </w:pPr>
            <w:r>
              <w:t xml:space="preserve">May</w:t>
            </w:r>
          </w:p>
        </w:tc>
        <w:tc>
          <w:tcPr/>
          <w:p>
            <w:pPr>
              <w:pStyle w:val="Compact"/>
              <w:jc w:val="left"/>
            </w:pPr>
            <w:r>
              <w:t xml:space="preserve">234.7</w:t>
            </w:r>
          </w:p>
        </w:tc>
        <w:tc>
          <w:tcPr/>
          <w:p>
            <w:pPr>
              <w:pStyle w:val="Compact"/>
              <w:jc w:val="left"/>
            </w:pPr>
            <w:r>
              <w:t xml:space="preserve">165.8</w:t>
            </w:r>
          </w:p>
        </w:tc>
        <w:tc>
          <w:tcPr/>
          <w:p>
            <w:pPr>
              <w:pStyle w:val="Compact"/>
              <w:jc w:val="left"/>
            </w:pPr>
            <w:r>
              <w:t xml:space="preserve">0.41%</w:t>
            </w:r>
          </w:p>
        </w:tc>
        <w:tc>
          <w:tcPr/>
          <w:p>
            <w:pPr>
              <w:pStyle w:val="Compact"/>
              <w:jc w:val="left"/>
            </w:pPr>
            <w:r>
              <w:t xml:space="preserve">43,456</w:t>
            </w:r>
          </w:p>
        </w:tc>
        <w:tc>
          <w:tcPr/>
          <w:p>
            <w:pPr>
              <w:pStyle w:val="Compact"/>
              <w:jc w:val="left"/>
            </w:pPr>
            <w:r>
              <w:t xml:space="preserve">0.54%</w:t>
            </w:r>
          </w:p>
        </w:tc>
      </w:tr>
      <w:tr>
        <w:tc>
          <w:tcPr/>
          <w:p>
            <w:pPr>
              <w:pStyle w:val="Compact"/>
              <w:jc w:val="left"/>
            </w:pPr>
            <w:r>
              <w:t xml:space="preserve">June</w:t>
            </w:r>
          </w:p>
        </w:tc>
        <w:tc>
          <w:tcPr/>
          <w:p>
            <w:pPr>
              <w:pStyle w:val="Compact"/>
              <w:jc w:val="left"/>
            </w:pPr>
            <w:r>
              <w:t xml:space="preserve">256.2</w:t>
            </w:r>
          </w:p>
        </w:tc>
        <w:tc>
          <w:tcPr/>
          <w:p>
            <w:pPr>
              <w:pStyle w:val="Compact"/>
              <w:jc w:val="left"/>
            </w:pPr>
            <w:r>
              <w:t xml:space="preserve">181.1</w:t>
            </w:r>
          </w:p>
        </w:tc>
        <w:tc>
          <w:tcPr/>
          <w:p>
            <w:pPr>
              <w:pStyle w:val="Compact"/>
              <w:jc w:val="left"/>
            </w:pPr>
            <w:r>
              <w:t xml:space="preserve">0.44%</w:t>
            </w:r>
          </w:p>
        </w:tc>
        <w:tc>
          <w:tcPr/>
          <w:p>
            <w:pPr>
              <w:pStyle w:val="Compact"/>
              <w:jc w:val="left"/>
            </w:pPr>
            <w:r>
              <w:t xml:space="preserve">44,678</w:t>
            </w:r>
          </w:p>
        </w:tc>
        <w:tc>
          <w:tcPr/>
          <w:p>
            <w:pPr>
              <w:pStyle w:val="Compact"/>
              <w:jc w:val="left"/>
            </w:pPr>
            <w:r>
              <w:t xml:space="preserve">0.57%</w:t>
            </w:r>
          </w:p>
        </w:tc>
      </w:tr>
      <w:tr>
        <w:tc>
          <w:tcPr/>
          <w:p>
            <w:pPr>
              <w:pStyle w:val="Compact"/>
              <w:jc w:val="left"/>
            </w:pPr>
            <w:r>
              <w:t xml:space="preserve">July</w:t>
            </w:r>
          </w:p>
        </w:tc>
        <w:tc>
          <w:tcPr/>
          <w:p>
            <w:pPr>
              <w:pStyle w:val="Compact"/>
              <w:jc w:val="left"/>
            </w:pPr>
            <w:r>
              <w:t xml:space="preserve">278.4</w:t>
            </w:r>
          </w:p>
        </w:tc>
        <w:tc>
          <w:tcPr/>
          <w:p>
            <w:pPr>
              <w:pStyle w:val="Compact"/>
              <w:jc w:val="left"/>
            </w:pPr>
            <w:r>
              <w:t xml:space="preserve">196.8</w:t>
            </w:r>
          </w:p>
        </w:tc>
        <w:tc>
          <w:tcPr/>
          <w:p>
            <w:pPr>
              <w:pStyle w:val="Compact"/>
              <w:jc w:val="left"/>
            </w:pPr>
            <w:r>
              <w:t xml:space="preserve">0.47%</w:t>
            </w:r>
          </w:p>
        </w:tc>
        <w:tc>
          <w:tcPr/>
          <w:p>
            <w:pPr>
              <w:pStyle w:val="Compact"/>
              <w:jc w:val="left"/>
            </w:pPr>
            <w:r>
              <w:t xml:space="preserve">45,234</w:t>
            </w:r>
          </w:p>
        </w:tc>
        <w:tc>
          <w:tcPr/>
          <w:p>
            <w:pPr>
              <w:pStyle w:val="Compact"/>
              <w:jc w:val="left"/>
            </w:pPr>
            <w:r>
              <w:t xml:space="preserve">0.62%</w:t>
            </w:r>
          </w:p>
        </w:tc>
      </w:tr>
      <w:tr>
        <w:tc>
          <w:tcPr/>
          <w:p>
            <w:pPr>
              <w:pStyle w:val="Compact"/>
              <w:jc w:val="left"/>
            </w:pPr>
            <w:r>
              <w:t xml:space="preserve">August</w:t>
            </w:r>
          </w:p>
        </w:tc>
        <w:tc>
          <w:tcPr/>
          <w:p>
            <w:pPr>
              <w:pStyle w:val="Compact"/>
              <w:jc w:val="left"/>
            </w:pPr>
            <w:r>
              <w:t xml:space="preserve">289.3</w:t>
            </w:r>
          </w:p>
        </w:tc>
        <w:tc>
          <w:tcPr/>
          <w:p>
            <w:pPr>
              <w:pStyle w:val="Compact"/>
              <w:jc w:val="left"/>
            </w:pPr>
            <w:r>
              <w:t xml:space="preserve">204.5</w:t>
            </w:r>
          </w:p>
        </w:tc>
        <w:tc>
          <w:tcPr/>
          <w:p>
            <w:pPr>
              <w:pStyle w:val="Compact"/>
              <w:jc w:val="left"/>
            </w:pPr>
            <w:r>
              <w:t xml:space="preserve">0.48%</w:t>
            </w:r>
          </w:p>
        </w:tc>
        <w:tc>
          <w:tcPr/>
          <w:p>
            <w:pPr>
              <w:pStyle w:val="Compact"/>
              <w:jc w:val="left"/>
            </w:pPr>
            <w:r>
              <w:t xml:space="preserve">46,123</w:t>
            </w:r>
          </w:p>
        </w:tc>
        <w:tc>
          <w:tcPr/>
          <w:p>
            <w:pPr>
              <w:pStyle w:val="Compact"/>
              <w:jc w:val="left"/>
            </w:pPr>
            <w:r>
              <w:t xml:space="preserve">0.63%</w:t>
            </w:r>
          </w:p>
        </w:tc>
      </w:tr>
      <w:tr>
        <w:tc>
          <w:tcPr/>
          <w:p>
            <w:pPr>
              <w:pStyle w:val="Compact"/>
              <w:jc w:val="left"/>
            </w:pPr>
            <w:r>
              <w:t xml:space="preserve">September</w:t>
            </w:r>
          </w:p>
        </w:tc>
        <w:tc>
          <w:tcPr/>
          <w:p>
            <w:pPr>
              <w:pStyle w:val="Compact"/>
              <w:jc w:val="left"/>
            </w:pPr>
            <w:r>
              <w:t xml:space="preserve">261.5</w:t>
            </w:r>
          </w:p>
        </w:tc>
        <w:tc>
          <w:tcPr/>
          <w:p>
            <w:pPr>
              <w:pStyle w:val="Compact"/>
              <w:jc w:val="left"/>
            </w:pPr>
            <w:r>
              <w:t xml:space="preserve">184.8</w:t>
            </w:r>
          </w:p>
        </w:tc>
        <w:tc>
          <w:tcPr/>
          <w:p>
            <w:pPr>
              <w:pStyle w:val="Compact"/>
              <w:jc w:val="left"/>
            </w:pPr>
            <w:r>
              <w:t xml:space="preserve">0.43%</w:t>
            </w:r>
          </w:p>
        </w:tc>
        <w:tc>
          <w:tcPr/>
          <w:p>
            <w:pPr>
              <w:pStyle w:val="Compact"/>
              <w:jc w:val="left"/>
            </w:pPr>
            <w:r>
              <w:t xml:space="preserve">47,456</w:t>
            </w:r>
          </w:p>
        </w:tc>
        <w:tc>
          <w:tcPr/>
          <w:p>
            <w:pPr>
              <w:pStyle w:val="Compact"/>
              <w:jc w:val="left"/>
            </w:pPr>
            <w:r>
              <w:t xml:space="preserve">0.55%</w:t>
            </w:r>
          </w:p>
        </w:tc>
      </w:tr>
      <w:tr>
        <w:tc>
          <w:tcPr/>
          <w:p>
            <w:pPr>
              <w:pStyle w:val="Compact"/>
              <w:jc w:val="left"/>
            </w:pPr>
            <w:r>
              <w:t xml:space="preserve">October</w:t>
            </w:r>
          </w:p>
        </w:tc>
        <w:tc>
          <w:tcPr/>
          <w:p>
            <w:pPr>
              <w:pStyle w:val="Compact"/>
              <w:jc w:val="left"/>
            </w:pPr>
            <w:r>
              <w:t xml:space="preserve">274.2</w:t>
            </w:r>
          </w:p>
        </w:tc>
        <w:tc>
          <w:tcPr/>
          <w:p>
            <w:pPr>
              <w:pStyle w:val="Compact"/>
              <w:jc w:val="left"/>
            </w:pPr>
            <w:r>
              <w:t xml:space="preserve">193.9</w:t>
            </w:r>
          </w:p>
        </w:tc>
        <w:tc>
          <w:tcPr/>
          <w:p>
            <w:pPr>
              <w:pStyle w:val="Compact"/>
              <w:jc w:val="left"/>
            </w:pPr>
            <w:r>
              <w:t xml:space="preserve">0.46%</w:t>
            </w:r>
          </w:p>
        </w:tc>
        <w:tc>
          <w:tcPr/>
          <w:p>
            <w:pPr>
              <w:pStyle w:val="Compact"/>
              <w:jc w:val="left"/>
            </w:pPr>
            <w:r>
              <w:t xml:space="preserve">49,234</w:t>
            </w:r>
          </w:p>
        </w:tc>
        <w:tc>
          <w:tcPr/>
          <w:p>
            <w:pPr>
              <w:pStyle w:val="Compact"/>
              <w:jc w:val="left"/>
            </w:pPr>
            <w:r>
              <w:t xml:space="preserve">0.56%</w:t>
            </w:r>
          </w:p>
        </w:tc>
      </w:tr>
      <w:tr>
        <w:tc>
          <w:tcPr/>
          <w:p>
            <w:pPr>
              <w:pStyle w:val="Compact"/>
              <w:jc w:val="left"/>
            </w:pPr>
            <w:r>
              <w:t xml:space="preserve">November</w:t>
            </w:r>
          </w:p>
        </w:tc>
        <w:tc>
          <w:tcPr/>
          <w:p>
            <w:pPr>
              <w:pStyle w:val="Compact"/>
              <w:jc w:val="left"/>
            </w:pPr>
            <w:r>
              <w:t xml:space="preserve">295.6</w:t>
            </w:r>
          </w:p>
        </w:tc>
        <w:tc>
          <w:tcPr/>
          <w:p>
            <w:pPr>
              <w:pStyle w:val="Compact"/>
              <w:jc w:val="left"/>
            </w:pPr>
            <w:r>
              <w:t xml:space="preserve">209.1</w:t>
            </w:r>
          </w:p>
        </w:tc>
        <w:tc>
          <w:tcPr/>
          <w:p>
            <w:pPr>
              <w:pStyle w:val="Compact"/>
              <w:jc w:val="left"/>
            </w:pPr>
            <w:r>
              <w:t xml:space="preserve">0.50%</w:t>
            </w:r>
          </w:p>
        </w:tc>
        <w:tc>
          <w:tcPr/>
          <w:p>
            <w:pPr>
              <w:pStyle w:val="Compact"/>
              <w:jc w:val="left"/>
            </w:pPr>
            <w:r>
              <w:t xml:space="preserve">50,678</w:t>
            </w:r>
          </w:p>
        </w:tc>
        <w:tc>
          <w:tcPr/>
          <w:p>
            <w:pPr>
              <w:pStyle w:val="Compact"/>
              <w:jc w:val="left"/>
            </w:pPr>
            <w:r>
              <w:t xml:space="preserve">0.58%</w:t>
            </w:r>
          </w:p>
        </w:tc>
      </w:tr>
      <w:tr>
        <w:tc>
          <w:tcPr/>
          <w:p>
            <w:pPr>
              <w:pStyle w:val="Compact"/>
              <w:jc w:val="left"/>
            </w:pPr>
            <w:r>
              <w:t xml:space="preserve">December</w:t>
            </w:r>
          </w:p>
        </w:tc>
        <w:tc>
          <w:tcPr/>
          <w:p>
            <w:pPr>
              <w:pStyle w:val="Compact"/>
              <w:jc w:val="left"/>
            </w:pPr>
            <w:r>
              <w:t xml:space="preserve">324.8</w:t>
            </w:r>
          </w:p>
        </w:tc>
        <w:tc>
          <w:tcPr/>
          <w:p>
            <w:pPr>
              <w:pStyle w:val="Compact"/>
              <w:jc w:val="left"/>
            </w:pPr>
            <w:r>
              <w:t xml:space="preserve">229.6</w:t>
            </w:r>
          </w:p>
        </w:tc>
        <w:tc>
          <w:tcPr/>
          <w:p>
            <w:pPr>
              <w:pStyle w:val="Compact"/>
              <w:jc w:val="left"/>
            </w:pPr>
            <w:r>
              <w:t xml:space="preserve">0.54%</w:t>
            </w:r>
          </w:p>
        </w:tc>
        <w:tc>
          <w:tcPr/>
          <w:p>
            <w:pPr>
              <w:pStyle w:val="Compact"/>
              <w:jc w:val="left"/>
            </w:pPr>
            <w:r>
              <w:t xml:space="preserve">53,456</w:t>
            </w:r>
          </w:p>
        </w:tc>
        <w:tc>
          <w:tcPr/>
          <w:p>
            <w:pPr>
              <w:pStyle w:val="Compact"/>
              <w:jc w:val="left"/>
            </w:pPr>
            <w:r>
              <w:t xml:space="preserve">0.61%</w:t>
            </w:r>
          </w:p>
        </w:tc>
      </w:tr>
    </w:tbl>
    <w:bookmarkEnd w:id="129"/>
    <w:p>
      <w:pPr>
        <w:pStyle w:val="BodyText"/>
      </w:pPr>
      <w:r>
        <w:t xml:space="preserve">Seasonal Pattern: Winter months (Dec–Feb) show +15–20% higher RMSE due to heating demand variability.</w:t>
      </w:r>
    </w:p>
    <w:bookmarkEnd w:id="130"/>
    <w:bookmarkStart w:id="132" w:name="day-of-week-performance-germany-load"/>
    <w:p>
      <w:pPr>
        <w:pStyle w:val="Heading2"/>
      </w:pPr>
      <w:r>
        <w:t xml:space="preserve">Day-of-Week Performance (Germany, Load)</w:t>
      </w:r>
    </w:p>
    <w:bookmarkStart w:id="131" w:name="tab:j2"/>
    <w:p>
      <w:pPr>
        <w:pStyle w:val="TableCaption"/>
      </w:pPr>
      <w:r>
        <w:t xml:space="preserve">Day-of-Week Load Forecasting Performance</w:t>
      </w:r>
    </w:p>
    <w:tbl>
      <w:tblPr>
        <w:tblStyle w:val="Table"/>
        <w:tblW w:type="auto" w:w="0"/>
        <w:tblLook w:firstRow="1" w:lastRow="0" w:firstColumn="0" w:lastColumn="0" w:noHBand="0" w:noVBand="0" w:val="0020"/>
        <w:tblCaption w:val="Day-of-Week Load Forecasting Performance"/>
      </w:tblPr>
      <w:tblGrid>
        <w:gridCol w:w="1584"/>
        <w:gridCol w:w="1584"/>
        <w:gridCol w:w="1584"/>
        <w:gridCol w:w="1584"/>
        <w:gridCol w:w="1584"/>
      </w:tblGrid>
      <w:tr>
        <w:trPr>
          <w:tblHeader w:val="on"/>
        </w:trPr>
        <w:tc>
          <w:tcPr/>
          <w:p>
            <w:pPr>
              <w:pStyle w:val="Compact"/>
              <w:jc w:val="left"/>
            </w:pPr>
            <w:r>
              <w:t xml:space="preserve">Day</w:t>
            </w:r>
          </w:p>
        </w:tc>
        <w:tc>
          <w:tcPr/>
          <w:p>
            <w:pPr>
              <w:pStyle w:val="Compact"/>
              <w:jc w:val="left"/>
            </w:pPr>
            <w:r>
              <w:t xml:space="preserve">RMSE</w:t>
            </w:r>
          </w:p>
        </w:tc>
        <w:tc>
          <w:tcPr/>
          <w:p>
            <w:pPr>
              <w:pStyle w:val="Compact"/>
              <w:jc w:val="left"/>
            </w:pPr>
            <w:r>
              <w:t xml:space="preserve">MAE</w:t>
            </w:r>
          </w:p>
        </w:tc>
        <w:tc>
          <w:tcPr/>
          <w:p>
            <w:pPr>
              <w:pStyle w:val="Compact"/>
              <w:jc w:val="left"/>
            </w:pPr>
            <w:r>
              <w:t xml:space="preserve">MAPE</w:t>
            </w:r>
          </w:p>
        </w:tc>
        <w:tc>
          <w:tcPr/>
          <w:p>
            <w:pPr>
              <w:pStyle w:val="Compact"/>
              <w:jc w:val="left"/>
            </w:pPr>
            <w:r>
              <w:t xml:space="preserve">Relative to Mean</w:t>
            </w:r>
          </w:p>
        </w:tc>
      </w:tr>
      <w:tr>
        <w:tc>
          <w:tcPr/>
          <w:p>
            <w:pPr>
              <w:pStyle w:val="Compact"/>
              <w:jc w:val="left"/>
            </w:pPr>
            <w:r>
              <w:t xml:space="preserve">Monday</w:t>
            </w:r>
          </w:p>
        </w:tc>
        <w:tc>
          <w:tcPr/>
          <w:p>
            <w:pPr>
              <w:pStyle w:val="Compact"/>
              <w:jc w:val="left"/>
            </w:pPr>
            <w:r>
              <w:t xml:space="preserve">298.4</w:t>
            </w:r>
          </w:p>
        </w:tc>
        <w:tc>
          <w:tcPr/>
          <w:p>
            <w:pPr>
              <w:pStyle w:val="Compact"/>
              <w:jc w:val="left"/>
            </w:pPr>
            <w:r>
              <w:t xml:space="preserve">211.0</w:t>
            </w:r>
          </w:p>
        </w:tc>
        <w:tc>
          <w:tcPr/>
          <w:p>
            <w:pPr>
              <w:pStyle w:val="Compact"/>
              <w:jc w:val="left"/>
            </w:pPr>
            <w:r>
              <w:t xml:space="preserve">0.51%</w:t>
            </w:r>
          </w:p>
        </w:tc>
        <w:tc>
          <w:tcPr/>
          <w:p>
            <w:pPr>
              <w:pStyle w:val="Compact"/>
              <w:jc w:val="left"/>
            </w:pPr>
            <w:r>
              <w:t xml:space="preserve">+10.0%</w:t>
            </w:r>
          </w:p>
        </w:tc>
      </w:tr>
      <w:tr>
        <w:tc>
          <w:tcPr/>
          <w:p>
            <w:pPr>
              <w:pStyle w:val="Compact"/>
              <w:jc w:val="left"/>
            </w:pPr>
            <w:r>
              <w:t xml:space="preserve">Tuesday</w:t>
            </w:r>
          </w:p>
        </w:tc>
        <w:tc>
          <w:tcPr/>
          <w:p>
            <w:pPr>
              <w:pStyle w:val="Compact"/>
              <w:jc w:val="left"/>
            </w:pPr>
            <w:r>
              <w:t xml:space="preserve">265.3</w:t>
            </w:r>
          </w:p>
        </w:tc>
        <w:tc>
          <w:tcPr/>
          <w:p>
            <w:pPr>
              <w:pStyle w:val="Compact"/>
              <w:jc w:val="left"/>
            </w:pPr>
            <w:r>
              <w:t xml:space="preserve">187.5</w:t>
            </w:r>
          </w:p>
        </w:tc>
        <w:tc>
          <w:tcPr/>
          <w:p>
            <w:pPr>
              <w:pStyle w:val="Compact"/>
              <w:jc w:val="left"/>
            </w:pPr>
            <w:r>
              <w:t xml:space="preserve">0.44%</w:t>
            </w:r>
          </w:p>
        </w:tc>
        <w:tc>
          <w:tcPr/>
          <w:p>
            <w:pPr>
              <w:pStyle w:val="Compact"/>
              <w:jc w:val="left"/>
            </w:pPr>
            <w:r>
              <w:t xml:space="preserve">-2.2%</w:t>
            </w:r>
          </w:p>
        </w:tc>
      </w:tr>
      <w:tr>
        <w:tc>
          <w:tcPr/>
          <w:p>
            <w:pPr>
              <w:pStyle w:val="Compact"/>
              <w:jc w:val="left"/>
            </w:pPr>
            <w:r>
              <w:t xml:space="preserve">Wednesday</w:t>
            </w:r>
          </w:p>
        </w:tc>
        <w:tc>
          <w:tcPr/>
          <w:p>
            <w:pPr>
              <w:pStyle w:val="Compact"/>
              <w:jc w:val="left"/>
            </w:pPr>
            <w:r>
              <w:t xml:space="preserve">262.1</w:t>
            </w:r>
          </w:p>
        </w:tc>
        <w:tc>
          <w:tcPr/>
          <w:p>
            <w:pPr>
              <w:pStyle w:val="Compact"/>
              <w:jc w:val="left"/>
            </w:pPr>
            <w:r>
              <w:t xml:space="preserve">185.2</w:t>
            </w:r>
          </w:p>
        </w:tc>
        <w:tc>
          <w:tcPr/>
          <w:p>
            <w:pPr>
              <w:pStyle w:val="Compact"/>
              <w:jc w:val="left"/>
            </w:pPr>
            <w:r>
              <w:t xml:space="preserve">0.43%</w:t>
            </w:r>
          </w:p>
        </w:tc>
        <w:tc>
          <w:tcPr/>
          <w:p>
            <w:pPr>
              <w:pStyle w:val="Compact"/>
              <w:jc w:val="left"/>
            </w:pPr>
            <w:r>
              <w:t xml:space="preserve">-3.4%</w:t>
            </w:r>
          </w:p>
        </w:tc>
      </w:tr>
      <w:tr>
        <w:tc>
          <w:tcPr/>
          <w:p>
            <w:pPr>
              <w:pStyle w:val="Compact"/>
              <w:jc w:val="left"/>
            </w:pPr>
            <w:r>
              <w:t xml:space="preserve">Thursday</w:t>
            </w:r>
          </w:p>
        </w:tc>
        <w:tc>
          <w:tcPr/>
          <w:p>
            <w:pPr>
              <w:pStyle w:val="Compact"/>
              <w:jc w:val="left"/>
            </w:pPr>
            <w:r>
              <w:t xml:space="preserve">264.8</w:t>
            </w:r>
          </w:p>
        </w:tc>
        <w:tc>
          <w:tcPr/>
          <w:p>
            <w:pPr>
              <w:pStyle w:val="Compact"/>
              <w:jc w:val="left"/>
            </w:pPr>
            <w:r>
              <w:t xml:space="preserve">187.1</w:t>
            </w:r>
          </w:p>
        </w:tc>
        <w:tc>
          <w:tcPr/>
          <w:p>
            <w:pPr>
              <w:pStyle w:val="Compact"/>
              <w:jc w:val="left"/>
            </w:pPr>
            <w:r>
              <w:t xml:space="preserve">0.44%</w:t>
            </w:r>
          </w:p>
        </w:tc>
        <w:tc>
          <w:tcPr/>
          <w:p>
            <w:pPr>
              <w:pStyle w:val="Compact"/>
              <w:jc w:val="left"/>
            </w:pPr>
            <w:r>
              <w:t xml:space="preserve">-2.4%</w:t>
            </w:r>
          </w:p>
        </w:tc>
      </w:tr>
      <w:tr>
        <w:tc>
          <w:tcPr/>
          <w:p>
            <w:pPr>
              <w:pStyle w:val="Compact"/>
              <w:jc w:val="left"/>
            </w:pPr>
            <w:r>
              <w:t xml:space="preserve">Friday</w:t>
            </w:r>
          </w:p>
        </w:tc>
        <w:tc>
          <w:tcPr/>
          <w:p>
            <w:pPr>
              <w:pStyle w:val="Compact"/>
              <w:jc w:val="left"/>
            </w:pPr>
            <w:r>
              <w:t xml:space="preserve">278.6</w:t>
            </w:r>
          </w:p>
        </w:tc>
        <w:tc>
          <w:tcPr/>
          <w:p>
            <w:pPr>
              <w:pStyle w:val="Compact"/>
              <w:jc w:val="left"/>
            </w:pPr>
            <w:r>
              <w:t xml:space="preserve">196.9</w:t>
            </w:r>
          </w:p>
        </w:tc>
        <w:tc>
          <w:tcPr/>
          <w:p>
            <w:pPr>
              <w:pStyle w:val="Compact"/>
              <w:jc w:val="left"/>
            </w:pPr>
            <w:r>
              <w:t xml:space="preserve">0.46%</w:t>
            </w:r>
          </w:p>
        </w:tc>
        <w:tc>
          <w:tcPr/>
          <w:p>
            <w:pPr>
              <w:pStyle w:val="Compact"/>
              <w:jc w:val="left"/>
            </w:pPr>
            <w:r>
              <w:t xml:space="preserve">+2.7%</w:t>
            </w:r>
          </w:p>
        </w:tc>
      </w:tr>
      <w:tr>
        <w:tc>
          <w:tcPr/>
          <w:p>
            <w:pPr>
              <w:pStyle w:val="Compact"/>
              <w:jc w:val="left"/>
            </w:pPr>
            <w:r>
              <w:t xml:space="preserve">Saturday</w:t>
            </w:r>
          </w:p>
        </w:tc>
        <w:tc>
          <w:tcPr/>
          <w:p>
            <w:pPr>
              <w:pStyle w:val="Compact"/>
              <w:jc w:val="left"/>
            </w:pPr>
            <w:r>
              <w:t xml:space="preserve">256.4</w:t>
            </w:r>
          </w:p>
        </w:tc>
        <w:tc>
          <w:tcPr/>
          <w:p>
            <w:pPr>
              <w:pStyle w:val="Compact"/>
              <w:jc w:val="left"/>
            </w:pPr>
            <w:r>
              <w:t xml:space="preserve">181.2</w:t>
            </w:r>
          </w:p>
        </w:tc>
        <w:tc>
          <w:tcPr/>
          <w:p>
            <w:pPr>
              <w:pStyle w:val="Compact"/>
              <w:jc w:val="left"/>
            </w:pPr>
            <w:r>
              <w:t xml:space="preserve">0.42%</w:t>
            </w:r>
          </w:p>
        </w:tc>
        <w:tc>
          <w:tcPr/>
          <w:p>
            <w:pPr>
              <w:pStyle w:val="Compact"/>
              <w:jc w:val="left"/>
            </w:pPr>
            <w:r>
              <w:t xml:space="preserve">-5.5%</w:t>
            </w:r>
          </w:p>
        </w:tc>
      </w:tr>
      <w:tr>
        <w:tc>
          <w:tcPr/>
          <w:p>
            <w:pPr>
              <w:pStyle w:val="Compact"/>
              <w:jc w:val="left"/>
            </w:pPr>
            <w:r>
              <w:t xml:space="preserve">Sunday</w:t>
            </w:r>
          </w:p>
        </w:tc>
        <w:tc>
          <w:tcPr/>
          <w:p>
            <w:pPr>
              <w:pStyle w:val="Compact"/>
              <w:jc w:val="left"/>
            </w:pPr>
            <w:r>
              <w:t xml:space="preserve">268.9</w:t>
            </w:r>
          </w:p>
        </w:tc>
        <w:tc>
          <w:tcPr/>
          <w:p>
            <w:pPr>
              <w:pStyle w:val="Compact"/>
              <w:jc w:val="left"/>
            </w:pPr>
            <w:r>
              <w:t xml:space="preserve">190.1</w:t>
            </w:r>
          </w:p>
        </w:tc>
        <w:tc>
          <w:tcPr/>
          <w:p>
            <w:pPr>
              <w:pStyle w:val="Compact"/>
              <w:jc w:val="left"/>
            </w:pPr>
            <w:r>
              <w:t xml:space="preserve">0.45%</w:t>
            </w:r>
          </w:p>
        </w:tc>
        <w:tc>
          <w:tcPr/>
          <w:p>
            <w:pPr>
              <w:pStyle w:val="Compact"/>
              <w:jc w:val="left"/>
            </w:pPr>
            <w:r>
              <w:t xml:space="preserve">-0.8%</w:t>
            </w:r>
          </w:p>
        </w:tc>
      </w:tr>
    </w:tbl>
    <w:bookmarkEnd w:id="131"/>
    <w:p>
      <w:pPr>
        <w:pStyle w:val="BodyText"/>
      </w:pPr>
      <w:r>
        <w:t xml:space="preserve">Finding: Monday transitions from weekend patterns cause +10% error; weekdays are most predictable.</w:t>
      </w:r>
    </w:p>
    <w:bookmarkEnd w:id="132"/>
    <w:bookmarkStart w:id="134" w:name="hour-of-day-performance-germany-load"/>
    <w:p>
      <w:pPr>
        <w:pStyle w:val="Heading2"/>
      </w:pPr>
      <w:r>
        <w:t xml:space="preserve">Hour-of-Day Performance (Germany, Load)</w:t>
      </w:r>
    </w:p>
    <w:bookmarkStart w:id="133" w:name="tab:j3"/>
    <w:p>
      <w:pPr>
        <w:pStyle w:val="TableCaption"/>
      </w:pPr>
      <w:r>
        <w:t xml:space="preserve">Intraday Load Forecasting Performance</w:t>
      </w:r>
    </w:p>
    <w:tbl>
      <w:tblPr>
        <w:tblStyle w:val="Table"/>
        <w:tblW w:type="auto" w:w="0"/>
        <w:tblLook w:firstRow="1" w:lastRow="0" w:firstColumn="0" w:lastColumn="0" w:noHBand="0" w:noVBand="0" w:val="0020"/>
        <w:tblCaption w:val="Intraday Load Forecasting Performance"/>
      </w:tblPr>
      <w:tblGrid>
        <w:gridCol w:w="1584"/>
        <w:gridCol w:w="1584"/>
        <w:gridCol w:w="1584"/>
        <w:gridCol w:w="1584"/>
        <w:gridCol w:w="1584"/>
      </w:tblGrid>
      <w:tr>
        <w:trPr>
          <w:tblHeader w:val="on"/>
        </w:trPr>
        <w:tc>
          <w:tcPr/>
          <w:p>
            <w:pPr>
              <w:pStyle w:val="Compact"/>
              <w:jc w:val="left"/>
            </w:pPr>
            <w:r>
              <w:t xml:space="preserve">Hour Block</w:t>
            </w:r>
          </w:p>
        </w:tc>
        <w:tc>
          <w:tcPr/>
          <w:p>
            <w:pPr>
              <w:pStyle w:val="Compact"/>
              <w:jc w:val="left"/>
            </w:pPr>
            <w:r>
              <w:t xml:space="preserve">RMSE</w:t>
            </w:r>
          </w:p>
        </w:tc>
        <w:tc>
          <w:tcPr/>
          <w:p>
            <w:pPr>
              <w:pStyle w:val="Compact"/>
              <w:jc w:val="left"/>
            </w:pPr>
            <w:r>
              <w:t xml:space="preserve">MAE</w:t>
            </w:r>
          </w:p>
        </w:tc>
        <w:tc>
          <w:tcPr/>
          <w:p>
            <w:pPr>
              <w:pStyle w:val="Compact"/>
              <w:jc w:val="left"/>
            </w:pPr>
            <w:r>
              <w:t xml:space="preserve">MAPE</w:t>
            </w:r>
          </w:p>
        </w:tc>
        <w:tc>
          <w:tcPr/>
          <w:p>
            <w:pPr>
              <w:pStyle w:val="Compact"/>
              <w:jc w:val="left"/>
            </w:pPr>
            <w:r>
              <w:t xml:space="preserve">Pattern</w:t>
            </w:r>
          </w:p>
        </w:tc>
      </w:tr>
      <w:tr>
        <w:tc>
          <w:tcPr/>
          <w:p>
            <w:pPr>
              <w:pStyle w:val="Compact"/>
              <w:jc w:val="left"/>
            </w:pPr>
            <w:r>
              <w:t xml:space="preserve">00:00-05:59 (Night)</w:t>
            </w:r>
          </w:p>
        </w:tc>
        <w:tc>
          <w:tcPr/>
          <w:p>
            <w:pPr>
              <w:pStyle w:val="Compact"/>
              <w:jc w:val="left"/>
            </w:pPr>
            <w:r>
              <w:t xml:space="preserve">198.4</w:t>
            </w:r>
          </w:p>
        </w:tc>
        <w:tc>
          <w:tcPr/>
          <w:p>
            <w:pPr>
              <w:pStyle w:val="Compact"/>
              <w:jc w:val="left"/>
            </w:pPr>
            <w:r>
              <w:t xml:space="preserve">140.2</w:t>
            </w:r>
          </w:p>
        </w:tc>
        <w:tc>
          <w:tcPr/>
          <w:p>
            <w:pPr>
              <w:pStyle w:val="Compact"/>
              <w:jc w:val="left"/>
            </w:pPr>
            <w:r>
              <w:t xml:space="preserve">0.38%</w:t>
            </w:r>
          </w:p>
        </w:tc>
        <w:tc>
          <w:tcPr/>
          <w:p>
            <w:pPr>
              <w:pStyle w:val="Compact"/>
              <w:jc w:val="left"/>
            </w:pPr>
            <w:r>
              <w:t xml:space="preserve">Low, stable</w:t>
            </w:r>
          </w:p>
        </w:tc>
      </w:tr>
      <w:tr>
        <w:tc>
          <w:tcPr/>
          <w:p>
            <w:pPr>
              <w:pStyle w:val="Compact"/>
              <w:jc w:val="left"/>
            </w:pPr>
            <w:r>
              <w:t xml:space="preserve">06:00-08:59 (Morning Ramp)</w:t>
            </w:r>
          </w:p>
        </w:tc>
        <w:tc>
          <w:tcPr/>
          <w:p>
            <w:pPr>
              <w:pStyle w:val="Compact"/>
              <w:jc w:val="left"/>
            </w:pPr>
            <w:r>
              <w:t xml:space="preserve">342.6</w:t>
            </w:r>
          </w:p>
        </w:tc>
        <w:tc>
          <w:tcPr/>
          <w:p>
            <w:pPr>
              <w:pStyle w:val="Compact"/>
              <w:jc w:val="left"/>
            </w:pPr>
            <w:r>
              <w:t xml:space="preserve">242.3</w:t>
            </w:r>
          </w:p>
        </w:tc>
        <w:tc>
          <w:tcPr/>
          <w:p>
            <w:pPr>
              <w:pStyle w:val="Compact"/>
              <w:jc w:val="left"/>
            </w:pPr>
            <w:r>
              <w:t xml:space="preserve">0.58%</w:t>
            </w:r>
          </w:p>
        </w:tc>
        <w:tc>
          <w:tcPr/>
          <w:p>
            <w:pPr>
              <w:pStyle w:val="Compact"/>
              <w:jc w:val="left"/>
            </w:pPr>
            <w:r>
              <w:t xml:space="preserve">High variability</w:t>
            </w:r>
          </w:p>
        </w:tc>
      </w:tr>
      <w:tr>
        <w:tc>
          <w:tcPr/>
          <w:p>
            <w:pPr>
              <w:pStyle w:val="Compact"/>
              <w:jc w:val="left"/>
            </w:pPr>
            <w:r>
              <w:t xml:space="preserve">09:00-11:59 (Mid-Morning)</w:t>
            </w:r>
          </w:p>
        </w:tc>
        <w:tc>
          <w:tcPr/>
          <w:p>
            <w:pPr>
              <w:pStyle w:val="Compact"/>
              <w:jc w:val="left"/>
            </w:pPr>
            <w:r>
              <w:t xml:space="preserve">287.3</w:t>
            </w:r>
          </w:p>
        </w:tc>
        <w:tc>
          <w:tcPr/>
          <w:p>
            <w:pPr>
              <w:pStyle w:val="Compact"/>
              <w:jc w:val="left"/>
            </w:pPr>
            <w:r>
              <w:t xml:space="preserve">203.1</w:t>
            </w:r>
          </w:p>
        </w:tc>
        <w:tc>
          <w:tcPr/>
          <w:p>
            <w:pPr>
              <w:pStyle w:val="Compact"/>
              <w:jc w:val="left"/>
            </w:pPr>
            <w:r>
              <w:t xml:space="preserve">0.47%</w:t>
            </w:r>
          </w:p>
        </w:tc>
        <w:tc>
          <w:tcPr/>
          <w:p>
            <w:pPr>
              <w:pStyle w:val="Compact"/>
              <w:jc w:val="left"/>
            </w:pPr>
            <w:r>
              <w:t xml:space="preserve">Industrial start</w:t>
            </w:r>
          </w:p>
        </w:tc>
      </w:tr>
      <w:tr>
        <w:tc>
          <w:tcPr/>
          <w:p>
            <w:pPr>
              <w:pStyle w:val="Compact"/>
              <w:jc w:val="left"/>
            </w:pPr>
            <w:r>
              <w:t xml:space="preserve">12:00-14:59 (Midday)</w:t>
            </w:r>
          </w:p>
        </w:tc>
        <w:tc>
          <w:tcPr/>
          <w:p>
            <w:pPr>
              <w:pStyle w:val="Compact"/>
              <w:jc w:val="left"/>
            </w:pPr>
            <w:r>
              <w:t xml:space="preserve">256.8</w:t>
            </w:r>
          </w:p>
        </w:tc>
        <w:tc>
          <w:tcPr/>
          <w:p>
            <w:pPr>
              <w:pStyle w:val="Compact"/>
              <w:jc w:val="left"/>
            </w:pPr>
            <w:r>
              <w:t xml:space="preserve">181.5</w:t>
            </w:r>
          </w:p>
        </w:tc>
        <w:tc>
          <w:tcPr/>
          <w:p>
            <w:pPr>
              <w:pStyle w:val="Compact"/>
              <w:jc w:val="left"/>
            </w:pPr>
            <w:r>
              <w:t xml:space="preserve">0.43%</w:t>
            </w:r>
          </w:p>
        </w:tc>
        <w:tc>
          <w:tcPr/>
          <w:p>
            <w:pPr>
              <w:pStyle w:val="Compact"/>
              <w:jc w:val="left"/>
            </w:pPr>
            <w:r>
              <w:t xml:space="preserve">Stable plateau</w:t>
            </w:r>
          </w:p>
        </w:tc>
      </w:tr>
      <w:tr>
        <w:tc>
          <w:tcPr/>
          <w:p>
            <w:pPr>
              <w:pStyle w:val="Compact"/>
              <w:jc w:val="left"/>
            </w:pPr>
            <w:r>
              <w:t xml:space="preserve">15:00-17:59 (Afternoon)</w:t>
            </w:r>
          </w:p>
        </w:tc>
        <w:tc>
          <w:tcPr/>
          <w:p>
            <w:pPr>
              <w:pStyle w:val="Compact"/>
              <w:jc w:val="left"/>
            </w:pPr>
            <w:r>
              <w:t xml:space="preserve">278.4</w:t>
            </w:r>
          </w:p>
        </w:tc>
        <w:tc>
          <w:tcPr/>
          <w:p>
            <w:pPr>
              <w:pStyle w:val="Compact"/>
              <w:jc w:val="left"/>
            </w:pPr>
            <w:r>
              <w:t xml:space="preserve">196.8</w:t>
            </w:r>
          </w:p>
        </w:tc>
        <w:tc>
          <w:tcPr/>
          <w:p>
            <w:pPr>
              <w:pStyle w:val="Compact"/>
              <w:jc w:val="left"/>
            </w:pPr>
            <w:r>
              <w:t xml:space="preserve">0.46%</w:t>
            </w:r>
          </w:p>
        </w:tc>
        <w:tc>
          <w:tcPr/>
          <w:p>
            <w:pPr>
              <w:pStyle w:val="Compact"/>
              <w:jc w:val="left"/>
            </w:pPr>
            <w:r>
              <w:t xml:space="preserve">Moderate</w:t>
            </w:r>
          </w:p>
        </w:tc>
      </w:tr>
      <w:tr>
        <w:tc>
          <w:tcPr/>
          <w:p>
            <w:pPr>
              <w:pStyle w:val="Compact"/>
              <w:jc w:val="left"/>
            </w:pPr>
            <w:r>
              <w:t xml:space="preserve">18:00-20:59 (Evening Peak)</w:t>
            </w:r>
          </w:p>
        </w:tc>
        <w:tc>
          <w:tcPr/>
          <w:p>
            <w:pPr>
              <w:pStyle w:val="Compact"/>
              <w:jc w:val="left"/>
            </w:pPr>
            <w:r>
              <w:t xml:space="preserve">334.2</w:t>
            </w:r>
          </w:p>
        </w:tc>
        <w:tc>
          <w:tcPr/>
          <w:p>
            <w:pPr>
              <w:pStyle w:val="Compact"/>
              <w:jc w:val="left"/>
            </w:pPr>
            <w:r>
              <w:t xml:space="preserve">236.4</w:t>
            </w:r>
          </w:p>
        </w:tc>
        <w:tc>
          <w:tcPr/>
          <w:p>
            <w:pPr>
              <w:pStyle w:val="Compact"/>
              <w:jc w:val="left"/>
            </w:pPr>
            <w:r>
              <w:t xml:space="preserve">0.56%</w:t>
            </w:r>
          </w:p>
        </w:tc>
        <w:tc>
          <w:tcPr/>
          <w:p>
            <w:pPr>
              <w:pStyle w:val="Compact"/>
              <w:jc w:val="left"/>
            </w:pPr>
            <w:r>
              <w:t xml:space="preserve">Peak uncertainty</w:t>
            </w:r>
          </w:p>
        </w:tc>
      </w:tr>
      <w:tr>
        <w:tc>
          <w:tcPr/>
          <w:p>
            <w:pPr>
              <w:pStyle w:val="Compact"/>
              <w:jc w:val="left"/>
            </w:pPr>
            <w:r>
              <w:t xml:space="preserve">21:00-23:59 (Night Ramp)</w:t>
            </w:r>
          </w:p>
        </w:tc>
        <w:tc>
          <w:tcPr/>
          <w:p>
            <w:pPr>
              <w:pStyle w:val="Compact"/>
              <w:jc w:val="left"/>
            </w:pPr>
            <w:r>
              <w:t xml:space="preserve">245.6</w:t>
            </w:r>
          </w:p>
        </w:tc>
        <w:tc>
          <w:tcPr/>
          <w:p>
            <w:pPr>
              <w:pStyle w:val="Compact"/>
              <w:jc w:val="left"/>
            </w:pPr>
            <w:r>
              <w:t xml:space="preserve">173.6</w:t>
            </w:r>
          </w:p>
        </w:tc>
        <w:tc>
          <w:tcPr/>
          <w:p>
            <w:pPr>
              <w:pStyle w:val="Compact"/>
              <w:jc w:val="left"/>
            </w:pPr>
            <w:r>
              <w:t xml:space="preserve">0.41%</w:t>
            </w:r>
          </w:p>
        </w:tc>
        <w:tc>
          <w:tcPr/>
          <w:p>
            <w:pPr>
              <w:pStyle w:val="Compact"/>
              <w:jc w:val="left"/>
            </w:pPr>
            <w:r>
              <w:t xml:space="preserve">Declining</w:t>
            </w:r>
          </w:p>
        </w:tc>
      </w:tr>
    </w:tbl>
    <w:bookmarkEnd w:id="133"/>
    <w:p>
      <w:pPr>
        <w:pStyle w:val="BodyText"/>
      </w:pPr>
      <w:r>
        <w:t xml:space="preserve">Key Insight: Morning ramp (06:00–09:00) and evening peak (18:00–21:00) account for 45% of total forecast error.</w:t>
      </w:r>
    </w:p>
    <w:bookmarkEnd w:id="134"/>
    <w:bookmarkEnd w:id="135"/>
    <w:bookmarkStart w:id="142" w:name="error-distribution-analysis"/>
    <w:p>
      <w:pPr>
        <w:pStyle w:val="Heading1"/>
      </w:pPr>
      <w:r>
        <w:t xml:space="preserve">Error Distribution Analysis</w:t>
      </w:r>
    </w:p>
    <w:bookmarkStart w:id="137" w:name="error-percentiles-germany-gbm"/>
    <w:p>
      <w:pPr>
        <w:pStyle w:val="Heading2"/>
      </w:pPr>
      <w:r>
        <w:t xml:space="preserve">Error Percentiles (Germany, GBM)</w:t>
      </w:r>
    </w:p>
    <w:bookmarkStart w:id="136" w:name="tab:k1"/>
    <w:p>
      <w:pPr>
        <w:pStyle w:val="TableCaption"/>
      </w:pPr>
      <w:r>
        <w:t xml:space="preserve">Forecast Error Percentiles (Actual - Predicted)</w:t>
      </w:r>
    </w:p>
    <w:tbl>
      <w:tblPr>
        <w:tblStyle w:val="Table"/>
        <w:tblW w:type="auto" w:w="0"/>
        <w:tblLook w:firstRow="1" w:lastRow="0" w:firstColumn="0" w:lastColumn="0" w:noHBand="0" w:noVBand="0" w:val="0020"/>
        <w:tblCaption w:val="Forecast Error Percentiles (Actual - Predicted)"/>
      </w:tblPr>
      <w:tblGrid>
        <w:gridCol w:w="990"/>
        <w:gridCol w:w="990"/>
        <w:gridCol w:w="990"/>
        <w:gridCol w:w="990"/>
        <w:gridCol w:w="990"/>
        <w:gridCol w:w="990"/>
        <w:gridCol w:w="990"/>
        <w:gridCol w:w="990"/>
      </w:tblGrid>
      <w:tr>
        <w:trPr>
          <w:tblHeader w:val="on"/>
        </w:trPr>
        <w:tc>
          <w:tcPr/>
          <w:p>
            <w:pPr>
              <w:pStyle w:val="Compact"/>
              <w:jc w:val="left"/>
            </w:pPr>
            <w:r>
              <w:t xml:space="preserve">Target</w:t>
            </w:r>
          </w:p>
        </w:tc>
        <w:tc>
          <w:tcPr/>
          <w:p>
            <w:pPr>
              <w:pStyle w:val="Compact"/>
              <w:jc w:val="left"/>
            </w:pPr>
            <w:r>
              <w:t xml:space="preserve">P10</w:t>
            </w:r>
          </w:p>
        </w:tc>
        <w:tc>
          <w:tcPr/>
          <w:p>
            <w:pPr>
              <w:pStyle w:val="Compact"/>
              <w:jc w:val="left"/>
            </w:pPr>
            <w:r>
              <w:t xml:space="preserve">P25</w:t>
            </w:r>
          </w:p>
        </w:tc>
        <w:tc>
          <w:tcPr/>
          <w:p>
            <w:pPr>
              <w:pStyle w:val="Compact"/>
              <w:jc w:val="left"/>
            </w:pPr>
            <w:r>
              <w:t xml:space="preserve">P50</w:t>
            </w:r>
          </w:p>
        </w:tc>
        <w:tc>
          <w:tcPr/>
          <w:p>
            <w:pPr>
              <w:pStyle w:val="Compact"/>
              <w:jc w:val="left"/>
            </w:pPr>
            <w:r>
              <w:t xml:space="preserve">P75</w:t>
            </w:r>
          </w:p>
        </w:tc>
        <w:tc>
          <w:tcPr/>
          <w:p>
            <w:pPr>
              <w:pStyle w:val="Compact"/>
              <w:jc w:val="left"/>
            </w:pPr>
            <w:r>
              <w:t xml:space="preserve">P90</w:t>
            </w:r>
          </w:p>
        </w:tc>
        <w:tc>
          <w:tcPr/>
          <w:p>
            <w:pPr>
              <w:pStyle w:val="Compact"/>
              <w:jc w:val="left"/>
            </w:pPr>
            <w:r>
              <w:t xml:space="preserve">P95</w:t>
            </w:r>
          </w:p>
        </w:tc>
        <w:tc>
          <w:tcPr/>
          <w:p>
            <w:pPr>
              <w:pStyle w:val="Compact"/>
              <w:jc w:val="left"/>
            </w:pPr>
            <w:r>
              <w:t xml:space="preserve">P99</w:t>
            </w:r>
          </w:p>
        </w:tc>
      </w:tr>
      <w:tr>
        <w:tc>
          <w:tcPr/>
          <w:p>
            <w:pPr>
              <w:pStyle w:val="Compact"/>
              <w:jc w:val="left"/>
            </w:pPr>
            <w:r>
              <w:t xml:space="preserve">Load (MW)</w:t>
            </w:r>
          </w:p>
        </w:tc>
        <w:tc>
          <w:tcPr/>
          <w:p>
            <w:pPr>
              <w:pStyle w:val="Compact"/>
              <w:jc w:val="left"/>
            </w:pPr>
            <w:r>
              <w:t xml:space="preserve">-423</w:t>
            </w:r>
          </w:p>
        </w:tc>
        <w:tc>
          <w:tcPr/>
          <w:p>
            <w:pPr>
              <w:pStyle w:val="Compact"/>
              <w:jc w:val="left"/>
            </w:pPr>
            <w:r>
              <w:t xml:space="preserve">-178</w:t>
            </w:r>
          </w:p>
        </w:tc>
        <w:tc>
          <w:tcPr/>
          <w:p>
            <w:pPr>
              <w:pStyle w:val="Compact"/>
              <w:jc w:val="left"/>
            </w:pPr>
            <w:r>
              <w:t xml:space="preserve">-12</w:t>
            </w:r>
          </w:p>
        </w:tc>
        <w:tc>
          <w:tcPr/>
          <w:p>
            <w:pPr>
              <w:pStyle w:val="Compact"/>
              <w:jc w:val="left"/>
            </w:pPr>
            <w:r>
              <w:t xml:space="preserve">+165</w:t>
            </w:r>
          </w:p>
        </w:tc>
        <w:tc>
          <w:tcPr/>
          <w:p>
            <w:pPr>
              <w:pStyle w:val="Compact"/>
              <w:jc w:val="left"/>
            </w:pPr>
            <w:r>
              <w:t xml:space="preserve">+398</w:t>
            </w:r>
          </w:p>
        </w:tc>
        <w:tc>
          <w:tcPr/>
          <w:p>
            <w:pPr>
              <w:pStyle w:val="Compact"/>
              <w:jc w:val="left"/>
            </w:pPr>
            <w:r>
              <w:t xml:space="preserve">+534</w:t>
            </w:r>
          </w:p>
        </w:tc>
        <w:tc>
          <w:tcPr/>
          <w:p>
            <w:pPr>
              <w:pStyle w:val="Compact"/>
              <w:jc w:val="left"/>
            </w:pPr>
            <w:r>
              <w:t xml:space="preserve">+812</w:t>
            </w:r>
          </w:p>
        </w:tc>
      </w:tr>
      <w:tr>
        <w:tc>
          <w:tcPr/>
          <w:p>
            <w:pPr>
              <w:pStyle w:val="Compact"/>
              <w:jc w:val="left"/>
            </w:pPr>
            <w:r>
              <w:t xml:space="preserve">Wind (MW)</w:t>
            </w:r>
          </w:p>
        </w:tc>
        <w:tc>
          <w:tcPr/>
          <w:p>
            <w:pPr>
              <w:pStyle w:val="Compact"/>
              <w:jc w:val="left"/>
            </w:pPr>
            <w:r>
              <w:t xml:space="preserve">-287</w:t>
            </w:r>
          </w:p>
        </w:tc>
        <w:tc>
          <w:tcPr/>
          <w:p>
            <w:pPr>
              <w:pStyle w:val="Compact"/>
              <w:jc w:val="left"/>
            </w:pPr>
            <w:r>
              <w:t xml:space="preserve">-112</w:t>
            </w:r>
          </w:p>
        </w:tc>
        <w:tc>
          <w:tcPr/>
          <w:p>
            <w:pPr>
              <w:pStyle w:val="Compact"/>
              <w:jc w:val="left"/>
            </w:pPr>
            <w:r>
              <w:t xml:space="preserve">-8</w:t>
            </w:r>
          </w:p>
        </w:tc>
        <w:tc>
          <w:tcPr/>
          <w:p>
            <w:pPr>
              <w:pStyle w:val="Compact"/>
              <w:jc w:val="left"/>
            </w:pPr>
            <w:r>
              <w:t xml:space="preserve">+98</w:t>
            </w:r>
          </w:p>
        </w:tc>
        <w:tc>
          <w:tcPr/>
          <w:p>
            <w:pPr>
              <w:pStyle w:val="Compact"/>
              <w:jc w:val="left"/>
            </w:pPr>
            <w:r>
              <w:t xml:space="preserve">+256</w:t>
            </w:r>
          </w:p>
        </w:tc>
        <w:tc>
          <w:tcPr/>
          <w:p>
            <w:pPr>
              <w:pStyle w:val="Compact"/>
              <w:jc w:val="left"/>
            </w:pPr>
            <w:r>
              <w:t xml:space="preserve">+387</w:t>
            </w:r>
          </w:p>
        </w:tc>
        <w:tc>
          <w:tcPr/>
          <w:p>
            <w:pPr>
              <w:pStyle w:val="Compact"/>
              <w:jc w:val="left"/>
            </w:pPr>
            <w:r>
              <w:t xml:space="preserve">+623</w:t>
            </w:r>
          </w:p>
        </w:tc>
      </w:tr>
      <w:tr>
        <w:tc>
          <w:tcPr/>
          <w:p>
            <w:pPr>
              <w:pStyle w:val="Compact"/>
              <w:jc w:val="left"/>
            </w:pPr>
            <w:r>
              <w:t xml:space="preserve">Solar (MW)</w:t>
            </w:r>
          </w:p>
        </w:tc>
        <w:tc>
          <w:tcPr/>
          <w:p>
            <w:pPr>
              <w:pStyle w:val="Compact"/>
              <w:jc w:val="left"/>
            </w:pPr>
            <w:r>
              <w:t xml:space="preserve">-198</w:t>
            </w:r>
          </w:p>
        </w:tc>
        <w:tc>
          <w:tcPr/>
          <w:p>
            <w:pPr>
              <w:pStyle w:val="Compact"/>
              <w:jc w:val="left"/>
            </w:pPr>
            <w:r>
              <w:t xml:space="preserve">-78</w:t>
            </w:r>
          </w:p>
        </w:tc>
        <w:tc>
          <w:tcPr/>
          <w:p>
            <w:pPr>
              <w:pStyle w:val="Compact"/>
              <w:jc w:val="left"/>
            </w:pPr>
            <w:r>
              <w:t xml:space="preserve">-4</w:t>
            </w:r>
          </w:p>
        </w:tc>
        <w:tc>
          <w:tcPr/>
          <w:p>
            <w:pPr>
              <w:pStyle w:val="Compact"/>
              <w:jc w:val="left"/>
            </w:pPr>
            <w:r>
              <w:t xml:space="preserve">+72</w:t>
            </w:r>
          </w:p>
        </w:tc>
        <w:tc>
          <w:tcPr/>
          <w:p>
            <w:pPr>
              <w:pStyle w:val="Compact"/>
              <w:jc w:val="left"/>
            </w:pPr>
            <w:r>
              <w:t xml:space="preserve">+178</w:t>
            </w:r>
          </w:p>
        </w:tc>
        <w:tc>
          <w:tcPr/>
          <w:p>
            <w:pPr>
              <w:pStyle w:val="Compact"/>
              <w:jc w:val="left"/>
            </w:pPr>
            <w:r>
              <w:t xml:space="preserve">+267</w:t>
            </w:r>
          </w:p>
        </w:tc>
        <w:tc>
          <w:tcPr/>
          <w:p>
            <w:pPr>
              <w:pStyle w:val="Compact"/>
              <w:jc w:val="left"/>
            </w:pPr>
            <w:r>
              <w:t xml:space="preserve">+445</w:t>
            </w:r>
          </w:p>
        </w:tc>
      </w:tr>
    </w:tbl>
    <w:bookmarkEnd w:id="136"/>
    <w:bookmarkEnd w:id="137"/>
    <w:bookmarkStart w:id="139" w:name="error-normality-tests"/>
    <w:p>
      <w:pPr>
        <w:pStyle w:val="Heading2"/>
      </w:pPr>
      <w:r>
        <w:t xml:space="preserve">Error Normality Tests</w:t>
      </w:r>
    </w:p>
    <w:bookmarkStart w:id="138" w:name="tab:k2"/>
    <w:p>
      <w:pPr>
        <w:pStyle w:val="TableCaption"/>
      </w:pPr>
      <w:r>
        <w:t xml:space="preserve">Error Distribution Normality Tests</w:t>
      </w:r>
    </w:p>
    <w:tbl>
      <w:tblPr>
        <w:tblStyle w:val="Table"/>
        <w:tblW w:type="auto" w:w="0"/>
        <w:tblLook w:firstRow="1" w:lastRow="0" w:firstColumn="0" w:lastColumn="0" w:noHBand="0" w:noVBand="0" w:val="0020"/>
        <w:tblCaption w:val="Error Distribution Normality Tests"/>
      </w:tblPr>
      <w:tblGrid>
        <w:gridCol w:w="1320"/>
        <w:gridCol w:w="1320"/>
        <w:gridCol w:w="1320"/>
        <w:gridCol w:w="1320"/>
        <w:gridCol w:w="1320"/>
        <w:gridCol w:w="1320"/>
      </w:tblGrid>
      <w:tr>
        <w:trPr>
          <w:tblHeader w:val="on"/>
        </w:trPr>
        <w:tc>
          <w:tcPr/>
          <w:p>
            <w:pPr>
              <w:pStyle w:val="Compact"/>
              <w:jc w:val="left"/>
            </w:pPr>
            <w:r>
              <w:t xml:space="preserve">Target</w:t>
            </w:r>
          </w:p>
        </w:tc>
        <w:tc>
          <w:tcPr/>
          <w:p>
            <w:pPr>
              <w:pStyle w:val="Compact"/>
              <w:jc w:val="left"/>
            </w:pPr>
            <w:r>
              <w:t xml:space="preserve">Shapiro-Wilk W</w:t>
            </w:r>
          </w:p>
        </w:tc>
        <w:tc>
          <w:tcPr/>
          <w:p>
            <w:pPr>
              <w:pStyle w:val="Compact"/>
              <w:jc w:val="left"/>
            </w:pPr>
            <w:r>
              <w:t xml:space="preserve">p-value</w:t>
            </w:r>
          </w:p>
        </w:tc>
        <w:tc>
          <w:tcPr/>
          <w:p>
            <w:pPr>
              <w:pStyle w:val="Compact"/>
              <w:jc w:val="left"/>
            </w:pPr>
            <w:r>
              <w:t xml:space="preserve">Skewness</w:t>
            </w:r>
          </w:p>
        </w:tc>
        <w:tc>
          <w:tcPr/>
          <w:p>
            <w:pPr>
              <w:pStyle w:val="Compact"/>
              <w:jc w:val="left"/>
            </w:pPr>
            <w:r>
              <w:t xml:space="preserve">Kurtosis</w:t>
            </w:r>
          </w:p>
        </w:tc>
        <w:tc>
          <w:tcPr/>
          <w:p>
            <w:pPr>
              <w:pStyle w:val="Compact"/>
              <w:jc w:val="left"/>
            </w:pPr>
            <w:r>
              <w:t xml:space="preserve">Distribution</w:t>
            </w:r>
          </w:p>
        </w:tc>
      </w:tr>
      <w:tr>
        <w:tc>
          <w:tcPr/>
          <w:p>
            <w:pPr>
              <w:pStyle w:val="Compact"/>
              <w:jc w:val="left"/>
            </w:pPr>
            <w:r>
              <w:t xml:space="preserve">Load</w:t>
            </w:r>
          </w:p>
        </w:tc>
        <w:tc>
          <w:tcPr/>
          <w:p>
            <w:pPr>
              <w:pStyle w:val="Compact"/>
              <w:jc w:val="left"/>
            </w:pPr>
            <w:r>
              <w:t xml:space="preserve">0.9823</w:t>
            </w:r>
          </w:p>
        </w:tc>
        <w:tc>
          <w:tcPr/>
          <w:p>
            <w:pPr>
              <w:pStyle w:val="Compact"/>
              <w:jc w:val="left"/>
            </w:pPr>
            <w:r>
              <w:t xml:space="preserve">&lt;0.001</w:t>
            </w:r>
          </w:p>
        </w:tc>
        <w:tc>
          <w:tcPr/>
          <w:p>
            <w:pPr>
              <w:pStyle w:val="Compact"/>
              <w:jc w:val="left"/>
            </w:pPr>
            <w:r>
              <w:t xml:space="preserve">+0.23</w:t>
            </w:r>
          </w:p>
        </w:tc>
        <w:tc>
          <w:tcPr/>
          <w:p>
            <w:pPr>
              <w:pStyle w:val="Compact"/>
              <w:jc w:val="left"/>
            </w:pPr>
            <w:r>
              <w:t xml:space="preserve">3.87</w:t>
            </w:r>
          </w:p>
        </w:tc>
        <w:tc>
          <w:tcPr/>
          <w:p>
            <w:pPr>
              <w:pStyle w:val="Compact"/>
              <w:jc w:val="left"/>
            </w:pPr>
            <w:r>
              <w:t xml:space="preserve">Light right tail</w:t>
            </w:r>
          </w:p>
        </w:tc>
      </w:tr>
      <w:tr>
        <w:tc>
          <w:tcPr/>
          <w:p>
            <w:pPr>
              <w:pStyle w:val="Compact"/>
              <w:jc w:val="left"/>
            </w:pPr>
            <w:r>
              <w:t xml:space="preserve">Wind</w:t>
            </w:r>
          </w:p>
        </w:tc>
        <w:tc>
          <w:tcPr/>
          <w:p>
            <w:pPr>
              <w:pStyle w:val="Compact"/>
              <w:jc w:val="left"/>
            </w:pPr>
            <w:r>
              <w:t xml:space="preserve">0.9456</w:t>
            </w:r>
          </w:p>
        </w:tc>
        <w:tc>
          <w:tcPr/>
          <w:p>
            <w:pPr>
              <w:pStyle w:val="Compact"/>
              <w:jc w:val="left"/>
            </w:pPr>
            <w:r>
              <w:t xml:space="preserve">&lt;0.001</w:t>
            </w:r>
          </w:p>
        </w:tc>
        <w:tc>
          <w:tcPr/>
          <w:p>
            <w:pPr>
              <w:pStyle w:val="Compact"/>
              <w:jc w:val="left"/>
            </w:pPr>
            <w:r>
              <w:t xml:space="preserve">+0.67</w:t>
            </w:r>
          </w:p>
        </w:tc>
        <w:tc>
          <w:tcPr/>
          <w:p>
            <w:pPr>
              <w:pStyle w:val="Compact"/>
              <w:jc w:val="left"/>
            </w:pPr>
            <w:r>
              <w:t xml:space="preserve">5.23</w:t>
            </w:r>
          </w:p>
        </w:tc>
        <w:tc>
          <w:tcPr/>
          <w:p>
            <w:pPr>
              <w:pStyle w:val="Compact"/>
              <w:jc w:val="left"/>
            </w:pPr>
            <w:r>
              <w:t xml:space="preserve">Heavy right tail</w:t>
            </w:r>
          </w:p>
        </w:tc>
      </w:tr>
      <w:tr>
        <w:tc>
          <w:tcPr/>
          <w:p>
            <w:pPr>
              <w:pStyle w:val="Compact"/>
              <w:jc w:val="left"/>
            </w:pPr>
            <w:r>
              <w:t xml:space="preserve">Solar</w:t>
            </w:r>
          </w:p>
        </w:tc>
        <w:tc>
          <w:tcPr/>
          <w:p>
            <w:pPr>
              <w:pStyle w:val="Compact"/>
              <w:jc w:val="left"/>
            </w:pPr>
            <w:r>
              <w:t xml:space="preserve">0.9234</w:t>
            </w:r>
          </w:p>
        </w:tc>
        <w:tc>
          <w:tcPr/>
          <w:p>
            <w:pPr>
              <w:pStyle w:val="Compact"/>
              <w:jc w:val="left"/>
            </w:pPr>
            <w:r>
              <w:t xml:space="preserve">&lt;0.001</w:t>
            </w:r>
          </w:p>
        </w:tc>
        <w:tc>
          <w:tcPr/>
          <w:p>
            <w:pPr>
              <w:pStyle w:val="Compact"/>
              <w:jc w:val="left"/>
            </w:pPr>
            <w:r>
              <w:t xml:space="preserve">+0.89</w:t>
            </w:r>
          </w:p>
        </w:tc>
        <w:tc>
          <w:tcPr/>
          <w:p>
            <w:pPr>
              <w:pStyle w:val="Compact"/>
              <w:jc w:val="left"/>
            </w:pPr>
            <w:r>
              <w:t xml:space="preserve">6.45</w:t>
            </w:r>
          </w:p>
        </w:tc>
        <w:tc>
          <w:tcPr/>
          <w:p>
            <w:pPr>
              <w:pStyle w:val="Compact"/>
              <w:jc w:val="left"/>
            </w:pPr>
            <w:r>
              <w:t xml:space="preserve">Heavy right tail</w:t>
            </w:r>
          </w:p>
        </w:tc>
      </w:tr>
    </w:tbl>
    <w:bookmarkEnd w:id="138"/>
    <w:p>
      <w:pPr>
        <w:pStyle w:val="BodyText"/>
      </w:pPr>
      <w:r>
        <w:t xml:space="preserve">Implication: Non-Gaussian errors justify conformal prediction over parametric intervals.</w:t>
      </w:r>
    </w:p>
    <w:bookmarkEnd w:id="139"/>
    <w:bookmarkStart w:id="141" w:name="autocorrelation-of-residuals"/>
    <w:p>
      <w:pPr>
        <w:pStyle w:val="Heading2"/>
      </w:pPr>
      <w:r>
        <w:t xml:space="preserve">Autocorrelation of Residuals</w:t>
      </w:r>
    </w:p>
    <w:bookmarkStart w:id="140" w:name="tab:k3"/>
    <w:p>
      <w:pPr>
        <w:pStyle w:val="TableCaption"/>
      </w:pPr>
      <w:r>
        <w:t xml:space="preserve">Residual Autocorrelation Analysis</w:t>
      </w:r>
    </w:p>
    <w:tbl>
      <w:tblPr>
        <w:tblStyle w:val="Table"/>
        <w:tblW w:type="auto" w:w="0"/>
        <w:tblLook w:firstRow="1" w:lastRow="0" w:firstColumn="0" w:lastColumn="0" w:noHBand="0" w:noVBand="0" w:val="0020"/>
        <w:tblCaption w:val="Residual Autocorrelation Analysis"/>
      </w:tblPr>
      <w:tblGrid>
        <w:gridCol w:w="1584"/>
        <w:gridCol w:w="1584"/>
        <w:gridCol w:w="1584"/>
        <w:gridCol w:w="1584"/>
        <w:gridCol w:w="1584"/>
      </w:tblGrid>
      <w:tr>
        <w:trPr>
          <w:tblHeader w:val="on"/>
        </w:trPr>
        <w:tc>
          <w:tcPr/>
          <w:p>
            <w:pPr>
              <w:pStyle w:val="Compact"/>
              <w:jc w:val="left"/>
            </w:pPr>
            <w:r>
              <w:t xml:space="preserve">Target</w:t>
            </w:r>
          </w:p>
        </w:tc>
        <w:tc>
          <w:tcPr/>
          <w:p>
            <w:pPr>
              <w:pStyle w:val="Compact"/>
              <w:jc w:val="left"/>
            </w:pPr>
            <w:r>
              <w:t xml:space="preserve">Lag-1 ACF</w:t>
            </w:r>
          </w:p>
        </w:tc>
        <w:tc>
          <w:tcPr/>
          <w:p>
            <w:pPr>
              <w:pStyle w:val="Compact"/>
              <w:jc w:val="left"/>
            </w:pPr>
            <w:r>
              <w:t xml:space="preserve">Lag-24 ACF</w:t>
            </w:r>
          </w:p>
        </w:tc>
        <w:tc>
          <w:tcPr/>
          <w:p>
            <w:pPr>
              <w:pStyle w:val="Compact"/>
              <w:jc w:val="left"/>
            </w:pPr>
            <w:r>
              <w:t xml:space="preserve">Ljung-Box Q</w:t>
            </w:r>
          </w:p>
        </w:tc>
        <w:tc>
          <w:tcPr/>
          <w:p>
            <w:pPr>
              <w:pStyle w:val="Compact"/>
              <w:jc w:val="left"/>
            </w:pPr>
            <w:r>
              <w:t xml:space="preserve">p-value</w:t>
            </w:r>
          </w:p>
        </w:tc>
      </w:tr>
      <w:tr>
        <w:tc>
          <w:tcPr/>
          <w:p>
            <w:pPr>
              <w:pStyle w:val="Compact"/>
              <w:jc w:val="left"/>
            </w:pPr>
            <w:r>
              <w:t xml:space="preserve">Load</w:t>
            </w:r>
          </w:p>
        </w:tc>
        <w:tc>
          <w:tcPr/>
          <w:p>
            <w:pPr>
              <w:pStyle w:val="Compact"/>
              <w:jc w:val="left"/>
            </w:pPr>
            <w:r>
              <w:t xml:space="preserve">0.312</w:t>
            </w:r>
          </w:p>
        </w:tc>
        <w:tc>
          <w:tcPr/>
          <w:p>
            <w:pPr>
              <w:pStyle w:val="Compact"/>
              <w:jc w:val="left"/>
            </w:pPr>
            <w:r>
              <w:t xml:space="preserve">0.156</w:t>
            </w:r>
          </w:p>
        </w:tc>
        <w:tc>
          <w:tcPr/>
          <w:p>
            <w:pPr>
              <w:pStyle w:val="Compact"/>
              <w:jc w:val="left"/>
            </w:pPr>
            <w:r>
              <w:t xml:space="preserve">1,245.6</w:t>
            </w:r>
          </w:p>
        </w:tc>
        <w:tc>
          <w:tcPr/>
          <w:p>
            <w:pPr>
              <w:pStyle w:val="Compact"/>
              <w:jc w:val="left"/>
            </w:pPr>
            <w:r>
              <w:t xml:space="preserve">&lt;0.001</w:t>
            </w:r>
          </w:p>
        </w:tc>
      </w:tr>
      <w:tr>
        <w:tc>
          <w:tcPr/>
          <w:p>
            <w:pPr>
              <w:pStyle w:val="Compact"/>
              <w:jc w:val="left"/>
            </w:pPr>
            <w:r>
              <w:t xml:space="preserve">Wind</w:t>
            </w:r>
          </w:p>
        </w:tc>
        <w:tc>
          <w:tcPr/>
          <w:p>
            <w:pPr>
              <w:pStyle w:val="Compact"/>
              <w:jc w:val="left"/>
            </w:pPr>
            <w:r>
              <w:t xml:space="preserve">0.456</w:t>
            </w:r>
          </w:p>
        </w:tc>
        <w:tc>
          <w:tcPr/>
          <w:p>
            <w:pPr>
              <w:pStyle w:val="Compact"/>
              <w:jc w:val="left"/>
            </w:pPr>
            <w:r>
              <w:t xml:space="preserve">0.234</w:t>
            </w:r>
          </w:p>
        </w:tc>
        <w:tc>
          <w:tcPr/>
          <w:p>
            <w:pPr>
              <w:pStyle w:val="Compact"/>
              <w:jc w:val="left"/>
            </w:pPr>
            <w:r>
              <w:t xml:space="preserve">2,345.8</w:t>
            </w:r>
          </w:p>
        </w:tc>
        <w:tc>
          <w:tcPr/>
          <w:p>
            <w:pPr>
              <w:pStyle w:val="Compact"/>
              <w:jc w:val="left"/>
            </w:pPr>
            <w:r>
              <w:t xml:space="preserve">&lt;0.001</w:t>
            </w:r>
          </w:p>
        </w:tc>
      </w:tr>
      <w:tr>
        <w:tc>
          <w:tcPr/>
          <w:p>
            <w:pPr>
              <w:pStyle w:val="Compact"/>
              <w:jc w:val="left"/>
            </w:pPr>
            <w:r>
              <w:t xml:space="preserve">Solar</w:t>
            </w:r>
          </w:p>
        </w:tc>
        <w:tc>
          <w:tcPr/>
          <w:p>
            <w:pPr>
              <w:pStyle w:val="Compact"/>
              <w:jc w:val="left"/>
            </w:pPr>
            <w:r>
              <w:t xml:space="preserve">0.378</w:t>
            </w:r>
          </w:p>
        </w:tc>
        <w:tc>
          <w:tcPr/>
          <w:p>
            <w:pPr>
              <w:pStyle w:val="Compact"/>
              <w:jc w:val="left"/>
            </w:pPr>
            <w:r>
              <w:t xml:space="preserve">0.189</w:t>
            </w:r>
          </w:p>
        </w:tc>
        <w:tc>
          <w:tcPr/>
          <w:p>
            <w:pPr>
              <w:pStyle w:val="Compact"/>
              <w:jc w:val="left"/>
            </w:pPr>
            <w:r>
              <w:t xml:space="preserve">1,678.4</w:t>
            </w:r>
          </w:p>
        </w:tc>
        <w:tc>
          <w:tcPr/>
          <w:p>
            <w:pPr>
              <w:pStyle w:val="Compact"/>
              <w:jc w:val="left"/>
            </w:pPr>
            <w:r>
              <w:t xml:space="preserve">&lt;0.001</w:t>
            </w:r>
          </w:p>
        </w:tc>
      </w:tr>
    </w:tbl>
    <w:bookmarkEnd w:id="140"/>
    <w:p>
      <w:pPr>
        <w:pStyle w:val="BodyText"/>
      </w:pPr>
      <w:r>
        <w:t xml:space="preserve">Finding: Significant residual autocorrelation suggests potential for error correction models (future work).</w:t>
      </w:r>
    </w:p>
    <w:bookmarkEnd w:id="141"/>
    <w:bookmarkEnd w:id="142"/>
    <w:bookmarkStart w:id="147" w:name="shap-feature-importance-analysis"/>
    <w:p>
      <w:pPr>
        <w:pStyle w:val="Heading1"/>
      </w:pPr>
      <w:r>
        <w:t xml:space="preserve">SHAP Feature Importance Analysis</w:t>
      </w:r>
    </w:p>
    <w:bookmarkStart w:id="144" w:name="X5eb77ab32279fd0500f612ed5beeacf0fbe617b"/>
    <w:p>
      <w:pPr>
        <w:pStyle w:val="Heading2"/>
      </w:pPr>
      <w:r>
        <w:t xml:space="preserve">Top 20 Features by SHAP Value (Load Forecasting, Germany)</w:t>
      </w:r>
    </w:p>
    <w:bookmarkStart w:id="143" w:name="tab:l1"/>
    <w:p>
      <w:pPr>
        <w:pStyle w:val="TableCaption"/>
      </w:pPr>
      <w:r>
        <w:t xml:space="preserve">SHAP Feature Importance Rankings (Load)</w:t>
      </w:r>
    </w:p>
    <w:tbl>
      <w:tblPr>
        <w:tblStyle w:val="Table"/>
        <w:tblW w:type="auto" w:w="0"/>
        <w:tblLook w:firstRow="1" w:lastRow="0" w:firstColumn="0" w:lastColumn="0" w:noHBand="0" w:noVBand="0" w:val="0020"/>
        <w:tblCaption w:val="SHAP Feature Importance Rankings (Load)"/>
      </w:tblPr>
      <w:tblGrid>
        <w:gridCol w:w="1131"/>
        <w:gridCol w:w="1131"/>
        <w:gridCol w:w="1131"/>
        <w:gridCol w:w="1131"/>
        <w:gridCol w:w="1131"/>
        <w:gridCol w:w="1131"/>
        <w:gridCol w:w="1131"/>
      </w:tblGrid>
      <w:tr>
        <w:trPr>
          <w:tblHeader w:val="on"/>
        </w:trPr>
        <w:tc>
          <w:tcPr/>
          <w:p>
            <w:pPr>
              <w:pStyle w:val="Compact"/>
              <w:jc w:val="left"/>
            </w:pPr>
            <w:r>
              <w:t xml:space="preserve">Rank</w:t>
            </w:r>
          </w:p>
        </w:tc>
        <w:tc>
          <w:tcPr/>
          <w:p>
            <w:pPr>
              <w:pStyle w:val="Compact"/>
              <w:jc w:val="left"/>
            </w:pPr>
            <w:r>
              <w:t xml:space="preserve">Feature</w:t>
            </w:r>
          </w:p>
        </w:tc>
        <w:tc>
          <w:tcPr/>
          <w:p>
            <w:pPr>
              <w:pStyle w:val="Compact"/>
              <w:jc w:val="left"/>
            </w:pPr>
            <w:r>
              <w:t xml:space="preserve">Mean</w:t>
            </w:r>
          </w:p>
        </w:tc>
        <w:tc>
          <w:tcPr/>
          <w:p>
            <w:pPr>
              <w:pStyle w:val="Compact"/>
              <w:jc w:val="left"/>
            </w:pPr>
            <w:r>
              <w:t xml:space="preserve">SHAP</w:t>
            </w:r>
          </w:p>
        </w:tc>
        <w:tc>
          <w:tcPr/>
          <w:p>
            <w:pPr>
              <w:pStyle w:val="Compact"/>
            </w:pPr>
          </w:p>
        </w:tc>
        <w:tc>
          <w:tcPr/>
          <w:p>
            <w:pPr>
              <w:pStyle w:val="Compact"/>
              <w:jc w:val="left"/>
            </w:pPr>
            <w:r>
              <w:t xml:space="preserve">% Contribution</w:t>
            </w:r>
          </w:p>
        </w:tc>
        <w:tc>
          <w:tcPr/>
          <w:p>
            <w:pPr>
              <w:pStyle w:val="Compact"/>
              <w:jc w:val="left"/>
            </w:pPr>
            <w:r>
              <w:t xml:space="preserve">Cumulative %</w:t>
            </w:r>
          </w:p>
        </w:tc>
      </w:tr>
      <w:tr>
        <w:tc>
          <w:tcPr/>
          <w:p>
            <w:pPr>
              <w:pStyle w:val="Compact"/>
              <w:jc w:val="left"/>
            </w:pPr>
            <w:r>
              <w:t xml:space="preserve">1</w:t>
            </w:r>
          </w:p>
        </w:tc>
        <w:tc>
          <w:tcPr/>
          <w:p>
            <w:pPr>
              <w:pStyle w:val="Compact"/>
              <w:jc w:val="left"/>
            </w:pPr>
            <w:r>
              <w:t xml:space="preserve">load_mw_lag_1h</w:t>
            </w:r>
          </w:p>
        </w:tc>
        <w:tc>
          <w:tcPr/>
          <w:p>
            <w:pPr>
              <w:pStyle w:val="Compact"/>
              <w:jc w:val="left"/>
            </w:pPr>
            <w:r>
              <w:t xml:space="preserve">0.342</w:t>
            </w:r>
          </w:p>
        </w:tc>
        <w:tc>
          <w:tcPr/>
          <w:p>
            <w:pPr>
              <w:pStyle w:val="Compact"/>
              <w:jc w:val="left"/>
            </w:pPr>
            <w:r>
              <w:t xml:space="preserve">18.2%</w:t>
            </w:r>
          </w:p>
        </w:tc>
        <w:tc>
          <w:tcPr/>
          <w:p>
            <w:pPr>
              <w:pStyle w:val="Compact"/>
              <w:jc w:val="left"/>
            </w:pPr>
            <w:r>
              <w:t xml:space="preserve">18.2%</w:t>
            </w:r>
          </w:p>
        </w:tc>
        <w:tc>
          <w:tcPr/>
          <w:p>
            <w:pPr>
              <w:pStyle w:val="Compact"/>
            </w:pPr>
          </w:p>
        </w:tc>
        <w:tc>
          <w:tcPr/>
          <w:p>
            <w:pPr>
              <w:pStyle w:val="Compact"/>
            </w:pPr>
          </w:p>
        </w:tc>
      </w:tr>
      <w:tr>
        <w:tc>
          <w:tcPr/>
          <w:p>
            <w:pPr>
              <w:pStyle w:val="Compact"/>
              <w:jc w:val="left"/>
            </w:pPr>
            <w:r>
              <w:t xml:space="preserve">2</w:t>
            </w:r>
          </w:p>
        </w:tc>
        <w:tc>
          <w:tcPr/>
          <w:p>
            <w:pPr>
              <w:pStyle w:val="Compact"/>
              <w:jc w:val="left"/>
            </w:pPr>
            <w:r>
              <w:t xml:space="preserve">load_mw_lag_24h</w:t>
            </w:r>
          </w:p>
        </w:tc>
        <w:tc>
          <w:tcPr/>
          <w:p>
            <w:pPr>
              <w:pStyle w:val="Compact"/>
              <w:jc w:val="left"/>
            </w:pPr>
            <w:r>
              <w:t xml:space="preserve">0.287</w:t>
            </w:r>
          </w:p>
        </w:tc>
        <w:tc>
          <w:tcPr/>
          <w:p>
            <w:pPr>
              <w:pStyle w:val="Compact"/>
              <w:jc w:val="left"/>
            </w:pPr>
            <w:r>
              <w:t xml:space="preserve">15.3%</w:t>
            </w:r>
          </w:p>
        </w:tc>
        <w:tc>
          <w:tcPr/>
          <w:p>
            <w:pPr>
              <w:pStyle w:val="Compact"/>
              <w:jc w:val="left"/>
            </w:pPr>
            <w:r>
              <w:t xml:space="preserve">33.5%</w:t>
            </w:r>
          </w:p>
        </w:tc>
        <w:tc>
          <w:tcPr/>
          <w:p>
            <w:pPr>
              <w:pStyle w:val="Compact"/>
            </w:pPr>
          </w:p>
        </w:tc>
        <w:tc>
          <w:tcPr/>
          <w:p>
            <w:pPr>
              <w:pStyle w:val="Compact"/>
            </w:pPr>
          </w:p>
        </w:tc>
      </w:tr>
      <w:tr>
        <w:tc>
          <w:tcPr/>
          <w:p>
            <w:pPr>
              <w:pStyle w:val="Compact"/>
              <w:jc w:val="left"/>
            </w:pPr>
            <w:r>
              <w:t xml:space="preserve">3</w:t>
            </w:r>
          </w:p>
        </w:tc>
        <w:tc>
          <w:tcPr/>
          <w:p>
            <w:pPr>
              <w:pStyle w:val="Compact"/>
              <w:jc w:val="left"/>
            </w:pPr>
            <w:r>
              <w:t xml:space="preserve">load_mw_rolling_mean_24h</w:t>
            </w:r>
          </w:p>
        </w:tc>
        <w:tc>
          <w:tcPr/>
          <w:p>
            <w:pPr>
              <w:pStyle w:val="Compact"/>
              <w:jc w:val="left"/>
            </w:pPr>
            <w:r>
              <w:t xml:space="preserve">0.198</w:t>
            </w:r>
          </w:p>
        </w:tc>
        <w:tc>
          <w:tcPr/>
          <w:p>
            <w:pPr>
              <w:pStyle w:val="Compact"/>
              <w:jc w:val="left"/>
            </w:pPr>
            <w:r>
              <w:t xml:space="preserve">10.5%</w:t>
            </w:r>
          </w:p>
        </w:tc>
        <w:tc>
          <w:tcPr/>
          <w:p>
            <w:pPr>
              <w:pStyle w:val="Compact"/>
              <w:jc w:val="left"/>
            </w:pPr>
            <w:r>
              <w:t xml:space="preserve">44.0%</w:t>
            </w:r>
          </w:p>
        </w:tc>
        <w:tc>
          <w:tcPr/>
          <w:p>
            <w:pPr>
              <w:pStyle w:val="Compact"/>
            </w:pPr>
          </w:p>
        </w:tc>
        <w:tc>
          <w:tcPr/>
          <w:p>
            <w:pPr>
              <w:pStyle w:val="Compact"/>
            </w:pPr>
          </w:p>
        </w:tc>
      </w:tr>
      <w:tr>
        <w:tc>
          <w:tcPr/>
          <w:p>
            <w:pPr>
              <w:pStyle w:val="Compact"/>
              <w:jc w:val="left"/>
            </w:pPr>
            <w:r>
              <w:t xml:space="preserve">4</w:t>
            </w:r>
          </w:p>
        </w:tc>
        <w:tc>
          <w:tcPr/>
          <w:p>
            <w:pPr>
              <w:pStyle w:val="Compact"/>
              <w:jc w:val="left"/>
            </w:pPr>
            <w:r>
              <w:t xml:space="preserve">hour_sin</w:t>
            </w:r>
          </w:p>
        </w:tc>
        <w:tc>
          <w:tcPr/>
          <w:p>
            <w:pPr>
              <w:pStyle w:val="Compact"/>
              <w:jc w:val="left"/>
            </w:pPr>
            <w:r>
              <w:t xml:space="preserve">0.156</w:t>
            </w:r>
          </w:p>
        </w:tc>
        <w:tc>
          <w:tcPr/>
          <w:p>
            <w:pPr>
              <w:pStyle w:val="Compact"/>
              <w:jc w:val="left"/>
            </w:pPr>
            <w:r>
              <w:t xml:space="preserve">8.3%</w:t>
            </w:r>
          </w:p>
        </w:tc>
        <w:tc>
          <w:tcPr/>
          <w:p>
            <w:pPr>
              <w:pStyle w:val="Compact"/>
              <w:jc w:val="left"/>
            </w:pPr>
            <w:r>
              <w:t xml:space="preserve">52.3%</w:t>
            </w:r>
          </w:p>
        </w:tc>
        <w:tc>
          <w:tcPr/>
          <w:p>
            <w:pPr>
              <w:pStyle w:val="Compact"/>
            </w:pPr>
          </w:p>
        </w:tc>
        <w:tc>
          <w:tcPr/>
          <w:p>
            <w:pPr>
              <w:pStyle w:val="Compact"/>
            </w:pPr>
          </w:p>
        </w:tc>
      </w:tr>
      <w:tr>
        <w:tc>
          <w:tcPr/>
          <w:p>
            <w:pPr>
              <w:pStyle w:val="Compact"/>
              <w:jc w:val="left"/>
            </w:pPr>
            <w:r>
              <w:t xml:space="preserve">5</w:t>
            </w:r>
          </w:p>
        </w:tc>
        <w:tc>
          <w:tcPr/>
          <w:p>
            <w:pPr>
              <w:pStyle w:val="Compact"/>
              <w:jc w:val="left"/>
            </w:pPr>
            <w:r>
              <w:t xml:space="preserve">hour_cos</w:t>
            </w:r>
          </w:p>
        </w:tc>
        <w:tc>
          <w:tcPr/>
          <w:p>
            <w:pPr>
              <w:pStyle w:val="Compact"/>
              <w:jc w:val="left"/>
            </w:pPr>
            <w:r>
              <w:t xml:space="preserve">0.134</w:t>
            </w:r>
          </w:p>
        </w:tc>
        <w:tc>
          <w:tcPr/>
          <w:p>
            <w:pPr>
              <w:pStyle w:val="Compact"/>
              <w:jc w:val="left"/>
            </w:pPr>
            <w:r>
              <w:t xml:space="preserve">7.1%</w:t>
            </w:r>
          </w:p>
        </w:tc>
        <w:tc>
          <w:tcPr/>
          <w:p>
            <w:pPr>
              <w:pStyle w:val="Compact"/>
              <w:jc w:val="left"/>
            </w:pPr>
            <w:r>
              <w:t xml:space="preserve">59.4%</w:t>
            </w:r>
          </w:p>
        </w:tc>
        <w:tc>
          <w:tcPr/>
          <w:p>
            <w:pPr>
              <w:pStyle w:val="Compact"/>
            </w:pPr>
          </w:p>
        </w:tc>
        <w:tc>
          <w:tcPr/>
          <w:p>
            <w:pPr>
              <w:pStyle w:val="Compact"/>
            </w:pPr>
          </w:p>
        </w:tc>
      </w:tr>
      <w:tr>
        <w:tc>
          <w:tcPr/>
          <w:p>
            <w:pPr>
              <w:pStyle w:val="Compact"/>
              <w:jc w:val="left"/>
            </w:pPr>
            <w:r>
              <w:t xml:space="preserve">6</w:t>
            </w:r>
          </w:p>
        </w:tc>
        <w:tc>
          <w:tcPr/>
          <w:p>
            <w:pPr>
              <w:pStyle w:val="Compact"/>
              <w:jc w:val="left"/>
            </w:pPr>
            <w:r>
              <w:t xml:space="preserve">load_mw_lag_168h</w:t>
            </w:r>
          </w:p>
        </w:tc>
        <w:tc>
          <w:tcPr/>
          <w:p>
            <w:pPr>
              <w:pStyle w:val="Compact"/>
              <w:jc w:val="left"/>
            </w:pPr>
            <w:r>
              <w:t xml:space="preserve">0.112</w:t>
            </w:r>
          </w:p>
        </w:tc>
        <w:tc>
          <w:tcPr/>
          <w:p>
            <w:pPr>
              <w:pStyle w:val="Compact"/>
              <w:jc w:val="left"/>
            </w:pPr>
            <w:r>
              <w:t xml:space="preserve">6.0%</w:t>
            </w:r>
          </w:p>
        </w:tc>
        <w:tc>
          <w:tcPr/>
          <w:p>
            <w:pPr>
              <w:pStyle w:val="Compact"/>
              <w:jc w:val="left"/>
            </w:pPr>
            <w:r>
              <w:t xml:space="preserve">65.4%</w:t>
            </w:r>
          </w:p>
        </w:tc>
        <w:tc>
          <w:tcPr/>
          <w:p>
            <w:pPr>
              <w:pStyle w:val="Compact"/>
            </w:pPr>
          </w:p>
        </w:tc>
        <w:tc>
          <w:tcPr/>
          <w:p>
            <w:pPr>
              <w:pStyle w:val="Compact"/>
            </w:pPr>
          </w:p>
        </w:tc>
      </w:tr>
      <w:tr>
        <w:tc>
          <w:tcPr/>
          <w:p>
            <w:pPr>
              <w:pStyle w:val="Compact"/>
              <w:jc w:val="left"/>
            </w:pPr>
            <w:r>
              <w:t xml:space="preserve">7</w:t>
            </w:r>
          </w:p>
        </w:tc>
        <w:tc>
          <w:tcPr/>
          <w:p>
            <w:pPr>
              <w:pStyle w:val="Compact"/>
              <w:jc w:val="left"/>
            </w:pPr>
            <w:r>
              <w:t xml:space="preserve">day_of_week_sin</w:t>
            </w:r>
          </w:p>
        </w:tc>
        <w:tc>
          <w:tcPr/>
          <w:p>
            <w:pPr>
              <w:pStyle w:val="Compact"/>
              <w:jc w:val="left"/>
            </w:pPr>
            <w:r>
              <w:t xml:space="preserve">0.098</w:t>
            </w:r>
          </w:p>
        </w:tc>
        <w:tc>
          <w:tcPr/>
          <w:p>
            <w:pPr>
              <w:pStyle w:val="Compact"/>
              <w:jc w:val="left"/>
            </w:pPr>
            <w:r>
              <w:t xml:space="preserve">5.2%</w:t>
            </w:r>
          </w:p>
        </w:tc>
        <w:tc>
          <w:tcPr/>
          <w:p>
            <w:pPr>
              <w:pStyle w:val="Compact"/>
              <w:jc w:val="left"/>
            </w:pPr>
            <w:r>
              <w:t xml:space="preserve">70.6%</w:t>
            </w:r>
          </w:p>
        </w:tc>
        <w:tc>
          <w:tcPr/>
          <w:p>
            <w:pPr>
              <w:pStyle w:val="Compact"/>
            </w:pPr>
          </w:p>
        </w:tc>
        <w:tc>
          <w:tcPr/>
          <w:p>
            <w:pPr>
              <w:pStyle w:val="Compact"/>
            </w:pPr>
          </w:p>
        </w:tc>
      </w:tr>
      <w:tr>
        <w:tc>
          <w:tcPr/>
          <w:p>
            <w:pPr>
              <w:pStyle w:val="Compact"/>
              <w:jc w:val="left"/>
            </w:pPr>
            <w:r>
              <w:t xml:space="preserve">8</w:t>
            </w:r>
          </w:p>
        </w:tc>
        <w:tc>
          <w:tcPr/>
          <w:p>
            <w:pPr>
              <w:pStyle w:val="Compact"/>
              <w:jc w:val="left"/>
            </w:pPr>
            <w:r>
              <w:t xml:space="preserve">day_of_week_cos</w:t>
            </w:r>
          </w:p>
        </w:tc>
        <w:tc>
          <w:tcPr/>
          <w:p>
            <w:pPr>
              <w:pStyle w:val="Compact"/>
              <w:jc w:val="left"/>
            </w:pPr>
            <w:r>
              <w:t xml:space="preserve">0.087</w:t>
            </w:r>
          </w:p>
        </w:tc>
        <w:tc>
          <w:tcPr/>
          <w:p>
            <w:pPr>
              <w:pStyle w:val="Compact"/>
              <w:jc w:val="left"/>
            </w:pPr>
            <w:r>
              <w:t xml:space="preserve">4.6%</w:t>
            </w:r>
          </w:p>
        </w:tc>
        <w:tc>
          <w:tcPr/>
          <w:p>
            <w:pPr>
              <w:pStyle w:val="Compact"/>
              <w:jc w:val="left"/>
            </w:pPr>
            <w:r>
              <w:t xml:space="preserve">75.2%</w:t>
            </w:r>
          </w:p>
        </w:tc>
        <w:tc>
          <w:tcPr/>
          <w:p>
            <w:pPr>
              <w:pStyle w:val="Compact"/>
            </w:pPr>
          </w:p>
        </w:tc>
        <w:tc>
          <w:tcPr/>
          <w:p>
            <w:pPr>
              <w:pStyle w:val="Compact"/>
            </w:pPr>
          </w:p>
        </w:tc>
      </w:tr>
      <w:tr>
        <w:tc>
          <w:tcPr/>
          <w:p>
            <w:pPr>
              <w:pStyle w:val="Compact"/>
              <w:jc w:val="left"/>
            </w:pPr>
            <w:r>
              <w:t xml:space="preserve">9</w:t>
            </w:r>
          </w:p>
        </w:tc>
        <w:tc>
          <w:tcPr/>
          <w:p>
            <w:pPr>
              <w:pStyle w:val="Compact"/>
              <w:jc w:val="left"/>
            </w:pPr>
            <w:r>
              <w:t xml:space="preserve">temperature_2m</w:t>
            </w:r>
          </w:p>
        </w:tc>
        <w:tc>
          <w:tcPr/>
          <w:p>
            <w:pPr>
              <w:pStyle w:val="Compact"/>
              <w:jc w:val="left"/>
            </w:pPr>
            <w:r>
              <w:t xml:space="preserve">0.078</w:t>
            </w:r>
          </w:p>
        </w:tc>
        <w:tc>
          <w:tcPr/>
          <w:p>
            <w:pPr>
              <w:pStyle w:val="Compact"/>
              <w:jc w:val="left"/>
            </w:pPr>
            <w:r>
              <w:t xml:space="preserve">4.2%</w:t>
            </w:r>
          </w:p>
        </w:tc>
        <w:tc>
          <w:tcPr/>
          <w:p>
            <w:pPr>
              <w:pStyle w:val="Compact"/>
              <w:jc w:val="left"/>
            </w:pPr>
            <w:r>
              <w:t xml:space="preserve">79.4%</w:t>
            </w:r>
          </w:p>
        </w:tc>
        <w:tc>
          <w:tcPr/>
          <w:p>
            <w:pPr>
              <w:pStyle w:val="Compact"/>
            </w:pPr>
          </w:p>
        </w:tc>
        <w:tc>
          <w:tcPr/>
          <w:p>
            <w:pPr>
              <w:pStyle w:val="Compact"/>
            </w:pPr>
          </w:p>
        </w:tc>
      </w:tr>
      <w:tr>
        <w:tc>
          <w:tcPr/>
          <w:p>
            <w:pPr>
              <w:pStyle w:val="Compact"/>
              <w:jc w:val="left"/>
            </w:pPr>
            <w:r>
              <w:t xml:space="preserve">10</w:t>
            </w:r>
          </w:p>
        </w:tc>
        <w:tc>
          <w:tcPr/>
          <w:p>
            <w:pPr>
              <w:pStyle w:val="Compact"/>
              <w:jc w:val="left"/>
            </w:pPr>
            <w:r>
              <w:t xml:space="preserve">load_mw_rolling_std_24h</w:t>
            </w:r>
          </w:p>
        </w:tc>
        <w:tc>
          <w:tcPr/>
          <w:p>
            <w:pPr>
              <w:pStyle w:val="Compact"/>
              <w:jc w:val="left"/>
            </w:pPr>
            <w:r>
              <w:t xml:space="preserve">0.065</w:t>
            </w:r>
          </w:p>
        </w:tc>
        <w:tc>
          <w:tcPr/>
          <w:p>
            <w:pPr>
              <w:pStyle w:val="Compact"/>
              <w:jc w:val="left"/>
            </w:pPr>
            <w:r>
              <w:t xml:space="preserve">3.5%</w:t>
            </w:r>
          </w:p>
        </w:tc>
        <w:tc>
          <w:tcPr/>
          <w:p>
            <w:pPr>
              <w:pStyle w:val="Compact"/>
              <w:jc w:val="left"/>
            </w:pPr>
            <w:r>
              <w:t xml:space="preserve">82.9%</w:t>
            </w:r>
          </w:p>
        </w:tc>
        <w:tc>
          <w:tcPr/>
          <w:p>
            <w:pPr>
              <w:pStyle w:val="Compact"/>
            </w:pPr>
          </w:p>
        </w:tc>
        <w:tc>
          <w:tcPr/>
          <w:p>
            <w:pPr>
              <w:pStyle w:val="Compact"/>
            </w:pPr>
          </w:p>
        </w:tc>
      </w:tr>
      <w:tr>
        <w:tc>
          <w:tcPr/>
          <w:p>
            <w:pPr>
              <w:pStyle w:val="Compact"/>
              <w:jc w:val="left"/>
            </w:pPr>
            <w:r>
              <w:t xml:space="preserve">11</w:t>
            </w:r>
          </w:p>
        </w:tc>
        <w:tc>
          <w:tcPr/>
          <w:p>
            <w:pPr>
              <w:pStyle w:val="Compact"/>
              <w:jc w:val="left"/>
            </w:pPr>
            <w:r>
              <w:t xml:space="preserve">month_sin</w:t>
            </w:r>
          </w:p>
        </w:tc>
        <w:tc>
          <w:tcPr/>
          <w:p>
            <w:pPr>
              <w:pStyle w:val="Compact"/>
              <w:jc w:val="left"/>
            </w:pPr>
            <w:r>
              <w:t xml:space="preserve">0.054</w:t>
            </w:r>
          </w:p>
        </w:tc>
        <w:tc>
          <w:tcPr/>
          <w:p>
            <w:pPr>
              <w:pStyle w:val="Compact"/>
              <w:jc w:val="left"/>
            </w:pPr>
            <w:r>
              <w:t xml:space="preserve">2.9%</w:t>
            </w:r>
          </w:p>
        </w:tc>
        <w:tc>
          <w:tcPr/>
          <w:p>
            <w:pPr>
              <w:pStyle w:val="Compact"/>
              <w:jc w:val="left"/>
            </w:pPr>
            <w:r>
              <w:t xml:space="preserve">85.8%</w:t>
            </w:r>
          </w:p>
        </w:tc>
        <w:tc>
          <w:tcPr/>
          <w:p>
            <w:pPr>
              <w:pStyle w:val="Compact"/>
            </w:pPr>
          </w:p>
        </w:tc>
        <w:tc>
          <w:tcPr/>
          <w:p>
            <w:pPr>
              <w:pStyle w:val="Compact"/>
            </w:pPr>
          </w:p>
        </w:tc>
      </w:tr>
      <w:tr>
        <w:tc>
          <w:tcPr/>
          <w:p>
            <w:pPr>
              <w:pStyle w:val="Compact"/>
              <w:jc w:val="left"/>
            </w:pPr>
            <w:r>
              <w:t xml:space="preserve">12</w:t>
            </w:r>
          </w:p>
        </w:tc>
        <w:tc>
          <w:tcPr/>
          <w:p>
            <w:pPr>
              <w:pStyle w:val="Compact"/>
              <w:jc w:val="left"/>
            </w:pPr>
            <w:r>
              <w:t xml:space="preserve">month_cos</w:t>
            </w:r>
          </w:p>
        </w:tc>
        <w:tc>
          <w:tcPr/>
          <w:p>
            <w:pPr>
              <w:pStyle w:val="Compact"/>
              <w:jc w:val="left"/>
            </w:pPr>
            <w:r>
              <w:t xml:space="preserve">0.048</w:t>
            </w:r>
          </w:p>
        </w:tc>
        <w:tc>
          <w:tcPr/>
          <w:p>
            <w:pPr>
              <w:pStyle w:val="Compact"/>
              <w:jc w:val="left"/>
            </w:pPr>
            <w:r>
              <w:t xml:space="preserve">2.6%</w:t>
            </w:r>
          </w:p>
        </w:tc>
        <w:tc>
          <w:tcPr/>
          <w:p>
            <w:pPr>
              <w:pStyle w:val="Compact"/>
              <w:jc w:val="left"/>
            </w:pPr>
            <w:r>
              <w:t xml:space="preserve">88.4%</w:t>
            </w:r>
          </w:p>
        </w:tc>
        <w:tc>
          <w:tcPr/>
          <w:p>
            <w:pPr>
              <w:pStyle w:val="Compact"/>
            </w:pPr>
          </w:p>
        </w:tc>
        <w:tc>
          <w:tcPr/>
          <w:p>
            <w:pPr>
              <w:pStyle w:val="Compact"/>
            </w:pPr>
          </w:p>
        </w:tc>
      </w:tr>
      <w:tr>
        <w:tc>
          <w:tcPr/>
          <w:p>
            <w:pPr>
              <w:pStyle w:val="Compact"/>
              <w:jc w:val="left"/>
            </w:pPr>
            <w:r>
              <w:t xml:space="preserve">13</w:t>
            </w:r>
          </w:p>
        </w:tc>
        <w:tc>
          <w:tcPr/>
          <w:p>
            <w:pPr>
              <w:pStyle w:val="Compact"/>
              <w:jc w:val="left"/>
            </w:pPr>
            <w:r>
              <w:t xml:space="preserve">is_weekend</w:t>
            </w:r>
          </w:p>
        </w:tc>
        <w:tc>
          <w:tcPr/>
          <w:p>
            <w:pPr>
              <w:pStyle w:val="Compact"/>
              <w:jc w:val="left"/>
            </w:pPr>
            <w:r>
              <w:t xml:space="preserve">0.042</w:t>
            </w:r>
          </w:p>
        </w:tc>
        <w:tc>
          <w:tcPr/>
          <w:p>
            <w:pPr>
              <w:pStyle w:val="Compact"/>
              <w:jc w:val="left"/>
            </w:pPr>
            <w:r>
              <w:t xml:space="preserve">2.2%</w:t>
            </w:r>
          </w:p>
        </w:tc>
        <w:tc>
          <w:tcPr/>
          <w:p>
            <w:pPr>
              <w:pStyle w:val="Compact"/>
              <w:jc w:val="left"/>
            </w:pPr>
            <w:r>
              <w:t xml:space="preserve">90.6%</w:t>
            </w:r>
          </w:p>
        </w:tc>
        <w:tc>
          <w:tcPr/>
          <w:p>
            <w:pPr>
              <w:pStyle w:val="Compact"/>
            </w:pPr>
          </w:p>
        </w:tc>
        <w:tc>
          <w:tcPr/>
          <w:p>
            <w:pPr>
              <w:pStyle w:val="Compact"/>
            </w:pPr>
          </w:p>
        </w:tc>
      </w:tr>
      <w:tr>
        <w:tc>
          <w:tcPr/>
          <w:p>
            <w:pPr>
              <w:pStyle w:val="Compact"/>
              <w:jc w:val="left"/>
            </w:pPr>
            <w:r>
              <w:t xml:space="preserve">14</w:t>
            </w:r>
          </w:p>
        </w:tc>
        <w:tc>
          <w:tcPr/>
          <w:p>
            <w:pPr>
              <w:pStyle w:val="Compact"/>
              <w:jc w:val="left"/>
            </w:pPr>
            <w:r>
              <w:t xml:space="preserve">load_mw_lag_2h</w:t>
            </w:r>
          </w:p>
        </w:tc>
        <w:tc>
          <w:tcPr/>
          <w:p>
            <w:pPr>
              <w:pStyle w:val="Compact"/>
              <w:jc w:val="left"/>
            </w:pPr>
            <w:r>
              <w:t xml:space="preserve">0.038</w:t>
            </w:r>
          </w:p>
        </w:tc>
        <w:tc>
          <w:tcPr/>
          <w:p>
            <w:pPr>
              <w:pStyle w:val="Compact"/>
              <w:jc w:val="left"/>
            </w:pPr>
            <w:r>
              <w:t xml:space="preserve">2.0%</w:t>
            </w:r>
          </w:p>
        </w:tc>
        <w:tc>
          <w:tcPr/>
          <w:p>
            <w:pPr>
              <w:pStyle w:val="Compact"/>
              <w:jc w:val="left"/>
            </w:pPr>
            <w:r>
              <w:t xml:space="preserve">92.6%</w:t>
            </w:r>
          </w:p>
        </w:tc>
        <w:tc>
          <w:tcPr/>
          <w:p>
            <w:pPr>
              <w:pStyle w:val="Compact"/>
            </w:pPr>
          </w:p>
        </w:tc>
        <w:tc>
          <w:tcPr/>
          <w:p>
            <w:pPr>
              <w:pStyle w:val="Compact"/>
            </w:pPr>
          </w:p>
        </w:tc>
      </w:tr>
      <w:tr>
        <w:tc>
          <w:tcPr/>
          <w:p>
            <w:pPr>
              <w:pStyle w:val="Compact"/>
              <w:jc w:val="left"/>
            </w:pPr>
            <w:r>
              <w:t xml:space="preserve">15</w:t>
            </w:r>
          </w:p>
        </w:tc>
        <w:tc>
          <w:tcPr/>
          <w:p>
            <w:pPr>
              <w:pStyle w:val="Compact"/>
              <w:jc w:val="left"/>
            </w:pPr>
            <w:r>
              <w:t xml:space="preserve">humidity</w:t>
            </w:r>
          </w:p>
        </w:tc>
        <w:tc>
          <w:tcPr/>
          <w:p>
            <w:pPr>
              <w:pStyle w:val="Compact"/>
              <w:jc w:val="left"/>
            </w:pPr>
            <w:r>
              <w:t xml:space="preserve">0.032</w:t>
            </w:r>
          </w:p>
        </w:tc>
        <w:tc>
          <w:tcPr/>
          <w:p>
            <w:pPr>
              <w:pStyle w:val="Compact"/>
              <w:jc w:val="left"/>
            </w:pPr>
            <w:r>
              <w:t xml:space="preserve">1.7%</w:t>
            </w:r>
          </w:p>
        </w:tc>
        <w:tc>
          <w:tcPr/>
          <w:p>
            <w:pPr>
              <w:pStyle w:val="Compact"/>
              <w:jc w:val="left"/>
            </w:pPr>
            <w:r>
              <w:t xml:space="preserve">94.3%</w:t>
            </w:r>
          </w:p>
        </w:tc>
        <w:tc>
          <w:tcPr/>
          <w:p>
            <w:pPr>
              <w:pStyle w:val="Compact"/>
            </w:pPr>
          </w:p>
        </w:tc>
        <w:tc>
          <w:tcPr/>
          <w:p>
            <w:pPr>
              <w:pStyle w:val="Compact"/>
            </w:pPr>
          </w:p>
        </w:tc>
      </w:tr>
      <w:tr>
        <w:tc>
          <w:tcPr/>
          <w:p>
            <w:pPr>
              <w:pStyle w:val="Compact"/>
              <w:jc w:val="left"/>
            </w:pPr>
            <w:r>
              <w:t xml:space="preserve">16</w:t>
            </w:r>
          </w:p>
        </w:tc>
        <w:tc>
          <w:tcPr/>
          <w:p>
            <w:pPr>
              <w:pStyle w:val="Compact"/>
              <w:jc w:val="left"/>
            </w:pPr>
            <w:r>
              <w:t xml:space="preserve">load_mw_lag_3h</w:t>
            </w:r>
          </w:p>
        </w:tc>
        <w:tc>
          <w:tcPr/>
          <w:p>
            <w:pPr>
              <w:pStyle w:val="Compact"/>
              <w:jc w:val="left"/>
            </w:pPr>
            <w:r>
              <w:t xml:space="preserve">0.028</w:t>
            </w:r>
          </w:p>
        </w:tc>
        <w:tc>
          <w:tcPr/>
          <w:p>
            <w:pPr>
              <w:pStyle w:val="Compact"/>
              <w:jc w:val="left"/>
            </w:pPr>
            <w:r>
              <w:t xml:space="preserve">1.5%</w:t>
            </w:r>
          </w:p>
        </w:tc>
        <w:tc>
          <w:tcPr/>
          <w:p>
            <w:pPr>
              <w:pStyle w:val="Compact"/>
              <w:jc w:val="left"/>
            </w:pPr>
            <w:r>
              <w:t xml:space="preserve">95.8%</w:t>
            </w:r>
          </w:p>
        </w:tc>
        <w:tc>
          <w:tcPr/>
          <w:p>
            <w:pPr>
              <w:pStyle w:val="Compact"/>
            </w:pPr>
          </w:p>
        </w:tc>
        <w:tc>
          <w:tcPr/>
          <w:p>
            <w:pPr>
              <w:pStyle w:val="Compact"/>
            </w:pPr>
          </w:p>
        </w:tc>
      </w:tr>
      <w:tr>
        <w:tc>
          <w:tcPr/>
          <w:p>
            <w:pPr>
              <w:pStyle w:val="Compact"/>
              <w:jc w:val="left"/>
            </w:pPr>
            <w:r>
              <w:t xml:space="preserve">17</w:t>
            </w:r>
          </w:p>
        </w:tc>
        <w:tc>
          <w:tcPr/>
          <w:p>
            <w:pPr>
              <w:pStyle w:val="Compact"/>
              <w:jc w:val="left"/>
            </w:pPr>
            <w:r>
              <w:t xml:space="preserve">is_holiday</w:t>
            </w:r>
          </w:p>
        </w:tc>
        <w:tc>
          <w:tcPr/>
          <w:p>
            <w:pPr>
              <w:pStyle w:val="Compact"/>
              <w:jc w:val="left"/>
            </w:pPr>
            <w:r>
              <w:t xml:space="preserve">0.024</w:t>
            </w:r>
          </w:p>
        </w:tc>
        <w:tc>
          <w:tcPr/>
          <w:p>
            <w:pPr>
              <w:pStyle w:val="Compact"/>
              <w:jc w:val="left"/>
            </w:pPr>
            <w:r>
              <w:t xml:space="preserve">1.3%</w:t>
            </w:r>
          </w:p>
        </w:tc>
        <w:tc>
          <w:tcPr/>
          <w:p>
            <w:pPr>
              <w:pStyle w:val="Compact"/>
              <w:jc w:val="left"/>
            </w:pPr>
            <w:r>
              <w:t xml:space="preserve">97.1%</w:t>
            </w:r>
          </w:p>
        </w:tc>
        <w:tc>
          <w:tcPr/>
          <w:p>
            <w:pPr>
              <w:pStyle w:val="Compact"/>
            </w:pPr>
          </w:p>
        </w:tc>
        <w:tc>
          <w:tcPr/>
          <w:p>
            <w:pPr>
              <w:pStyle w:val="Compact"/>
            </w:pPr>
          </w:p>
        </w:tc>
      </w:tr>
      <w:tr>
        <w:tc>
          <w:tcPr/>
          <w:p>
            <w:pPr>
              <w:pStyle w:val="Compact"/>
              <w:jc w:val="left"/>
            </w:pPr>
            <w:r>
              <w:t xml:space="preserve">18</w:t>
            </w:r>
          </w:p>
        </w:tc>
        <w:tc>
          <w:tcPr/>
          <w:p>
            <w:pPr>
              <w:pStyle w:val="Compact"/>
              <w:jc w:val="left"/>
            </w:pPr>
            <w:r>
              <w:t xml:space="preserve">wind_speed_10m</w:t>
            </w:r>
          </w:p>
        </w:tc>
        <w:tc>
          <w:tcPr/>
          <w:p>
            <w:pPr>
              <w:pStyle w:val="Compact"/>
              <w:jc w:val="left"/>
            </w:pPr>
            <w:r>
              <w:t xml:space="preserve">0.021</w:t>
            </w:r>
          </w:p>
        </w:tc>
        <w:tc>
          <w:tcPr/>
          <w:p>
            <w:pPr>
              <w:pStyle w:val="Compact"/>
              <w:jc w:val="left"/>
            </w:pPr>
            <w:r>
              <w:t xml:space="preserve">1.1%</w:t>
            </w:r>
          </w:p>
        </w:tc>
        <w:tc>
          <w:tcPr/>
          <w:p>
            <w:pPr>
              <w:pStyle w:val="Compact"/>
              <w:jc w:val="left"/>
            </w:pPr>
            <w:r>
              <w:t xml:space="preserve">98.2%</w:t>
            </w:r>
          </w:p>
        </w:tc>
        <w:tc>
          <w:tcPr/>
          <w:p>
            <w:pPr>
              <w:pStyle w:val="Compact"/>
            </w:pPr>
          </w:p>
        </w:tc>
        <w:tc>
          <w:tcPr/>
          <w:p>
            <w:pPr>
              <w:pStyle w:val="Compact"/>
            </w:pPr>
          </w:p>
        </w:tc>
      </w:tr>
      <w:tr>
        <w:tc>
          <w:tcPr/>
          <w:p>
            <w:pPr>
              <w:pStyle w:val="Compact"/>
              <w:jc w:val="left"/>
            </w:pPr>
            <w:r>
              <w:t xml:space="preserve">19</w:t>
            </w:r>
          </w:p>
        </w:tc>
        <w:tc>
          <w:tcPr/>
          <w:p>
            <w:pPr>
              <w:pStyle w:val="Compact"/>
              <w:jc w:val="left"/>
            </w:pPr>
            <w:r>
              <w:t xml:space="preserve">cloud_cover</w:t>
            </w:r>
          </w:p>
        </w:tc>
        <w:tc>
          <w:tcPr/>
          <w:p>
            <w:pPr>
              <w:pStyle w:val="Compact"/>
              <w:jc w:val="left"/>
            </w:pPr>
            <w:r>
              <w:t xml:space="preserve">0.018</w:t>
            </w:r>
          </w:p>
        </w:tc>
        <w:tc>
          <w:tcPr/>
          <w:p>
            <w:pPr>
              <w:pStyle w:val="Compact"/>
              <w:jc w:val="left"/>
            </w:pPr>
            <w:r>
              <w:t xml:space="preserve">1.0%</w:t>
            </w:r>
          </w:p>
        </w:tc>
        <w:tc>
          <w:tcPr/>
          <w:p>
            <w:pPr>
              <w:pStyle w:val="Compact"/>
              <w:jc w:val="left"/>
            </w:pPr>
            <w:r>
              <w:t xml:space="preserve">99.2%</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pressure_msl</w:t>
            </w:r>
          </w:p>
        </w:tc>
        <w:tc>
          <w:tcPr/>
          <w:p>
            <w:pPr>
              <w:pStyle w:val="Compact"/>
              <w:jc w:val="left"/>
            </w:pPr>
            <w:r>
              <w:t xml:space="preserve">0.015</w:t>
            </w:r>
          </w:p>
        </w:tc>
        <w:tc>
          <w:tcPr/>
          <w:p>
            <w:pPr>
              <w:pStyle w:val="Compact"/>
              <w:jc w:val="left"/>
            </w:pPr>
            <w:r>
              <w:t xml:space="preserve">0.8%</w:t>
            </w:r>
          </w:p>
        </w:tc>
        <w:tc>
          <w:tcPr/>
          <w:p>
            <w:pPr>
              <w:pStyle w:val="Compact"/>
              <w:jc w:val="left"/>
            </w:pPr>
            <w:r>
              <w:t xml:space="preserve">100.0%</w:t>
            </w:r>
          </w:p>
        </w:tc>
        <w:tc>
          <w:tcPr/>
          <w:p>
            <w:pPr>
              <w:pStyle w:val="Compact"/>
            </w:pPr>
          </w:p>
        </w:tc>
        <w:tc>
          <w:tcPr/>
          <w:p>
            <w:pPr>
              <w:pStyle w:val="Compact"/>
            </w:pPr>
          </w:p>
        </w:tc>
      </w:tr>
    </w:tbl>
    <w:bookmarkEnd w:id="143"/>
    <w:bookmarkEnd w:id="144"/>
    <w:bookmarkStart w:id="146" w:name="X6aa34db767b1a3bc9c598dc58442802eedfbca5"/>
    <w:p>
      <w:pPr>
        <w:pStyle w:val="Heading2"/>
      </w:pPr>
      <w:r>
        <w:t xml:space="preserve">Feature Importance Comparison Across Targets</w:t>
      </w:r>
    </w:p>
    <w:bookmarkStart w:id="145" w:name="tab:l2"/>
    <w:p>
      <w:pPr>
        <w:pStyle w:val="TableCaption"/>
      </w:pPr>
      <w:r>
        <w:t xml:space="preserve">Feature Category Importance by Target</w:t>
      </w:r>
    </w:p>
    <w:tbl>
      <w:tblPr>
        <w:tblStyle w:val="Table"/>
        <w:tblW w:type="auto" w:w="0"/>
        <w:tblLook w:firstRow="1" w:lastRow="0" w:firstColumn="0" w:lastColumn="0" w:noHBand="0" w:noVBand="0" w:val="0020"/>
        <w:tblCaption w:val="Feature Category Importance by Target"/>
      </w:tblPr>
      <w:tblGrid>
        <w:gridCol w:w="1980"/>
        <w:gridCol w:w="1980"/>
        <w:gridCol w:w="1980"/>
        <w:gridCol w:w="1980"/>
      </w:tblGrid>
      <w:tr>
        <w:trPr>
          <w:tblHeader w:val="on"/>
        </w:trPr>
        <w:tc>
          <w:tcPr/>
          <w:p>
            <w:pPr>
              <w:pStyle w:val="Compact"/>
              <w:jc w:val="left"/>
            </w:pPr>
            <w:r>
              <w:t xml:space="preserve">Feature Category</w:t>
            </w:r>
          </w:p>
        </w:tc>
        <w:tc>
          <w:tcPr/>
          <w:p>
            <w:pPr>
              <w:pStyle w:val="Compact"/>
              <w:jc w:val="left"/>
            </w:pPr>
            <w:r>
              <w:t xml:space="preserve">Load</w:t>
            </w:r>
          </w:p>
        </w:tc>
        <w:tc>
          <w:tcPr/>
          <w:p>
            <w:pPr>
              <w:pStyle w:val="Compact"/>
              <w:jc w:val="left"/>
            </w:pPr>
            <w:r>
              <w:t xml:space="preserve">Wind</w:t>
            </w:r>
          </w:p>
        </w:tc>
        <w:tc>
          <w:tcPr/>
          <w:p>
            <w:pPr>
              <w:pStyle w:val="Compact"/>
              <w:jc w:val="left"/>
            </w:pPr>
            <w:r>
              <w:t xml:space="preserve">Solar</w:t>
            </w:r>
          </w:p>
        </w:tc>
      </w:tr>
      <w:tr>
        <w:tc>
          <w:tcPr/>
          <w:p>
            <w:pPr>
              <w:pStyle w:val="Compact"/>
              <w:jc w:val="left"/>
            </w:pPr>
            <w:r>
              <w:t xml:space="preserve">Lag features (1-168h)</w:t>
            </w:r>
          </w:p>
        </w:tc>
        <w:tc>
          <w:tcPr/>
          <w:p>
            <w:pPr>
              <w:pStyle w:val="Compact"/>
              <w:jc w:val="left"/>
            </w:pPr>
            <w:r>
              <w:t xml:space="preserve">42.8%</w:t>
            </w:r>
          </w:p>
        </w:tc>
        <w:tc>
          <w:tcPr/>
          <w:p>
            <w:pPr>
              <w:pStyle w:val="Compact"/>
              <w:jc w:val="left"/>
            </w:pPr>
            <w:r>
              <w:t xml:space="preserve">28.4%</w:t>
            </w:r>
          </w:p>
        </w:tc>
        <w:tc>
          <w:tcPr/>
          <w:p>
            <w:pPr>
              <w:pStyle w:val="Compact"/>
              <w:jc w:val="left"/>
            </w:pPr>
            <w:r>
              <w:t xml:space="preserve">25.6%</w:t>
            </w:r>
          </w:p>
        </w:tc>
      </w:tr>
      <w:tr>
        <w:tc>
          <w:tcPr/>
          <w:p>
            <w:pPr>
              <w:pStyle w:val="Compact"/>
              <w:jc w:val="left"/>
            </w:pPr>
            <w:r>
              <w:t xml:space="preserve">Rolling statistics</w:t>
            </w:r>
          </w:p>
        </w:tc>
        <w:tc>
          <w:tcPr/>
          <w:p>
            <w:pPr>
              <w:pStyle w:val="Compact"/>
              <w:jc w:val="left"/>
            </w:pPr>
            <w:r>
              <w:t xml:space="preserve">14.0%</w:t>
            </w:r>
          </w:p>
        </w:tc>
        <w:tc>
          <w:tcPr/>
          <w:p>
            <w:pPr>
              <w:pStyle w:val="Compact"/>
              <w:jc w:val="left"/>
            </w:pPr>
            <w:r>
              <w:t xml:space="preserve">18.7%</w:t>
            </w:r>
          </w:p>
        </w:tc>
        <w:tc>
          <w:tcPr/>
          <w:p>
            <w:pPr>
              <w:pStyle w:val="Compact"/>
              <w:jc w:val="left"/>
            </w:pPr>
            <w:r>
              <w:t xml:space="preserve">16.2%</w:t>
            </w:r>
          </w:p>
        </w:tc>
      </w:tr>
      <w:tr>
        <w:tc>
          <w:tcPr/>
          <w:p>
            <w:pPr>
              <w:pStyle w:val="Compact"/>
              <w:jc w:val="left"/>
            </w:pPr>
            <w:r>
              <w:t xml:space="preserve">Cyclical time encoding</w:t>
            </w:r>
          </w:p>
        </w:tc>
        <w:tc>
          <w:tcPr/>
          <w:p>
            <w:pPr>
              <w:pStyle w:val="Compact"/>
              <w:jc w:val="left"/>
            </w:pPr>
            <w:r>
              <w:t xml:space="preserve">23.2%</w:t>
            </w:r>
          </w:p>
        </w:tc>
        <w:tc>
          <w:tcPr/>
          <w:p>
            <w:pPr>
              <w:pStyle w:val="Compact"/>
              <w:jc w:val="left"/>
            </w:pPr>
            <w:r>
              <w:t xml:space="preserve">12.3%</w:t>
            </w:r>
          </w:p>
        </w:tc>
        <w:tc>
          <w:tcPr/>
          <w:p>
            <w:pPr>
              <w:pStyle w:val="Compact"/>
              <w:jc w:val="left"/>
            </w:pPr>
            <w:r>
              <w:t xml:space="preserve">31.4%</w:t>
            </w:r>
          </w:p>
        </w:tc>
      </w:tr>
      <w:tr>
        <w:tc>
          <w:tcPr/>
          <w:p>
            <w:pPr>
              <w:pStyle w:val="Compact"/>
              <w:jc w:val="left"/>
            </w:pPr>
            <w:r>
              <w:t xml:space="preserve">Weather variables</w:t>
            </w:r>
          </w:p>
        </w:tc>
        <w:tc>
          <w:tcPr/>
          <w:p>
            <w:pPr>
              <w:pStyle w:val="Compact"/>
              <w:jc w:val="left"/>
            </w:pPr>
            <w:r>
              <w:t xml:space="preserve">8.1%</w:t>
            </w:r>
          </w:p>
        </w:tc>
        <w:tc>
          <w:tcPr/>
          <w:p>
            <w:pPr>
              <w:pStyle w:val="Compact"/>
              <w:jc w:val="left"/>
            </w:pPr>
            <w:r>
              <w:t xml:space="preserve">35.8%</w:t>
            </w:r>
          </w:p>
        </w:tc>
        <w:tc>
          <w:tcPr/>
          <w:p>
            <w:pPr>
              <w:pStyle w:val="Compact"/>
              <w:jc w:val="left"/>
            </w:pPr>
            <w:r>
              <w:t xml:space="preserve">24.3%</w:t>
            </w:r>
          </w:p>
        </w:tc>
      </w:tr>
      <w:tr>
        <w:tc>
          <w:tcPr/>
          <w:p>
            <w:pPr>
              <w:pStyle w:val="Compact"/>
              <w:jc w:val="left"/>
            </w:pPr>
            <w:r>
              <w:t xml:space="preserve">Calendar features</w:t>
            </w:r>
          </w:p>
        </w:tc>
        <w:tc>
          <w:tcPr/>
          <w:p>
            <w:pPr>
              <w:pStyle w:val="Compact"/>
              <w:jc w:val="left"/>
            </w:pPr>
            <w:r>
              <w:t xml:space="preserve">11.9%</w:t>
            </w:r>
          </w:p>
        </w:tc>
        <w:tc>
          <w:tcPr/>
          <w:p>
            <w:pPr>
              <w:pStyle w:val="Compact"/>
              <w:jc w:val="left"/>
            </w:pPr>
            <w:r>
              <w:t xml:space="preserve">4.8%</w:t>
            </w:r>
          </w:p>
        </w:tc>
        <w:tc>
          <w:tcPr/>
          <w:p>
            <w:pPr>
              <w:pStyle w:val="Compact"/>
              <w:jc w:val="left"/>
            </w:pPr>
            <w:r>
              <w:t xml:space="preserve">2.5%</w:t>
            </w:r>
          </w:p>
        </w:tc>
      </w:tr>
    </w:tbl>
    <w:bookmarkEnd w:id="145"/>
    <w:p>
      <w:pPr>
        <w:pStyle w:val="BodyText"/>
      </w:pPr>
      <w:r>
        <w:rPr>
          <w:b/>
          <w:bCs/>
        </w:rPr>
        <w:t xml:space="preserve">Key Insights</w:t>
      </w:r>
      <w:r>
        <w:t xml:space="preserve">:</w:t>
      </w:r>
    </w:p>
    <w:p>
      <w:pPr>
        <w:numPr>
          <w:ilvl w:val="0"/>
          <w:numId w:val="1028"/>
        </w:numPr>
      </w:pPr>
      <w:r>
        <w:t xml:space="preserve">Load: dominated by lagged values and time encoding (daily/weekly cycles).</w:t>
      </w:r>
    </w:p>
    <w:p>
      <w:pPr>
        <w:numPr>
          <w:ilvl w:val="0"/>
          <w:numId w:val="1028"/>
        </w:numPr>
      </w:pPr>
      <w:r>
        <w:t xml:space="preserve">Wind: weather features (wind speed, pressure) account for 35.8% importance.</w:t>
      </w:r>
    </w:p>
    <w:p>
      <w:pPr>
        <w:numPr>
          <w:ilvl w:val="0"/>
          <w:numId w:val="1028"/>
        </w:numPr>
      </w:pPr>
      <w:r>
        <w:t xml:space="preserve">Solar: time encoding captures solar angle; weather (cloud cover) remains influential.</w:t>
      </w:r>
    </w:p>
    <w:bookmarkEnd w:id="146"/>
    <w:bookmarkEnd w:id="147"/>
    <w:bookmarkStart w:id="154" w:name="conformal-prediction-detailed-results"/>
    <w:p>
      <w:pPr>
        <w:pStyle w:val="Heading1"/>
      </w:pPr>
      <w:r>
        <w:t xml:space="preserve">Conformal Prediction Detailed Results</w:t>
      </w:r>
    </w:p>
    <w:bookmarkStart w:id="149" w:name="coverage-by-nominal-level"/>
    <w:p>
      <w:pPr>
        <w:pStyle w:val="Heading2"/>
      </w:pPr>
      <w:r>
        <w:t xml:space="preserve">Coverage by Nominal Level</w:t>
      </w:r>
    </w:p>
    <w:bookmarkStart w:id="148" w:name="tab:m1"/>
    <w:p>
      <w:pPr>
        <w:pStyle w:val="TableCaption"/>
      </w:pPr>
      <w:r>
        <w:t xml:space="preserve">Conformal Prediction Coverage by Nominal Level</w:t>
      </w:r>
    </w:p>
    <w:tbl>
      <w:tblPr>
        <w:tblStyle w:val="Table"/>
        <w:tblW w:type="auto" w:w="0"/>
        <w:tblLook w:firstRow="1" w:lastRow="0" w:firstColumn="0" w:lastColumn="0" w:noHBand="0" w:noVBand="0" w:val="0020"/>
        <w:tblCaption w:val="Conformal Prediction Coverage by Nominal Level"/>
      </w:tblPr>
      <w:tblGrid>
        <w:gridCol w:w="1584"/>
        <w:gridCol w:w="1584"/>
        <w:gridCol w:w="1584"/>
        <w:gridCol w:w="1584"/>
        <w:gridCol w:w="1584"/>
      </w:tblGrid>
      <w:tr>
        <w:trPr>
          <w:tblHeader w:val="on"/>
        </w:trPr>
        <w:tc>
          <w:tcPr/>
          <w:p>
            <w:pPr>
              <w:pStyle w:val="Compact"/>
              <w:jc w:val="left"/>
            </w:pPr>
            <w:r>
              <w:t xml:space="preserve">Nominal</w:t>
            </w:r>
          </w:p>
        </w:tc>
        <w:tc>
          <w:tcPr/>
          <w:p>
            <w:pPr>
              <w:pStyle w:val="Compact"/>
              <w:jc w:val="left"/>
            </w:pPr>
            <w:r>
              <w:t xml:space="preserve">Load PICP</w:t>
            </w:r>
          </w:p>
        </w:tc>
        <w:tc>
          <w:tcPr/>
          <w:p>
            <w:pPr>
              <w:pStyle w:val="Compact"/>
              <w:jc w:val="left"/>
            </w:pPr>
            <w:r>
              <w:t xml:space="preserve">Wind PICP</w:t>
            </w:r>
          </w:p>
        </w:tc>
        <w:tc>
          <w:tcPr/>
          <w:p>
            <w:pPr>
              <w:pStyle w:val="Compact"/>
              <w:jc w:val="left"/>
            </w:pPr>
            <w:r>
              <w:t xml:space="preserve">Solar PICP</w:t>
            </w:r>
          </w:p>
        </w:tc>
        <w:tc>
          <w:tcPr/>
          <w:p>
            <w:pPr>
              <w:pStyle w:val="Compact"/>
              <w:jc w:val="left"/>
            </w:pPr>
            <w:r>
              <w:t xml:space="preserve">Avg Width</w:t>
            </w:r>
          </w:p>
        </w:tc>
      </w:tr>
      <w:tr>
        <w:tc>
          <w:tcPr/>
          <w:p>
            <w:pPr>
              <w:pStyle w:val="Compact"/>
              <w:jc w:val="left"/>
            </w:pPr>
            <w:r>
              <w:t xml:space="preserve">50%</w:t>
            </w:r>
          </w:p>
        </w:tc>
        <w:tc>
          <w:tcPr/>
          <w:p>
            <w:pPr>
              <w:pStyle w:val="Compact"/>
              <w:jc w:val="left"/>
            </w:pPr>
            <w:r>
              <w:t xml:space="preserve">52.3%</w:t>
            </w:r>
          </w:p>
        </w:tc>
        <w:tc>
          <w:tcPr/>
          <w:p>
            <w:pPr>
              <w:pStyle w:val="Compact"/>
              <w:jc w:val="left"/>
            </w:pPr>
            <w:r>
              <w:t xml:space="preserve">51.8%</w:t>
            </w:r>
          </w:p>
        </w:tc>
        <w:tc>
          <w:tcPr/>
          <w:p>
            <w:pPr>
              <w:pStyle w:val="Compact"/>
              <w:jc w:val="left"/>
            </w:pPr>
            <w:r>
              <w:t xml:space="preserve">53.1%</w:t>
            </w:r>
          </w:p>
        </w:tc>
        <w:tc>
          <w:tcPr/>
          <w:p>
            <w:pPr>
              <w:pStyle w:val="Compact"/>
              <w:jc w:val="left"/>
            </w:pPr>
            <w:r>
              <w:t xml:space="preserve">312 MW</w:t>
            </w:r>
          </w:p>
        </w:tc>
      </w:tr>
      <w:tr>
        <w:tc>
          <w:tcPr/>
          <w:p>
            <w:pPr>
              <w:pStyle w:val="Compact"/>
              <w:jc w:val="left"/>
            </w:pPr>
            <w:r>
              <w:t xml:space="preserve">70%</w:t>
            </w:r>
          </w:p>
        </w:tc>
        <w:tc>
          <w:tcPr/>
          <w:p>
            <w:pPr>
              <w:pStyle w:val="Compact"/>
              <w:jc w:val="left"/>
            </w:pPr>
            <w:r>
              <w:t xml:space="preserve">71.8%</w:t>
            </w:r>
          </w:p>
        </w:tc>
        <w:tc>
          <w:tcPr/>
          <w:p>
            <w:pPr>
              <w:pStyle w:val="Compact"/>
              <w:jc w:val="left"/>
            </w:pPr>
            <w:r>
              <w:t xml:space="preserve">70.4%</w:t>
            </w:r>
          </w:p>
        </w:tc>
        <w:tc>
          <w:tcPr/>
          <w:p>
            <w:pPr>
              <w:pStyle w:val="Compact"/>
              <w:jc w:val="left"/>
            </w:pPr>
            <w:r>
              <w:t xml:space="preserve">72.6%</w:t>
            </w:r>
          </w:p>
        </w:tc>
        <w:tc>
          <w:tcPr/>
          <w:p>
            <w:pPr>
              <w:pStyle w:val="Compact"/>
              <w:jc w:val="left"/>
            </w:pPr>
            <w:r>
              <w:t xml:space="preserve">498 MW</w:t>
            </w:r>
          </w:p>
        </w:tc>
      </w:tr>
      <w:tr>
        <w:tc>
          <w:tcPr/>
          <w:p>
            <w:pPr>
              <w:pStyle w:val="Compact"/>
              <w:jc w:val="left"/>
            </w:pPr>
            <w:r>
              <w:t xml:space="preserve">80%</w:t>
            </w:r>
          </w:p>
        </w:tc>
        <w:tc>
          <w:tcPr/>
          <w:p>
            <w:pPr>
              <w:pStyle w:val="Compact"/>
              <w:jc w:val="left"/>
            </w:pPr>
            <w:r>
              <w:t xml:space="preserve">81.2%</w:t>
            </w:r>
          </w:p>
        </w:tc>
        <w:tc>
          <w:tcPr/>
          <w:p>
            <w:pPr>
              <w:pStyle w:val="Compact"/>
              <w:jc w:val="left"/>
            </w:pPr>
            <w:r>
              <w:t xml:space="preserve">79.8%</w:t>
            </w:r>
          </w:p>
        </w:tc>
        <w:tc>
          <w:tcPr/>
          <w:p>
            <w:pPr>
              <w:pStyle w:val="Compact"/>
              <w:jc w:val="left"/>
            </w:pPr>
            <w:r>
              <w:t xml:space="preserve">82.4%</w:t>
            </w:r>
          </w:p>
        </w:tc>
        <w:tc>
          <w:tcPr/>
          <w:p>
            <w:pPr>
              <w:pStyle w:val="Compact"/>
              <w:jc w:val="left"/>
            </w:pPr>
            <w:r>
              <w:t xml:space="preserve">634 MW</w:t>
            </w:r>
          </w:p>
        </w:tc>
      </w:tr>
      <w:tr>
        <w:tc>
          <w:tcPr/>
          <w:p>
            <w:pPr>
              <w:pStyle w:val="Compact"/>
              <w:jc w:val="left"/>
            </w:pPr>
            <w:r>
              <w:t xml:space="preserve">90%</w:t>
            </w:r>
          </w:p>
        </w:tc>
        <w:tc>
          <w:tcPr/>
          <w:p>
            <w:pPr>
              <w:pStyle w:val="Compact"/>
              <w:jc w:val="left"/>
            </w:pPr>
            <w:r>
              <w:t xml:space="preserve">92.4%</w:t>
            </w:r>
          </w:p>
        </w:tc>
        <w:tc>
          <w:tcPr/>
          <w:p>
            <w:pPr>
              <w:pStyle w:val="Compact"/>
              <w:jc w:val="left"/>
            </w:pPr>
            <w:r>
              <w:t xml:space="preserve">91.2%</w:t>
            </w:r>
          </w:p>
        </w:tc>
        <w:tc>
          <w:tcPr/>
          <w:p>
            <w:pPr>
              <w:pStyle w:val="Compact"/>
              <w:jc w:val="left"/>
            </w:pPr>
            <w:r>
              <w:t xml:space="preserve">93.1%</w:t>
            </w:r>
          </w:p>
        </w:tc>
        <w:tc>
          <w:tcPr/>
          <w:p>
            <w:pPr>
              <w:pStyle w:val="Compact"/>
              <w:jc w:val="left"/>
            </w:pPr>
            <w:r>
              <w:t xml:space="preserve">856 MW</w:t>
            </w:r>
          </w:p>
        </w:tc>
      </w:tr>
      <w:tr>
        <w:tc>
          <w:tcPr/>
          <w:p>
            <w:pPr>
              <w:pStyle w:val="Compact"/>
              <w:jc w:val="left"/>
            </w:pPr>
            <w:r>
              <w:t xml:space="preserve">95%</w:t>
            </w:r>
          </w:p>
        </w:tc>
        <w:tc>
          <w:tcPr/>
          <w:p>
            <w:pPr>
              <w:pStyle w:val="Compact"/>
              <w:jc w:val="left"/>
            </w:pPr>
            <w:r>
              <w:t xml:space="preserve">96.1%</w:t>
            </w:r>
          </w:p>
        </w:tc>
        <w:tc>
          <w:tcPr/>
          <w:p>
            <w:pPr>
              <w:pStyle w:val="Compact"/>
              <w:jc w:val="left"/>
            </w:pPr>
            <w:r>
              <w:t xml:space="preserve">95.4%</w:t>
            </w:r>
          </w:p>
        </w:tc>
        <w:tc>
          <w:tcPr/>
          <w:p>
            <w:pPr>
              <w:pStyle w:val="Compact"/>
              <w:jc w:val="left"/>
            </w:pPr>
            <w:r>
              <w:t xml:space="preserve">96.8%</w:t>
            </w:r>
          </w:p>
        </w:tc>
        <w:tc>
          <w:tcPr/>
          <w:p>
            <w:pPr>
              <w:pStyle w:val="Compact"/>
              <w:jc w:val="left"/>
            </w:pPr>
            <w:r>
              <w:t xml:space="preserve">1,123 MW</w:t>
            </w:r>
          </w:p>
        </w:tc>
      </w:tr>
      <w:tr>
        <w:tc>
          <w:tcPr/>
          <w:p>
            <w:pPr>
              <w:pStyle w:val="Compact"/>
              <w:jc w:val="left"/>
            </w:pPr>
            <w:r>
              <w:t xml:space="preserve">99%</w:t>
            </w:r>
          </w:p>
        </w:tc>
        <w:tc>
          <w:tcPr/>
          <w:p>
            <w:pPr>
              <w:pStyle w:val="Compact"/>
              <w:jc w:val="left"/>
            </w:pPr>
            <w:r>
              <w:t xml:space="preserve">99.2%</w:t>
            </w:r>
          </w:p>
        </w:tc>
        <w:tc>
          <w:tcPr/>
          <w:p>
            <w:pPr>
              <w:pStyle w:val="Compact"/>
              <w:jc w:val="left"/>
            </w:pPr>
            <w:r>
              <w:t xml:space="preserve">98.9%</w:t>
            </w:r>
          </w:p>
        </w:tc>
        <w:tc>
          <w:tcPr/>
          <w:p>
            <w:pPr>
              <w:pStyle w:val="Compact"/>
              <w:jc w:val="left"/>
            </w:pPr>
            <w:r>
              <w:t xml:space="preserve">99.4%</w:t>
            </w:r>
          </w:p>
        </w:tc>
        <w:tc>
          <w:tcPr/>
          <w:p>
            <w:pPr>
              <w:pStyle w:val="Compact"/>
              <w:jc w:val="left"/>
            </w:pPr>
            <w:r>
              <w:t xml:space="preserve">1,678 MW</w:t>
            </w:r>
          </w:p>
        </w:tc>
      </w:tr>
    </w:tbl>
    <w:bookmarkEnd w:id="148"/>
    <w:bookmarkEnd w:id="149"/>
    <w:bookmarkStart w:id="151" w:name="coverage-by-forecast-horizon"/>
    <w:p>
      <w:pPr>
        <w:pStyle w:val="Heading2"/>
      </w:pPr>
      <w:r>
        <w:t xml:space="preserve">Coverage by Forecast Horizon</w:t>
      </w:r>
    </w:p>
    <w:bookmarkStart w:id="150" w:name="tab:m2"/>
    <w:p>
      <w:pPr>
        <w:pStyle w:val="TableCaption"/>
      </w:pPr>
      <w:r>
        <w:t xml:space="preserve">90% Interval Coverage by Forecast Horizon</w:t>
      </w:r>
    </w:p>
    <w:tbl>
      <w:tblPr>
        <w:tblStyle w:val="Table"/>
        <w:tblW w:type="auto" w:w="0"/>
        <w:tblLook w:firstRow="1" w:lastRow="0" w:firstColumn="0" w:lastColumn="0" w:noHBand="0" w:noVBand="0" w:val="0020"/>
        <w:tblCaption w:val="90% Interval Coverage by Forecast Horizon"/>
      </w:tblPr>
      <w:tblGrid>
        <w:gridCol w:w="1584"/>
        <w:gridCol w:w="1584"/>
        <w:gridCol w:w="1584"/>
        <w:gridCol w:w="1584"/>
        <w:gridCol w:w="1584"/>
      </w:tblGrid>
      <w:tr>
        <w:trPr>
          <w:tblHeader w:val="on"/>
        </w:trPr>
        <w:tc>
          <w:tcPr/>
          <w:p>
            <w:pPr>
              <w:pStyle w:val="Compact"/>
              <w:jc w:val="left"/>
            </w:pPr>
            <w:r>
              <w:t xml:space="preserve">Horizon</w:t>
            </w:r>
          </w:p>
        </w:tc>
        <w:tc>
          <w:tcPr/>
          <w:p>
            <w:pPr>
              <w:pStyle w:val="Compact"/>
              <w:jc w:val="left"/>
            </w:pPr>
            <w:r>
              <w:t xml:space="preserve">Load PICP</w:t>
            </w:r>
          </w:p>
        </w:tc>
        <w:tc>
          <w:tcPr/>
          <w:p>
            <w:pPr>
              <w:pStyle w:val="Compact"/>
              <w:jc w:val="left"/>
            </w:pPr>
            <w:r>
              <w:t xml:space="preserve">Wind PICP</w:t>
            </w:r>
          </w:p>
        </w:tc>
        <w:tc>
          <w:tcPr/>
          <w:p>
            <w:pPr>
              <w:pStyle w:val="Compact"/>
              <w:jc w:val="left"/>
            </w:pPr>
            <w:r>
              <w:t xml:space="preserve">Solar PICP</w:t>
            </w:r>
          </w:p>
        </w:tc>
        <w:tc>
          <w:tcPr/>
          <w:p>
            <w:pPr>
              <w:pStyle w:val="Compact"/>
              <w:jc w:val="left"/>
            </w:pPr>
            <w:r>
              <w:t xml:space="preserve">Avg Width</w:t>
            </w:r>
          </w:p>
        </w:tc>
      </w:tr>
      <w:tr>
        <w:tc>
          <w:tcPr/>
          <w:p>
            <w:pPr>
              <w:pStyle w:val="Compact"/>
              <w:jc w:val="left"/>
            </w:pPr>
            <w:r>
              <w:t xml:space="preserve">1h</w:t>
            </w:r>
          </w:p>
        </w:tc>
        <w:tc>
          <w:tcPr/>
          <w:p>
            <w:pPr>
              <w:pStyle w:val="Compact"/>
              <w:jc w:val="left"/>
            </w:pPr>
            <w:r>
              <w:t xml:space="preserve">94.2%</w:t>
            </w:r>
          </w:p>
        </w:tc>
        <w:tc>
          <w:tcPr/>
          <w:p>
            <w:pPr>
              <w:pStyle w:val="Compact"/>
              <w:jc w:val="left"/>
            </w:pPr>
            <w:r>
              <w:t xml:space="preserve">93.8%</w:t>
            </w:r>
          </w:p>
        </w:tc>
        <w:tc>
          <w:tcPr/>
          <w:p>
            <w:pPr>
              <w:pStyle w:val="Compact"/>
              <w:jc w:val="left"/>
            </w:pPr>
            <w:r>
              <w:t xml:space="preserve">94.6%</w:t>
            </w:r>
          </w:p>
        </w:tc>
        <w:tc>
          <w:tcPr/>
          <w:p>
            <w:pPr>
              <w:pStyle w:val="Compact"/>
              <w:jc w:val="left"/>
            </w:pPr>
            <w:r>
              <w:t xml:space="preserve">423 MW</w:t>
            </w:r>
          </w:p>
        </w:tc>
      </w:tr>
      <w:tr>
        <w:tc>
          <w:tcPr/>
          <w:p>
            <w:pPr>
              <w:pStyle w:val="Compact"/>
              <w:jc w:val="left"/>
            </w:pPr>
            <w:r>
              <w:t xml:space="preserve">3h</w:t>
            </w:r>
          </w:p>
        </w:tc>
        <w:tc>
          <w:tcPr/>
          <w:p>
            <w:pPr>
              <w:pStyle w:val="Compact"/>
              <w:jc w:val="left"/>
            </w:pPr>
            <w:r>
              <w:t xml:space="preserve">93.1%</w:t>
            </w:r>
          </w:p>
        </w:tc>
        <w:tc>
          <w:tcPr/>
          <w:p>
            <w:pPr>
              <w:pStyle w:val="Compact"/>
              <w:jc w:val="left"/>
            </w:pPr>
            <w:r>
              <w:t xml:space="preserve">92.4%</w:t>
            </w:r>
          </w:p>
        </w:tc>
        <w:tc>
          <w:tcPr/>
          <w:p>
            <w:pPr>
              <w:pStyle w:val="Compact"/>
              <w:jc w:val="left"/>
            </w:pPr>
            <w:r>
              <w:t xml:space="preserve">93.8%</w:t>
            </w:r>
          </w:p>
        </w:tc>
        <w:tc>
          <w:tcPr/>
          <w:p>
            <w:pPr>
              <w:pStyle w:val="Compact"/>
              <w:jc w:val="left"/>
            </w:pPr>
            <w:r>
              <w:t xml:space="preserve">587 MW</w:t>
            </w:r>
          </w:p>
        </w:tc>
      </w:tr>
      <w:tr>
        <w:tc>
          <w:tcPr/>
          <w:p>
            <w:pPr>
              <w:pStyle w:val="Compact"/>
              <w:jc w:val="left"/>
            </w:pPr>
            <w:r>
              <w:t xml:space="preserve">6h</w:t>
            </w:r>
          </w:p>
        </w:tc>
        <w:tc>
          <w:tcPr/>
          <w:p>
            <w:pPr>
              <w:pStyle w:val="Compact"/>
              <w:jc w:val="left"/>
            </w:pPr>
            <w:r>
              <w:t xml:space="preserve">92.4%</w:t>
            </w:r>
          </w:p>
        </w:tc>
        <w:tc>
          <w:tcPr/>
          <w:p>
            <w:pPr>
              <w:pStyle w:val="Compact"/>
              <w:jc w:val="left"/>
            </w:pPr>
            <w:r>
              <w:t xml:space="preserve">91.2%</w:t>
            </w:r>
          </w:p>
        </w:tc>
        <w:tc>
          <w:tcPr/>
          <w:p>
            <w:pPr>
              <w:pStyle w:val="Compact"/>
              <w:jc w:val="left"/>
            </w:pPr>
            <w:r>
              <w:t xml:space="preserve">92.8%</w:t>
            </w:r>
          </w:p>
        </w:tc>
        <w:tc>
          <w:tcPr/>
          <w:p>
            <w:pPr>
              <w:pStyle w:val="Compact"/>
              <w:jc w:val="left"/>
            </w:pPr>
            <w:r>
              <w:t xml:space="preserve">734 MW</w:t>
            </w:r>
          </w:p>
        </w:tc>
      </w:tr>
      <w:tr>
        <w:tc>
          <w:tcPr/>
          <w:p>
            <w:pPr>
              <w:pStyle w:val="Compact"/>
              <w:jc w:val="left"/>
            </w:pPr>
            <w:r>
              <w:t xml:space="preserve">12h</w:t>
            </w:r>
          </w:p>
        </w:tc>
        <w:tc>
          <w:tcPr/>
          <w:p>
            <w:pPr>
              <w:pStyle w:val="Compact"/>
              <w:jc w:val="left"/>
            </w:pPr>
            <w:r>
              <w:t xml:space="preserve">91.2%</w:t>
            </w:r>
          </w:p>
        </w:tc>
        <w:tc>
          <w:tcPr/>
          <w:p>
            <w:pPr>
              <w:pStyle w:val="Compact"/>
              <w:jc w:val="left"/>
            </w:pPr>
            <w:r>
              <w:t xml:space="preserve">89.8%</w:t>
            </w:r>
          </w:p>
        </w:tc>
        <w:tc>
          <w:tcPr/>
          <w:p>
            <w:pPr>
              <w:pStyle w:val="Compact"/>
              <w:jc w:val="left"/>
            </w:pPr>
            <w:r>
              <w:t xml:space="preserve">91.5%</w:t>
            </w:r>
          </w:p>
        </w:tc>
        <w:tc>
          <w:tcPr/>
          <w:p>
            <w:pPr>
              <w:pStyle w:val="Compact"/>
              <w:jc w:val="left"/>
            </w:pPr>
            <w:r>
              <w:t xml:space="preserve">923 MW</w:t>
            </w:r>
          </w:p>
        </w:tc>
      </w:tr>
      <w:tr>
        <w:tc>
          <w:tcPr/>
          <w:p>
            <w:pPr>
              <w:pStyle w:val="Compact"/>
              <w:jc w:val="left"/>
            </w:pPr>
            <w:r>
              <w:t xml:space="preserve">24h</w:t>
            </w:r>
          </w:p>
        </w:tc>
        <w:tc>
          <w:tcPr/>
          <w:p>
            <w:pPr>
              <w:pStyle w:val="Compact"/>
              <w:jc w:val="left"/>
            </w:pPr>
            <w:r>
              <w:t xml:space="preserve">89.8%</w:t>
            </w:r>
          </w:p>
        </w:tc>
        <w:tc>
          <w:tcPr/>
          <w:p>
            <w:pPr>
              <w:pStyle w:val="Compact"/>
              <w:jc w:val="left"/>
            </w:pPr>
            <w:r>
              <w:t xml:space="preserve">87.6%</w:t>
            </w:r>
          </w:p>
        </w:tc>
        <w:tc>
          <w:tcPr/>
          <w:p>
            <w:pPr>
              <w:pStyle w:val="Compact"/>
              <w:jc w:val="left"/>
            </w:pPr>
            <w:r>
              <w:t xml:space="preserve">89.2%</w:t>
            </w:r>
          </w:p>
        </w:tc>
        <w:tc>
          <w:tcPr/>
          <w:p>
            <w:pPr>
              <w:pStyle w:val="Compact"/>
              <w:jc w:val="left"/>
            </w:pPr>
            <w:r>
              <w:t xml:space="preserve">1,234 MW</w:t>
            </w:r>
          </w:p>
        </w:tc>
      </w:tr>
    </w:tbl>
    <w:bookmarkEnd w:id="150"/>
    <w:bookmarkEnd w:id="151"/>
    <w:bookmarkStart w:id="153" w:name="adaptive-conformal-performance"/>
    <w:p>
      <w:pPr>
        <w:pStyle w:val="Heading2"/>
      </w:pPr>
      <w:r>
        <w:t xml:space="preserve">Adaptive Conformal Performance</w:t>
      </w:r>
    </w:p>
    <w:bookmarkStart w:id="152" w:name="tab:m3"/>
    <w:p>
      <w:pPr>
        <w:pStyle w:val="TableCaption"/>
      </w:pPr>
      <w:r>
        <w:t xml:space="preserve">Conformal Prediction Method Comparison</w:t>
      </w:r>
    </w:p>
    <w:tbl>
      <w:tblPr>
        <w:tblStyle w:val="Table"/>
        <w:tblW w:type="auto" w:w="0"/>
        <w:tblLook w:firstRow="1" w:lastRow="0" w:firstColumn="0" w:lastColumn="0" w:noHBand="0" w:noVBand="0" w:val="0020"/>
        <w:tblCaption w:val="Conformal Prediction Method Comparison"/>
      </w:tblPr>
      <w:tblGrid>
        <w:gridCol w:w="1980"/>
        <w:gridCol w:w="1980"/>
        <w:gridCol w:w="1980"/>
        <w:gridCol w:w="1980"/>
      </w:tblGrid>
      <w:tr>
        <w:trPr>
          <w:tblHeader w:val="on"/>
        </w:trPr>
        <w:tc>
          <w:tcPr/>
          <w:p>
            <w:pPr>
              <w:pStyle w:val="Compact"/>
              <w:jc w:val="left"/>
            </w:pPr>
            <w:r>
              <w:t xml:space="preserve">Method</w:t>
            </w:r>
          </w:p>
        </w:tc>
        <w:tc>
          <w:tcPr/>
          <w:p>
            <w:pPr>
              <w:pStyle w:val="Compact"/>
              <w:jc w:val="left"/>
            </w:pPr>
            <w:r>
              <w:t xml:space="preserve">Coverage</w:t>
            </w:r>
          </w:p>
        </w:tc>
        <w:tc>
          <w:tcPr/>
          <w:p>
            <w:pPr>
              <w:pStyle w:val="Compact"/>
              <w:jc w:val="left"/>
            </w:pPr>
            <w:r>
              <w:t xml:space="preserve">Width</w:t>
            </w:r>
          </w:p>
        </w:tc>
        <w:tc>
          <w:tcPr/>
          <w:p>
            <w:pPr>
              <w:pStyle w:val="Compact"/>
              <w:jc w:val="left"/>
            </w:pPr>
            <w:r>
              <w:t xml:space="preserve">CRPS</w:t>
            </w:r>
          </w:p>
        </w:tc>
      </w:tr>
      <w:tr>
        <w:tc>
          <w:tcPr/>
          <w:p>
            <w:pPr>
              <w:pStyle w:val="Compact"/>
              <w:jc w:val="left"/>
            </w:pPr>
            <w:r>
              <w:t xml:space="preserve">Split Conformal (fixed)</w:t>
            </w:r>
          </w:p>
        </w:tc>
        <w:tc>
          <w:tcPr/>
          <w:p>
            <w:pPr>
              <w:pStyle w:val="Compact"/>
              <w:jc w:val="left"/>
            </w:pPr>
            <w:r>
              <w:t xml:space="preserve">92.4%</w:t>
            </w:r>
          </w:p>
        </w:tc>
        <w:tc>
          <w:tcPr/>
          <w:p>
            <w:pPr>
              <w:pStyle w:val="Compact"/>
              <w:jc w:val="left"/>
            </w:pPr>
            <w:r>
              <w:t xml:space="preserve">856 MW</w:t>
            </w:r>
          </w:p>
        </w:tc>
        <w:tc>
          <w:tcPr/>
          <w:p>
            <w:pPr>
              <w:pStyle w:val="Compact"/>
              <w:jc w:val="left"/>
            </w:pPr>
            <w:r>
              <w:t xml:space="preserve">134.2</w:t>
            </w:r>
          </w:p>
        </w:tc>
      </w:tr>
      <w:tr>
        <w:tc>
          <w:tcPr/>
          <w:p>
            <w:pPr>
              <w:pStyle w:val="Compact"/>
              <w:jc w:val="left"/>
            </w:pPr>
            <w:r>
              <w:t xml:space="preserve">Rolling Calibration (7-day)</w:t>
            </w:r>
          </w:p>
        </w:tc>
        <w:tc>
          <w:tcPr/>
          <w:p>
            <w:pPr>
              <w:pStyle w:val="Compact"/>
              <w:jc w:val="left"/>
            </w:pPr>
            <w:r>
              <w:t xml:space="preserve">91.8%</w:t>
            </w:r>
          </w:p>
        </w:tc>
        <w:tc>
          <w:tcPr/>
          <w:p>
            <w:pPr>
              <w:pStyle w:val="Compact"/>
              <w:jc w:val="left"/>
            </w:pPr>
            <w:r>
              <w:t xml:space="preserve">812 MW</w:t>
            </w:r>
          </w:p>
        </w:tc>
        <w:tc>
          <w:tcPr/>
          <w:p>
            <w:pPr>
              <w:pStyle w:val="Compact"/>
              <w:jc w:val="left"/>
            </w:pPr>
            <w:r>
              <w:t xml:space="preserve">128.6</w:t>
            </w:r>
          </w:p>
        </w:tc>
      </w:tr>
      <w:tr>
        <w:tc>
          <w:tcPr/>
          <w:p>
            <w:pPr>
              <w:pStyle w:val="Compact"/>
              <w:jc w:val="left"/>
            </w:pPr>
            <w:r>
              <w:t xml:space="preserve">Adaptive (ACI)</w:t>
            </w:r>
          </w:p>
        </w:tc>
        <w:tc>
          <w:tcPr/>
          <w:p>
            <w:pPr>
              <w:pStyle w:val="Compact"/>
              <w:jc w:val="left"/>
            </w:pPr>
            <w:r>
              <w:t xml:space="preserve">90.8%</w:t>
            </w:r>
          </w:p>
        </w:tc>
        <w:tc>
          <w:tcPr/>
          <w:p>
            <w:pPr>
              <w:pStyle w:val="Compact"/>
              <w:jc w:val="left"/>
            </w:pPr>
            <w:r>
              <w:t xml:space="preserve">756 MW</w:t>
            </w:r>
          </w:p>
        </w:tc>
        <w:tc>
          <w:tcPr/>
          <w:p>
            <w:pPr>
              <w:pStyle w:val="Compact"/>
              <w:jc w:val="left"/>
            </w:pPr>
            <w:r>
              <w:t xml:space="preserve">121.4</w:t>
            </w:r>
          </w:p>
        </w:tc>
      </w:tr>
      <w:tr>
        <w:tc>
          <w:tcPr/>
          <w:p>
            <w:pPr>
              <w:pStyle w:val="Compact"/>
              <w:jc w:val="left"/>
            </w:pPr>
            <w:r>
              <w:rPr>
                <w:b/>
                <w:bCs/>
              </w:rPr>
              <w:t xml:space="preserve">Adaptive + Rolling</w:t>
            </w:r>
          </w:p>
        </w:tc>
        <w:tc>
          <w:tcPr/>
          <w:p>
            <w:pPr>
              <w:pStyle w:val="Compact"/>
              <w:jc w:val="left"/>
            </w:pPr>
            <w:r>
              <w:rPr>
                <w:b/>
                <w:bCs/>
              </w:rPr>
              <w:t xml:space="preserve">91.2%</w:t>
            </w:r>
          </w:p>
        </w:tc>
        <w:tc>
          <w:tcPr/>
          <w:p>
            <w:pPr>
              <w:pStyle w:val="Compact"/>
              <w:jc w:val="left"/>
            </w:pPr>
            <w:r>
              <w:rPr>
                <w:b/>
                <w:bCs/>
              </w:rPr>
              <w:t xml:space="preserve">734 MW</w:t>
            </w:r>
          </w:p>
        </w:tc>
        <w:tc>
          <w:tcPr/>
          <w:p>
            <w:pPr>
              <w:pStyle w:val="Compact"/>
              <w:jc w:val="left"/>
            </w:pPr>
            <w:r>
              <w:rPr>
                <w:b/>
                <w:bCs/>
              </w:rPr>
              <w:t xml:space="preserve">118.2</w:t>
            </w:r>
          </w:p>
        </w:tc>
      </w:tr>
    </w:tbl>
    <w:bookmarkEnd w:id="152"/>
    <w:bookmarkEnd w:id="153"/>
    <w:bookmarkEnd w:id="154"/>
    <w:bookmarkStart w:id="158" w:name="supplementary-figures"/>
    <w:p>
      <w:pPr>
        <w:pStyle w:val="Heading1"/>
      </w:pPr>
      <w:r>
        <w:t xml:space="preserve">Supplementary Figures</w:t>
      </w:r>
    </w:p>
    <w:bookmarkStart w:id="156" w:name="figure-inventory"/>
    <w:p>
      <w:pPr>
        <w:pStyle w:val="Heading2"/>
      </w:pPr>
      <w:r>
        <w:t xml:space="preserve">Figure Inventory</w:t>
      </w:r>
    </w:p>
    <w:bookmarkStart w:id="155" w:name="tab:n1"/>
    <w:p>
      <w:pPr>
        <w:pStyle w:val="TableCaption"/>
      </w:pPr>
      <w:r>
        <w:t xml:space="preserve">Supplementary Figure Inventory</w:t>
      </w:r>
    </w:p>
    <w:tbl>
      <w:tblPr>
        <w:tblStyle w:val="Table"/>
        <w:tblW w:type="auto" w:w="0"/>
        <w:tblLook w:firstRow="1" w:lastRow="0" w:firstColumn="0" w:lastColumn="0" w:noHBand="0" w:noVBand="0" w:val="0020"/>
        <w:tblCaption w:val="Supplementary Figure Inventory"/>
      </w:tblPr>
      <w:tblGrid>
        <w:gridCol w:w="1980"/>
        <w:gridCol w:w="1980"/>
        <w:gridCol w:w="1980"/>
        <w:gridCol w:w="1980"/>
      </w:tblGrid>
      <w:tr>
        <w:trPr>
          <w:tblHeader w:val="on"/>
        </w:trPr>
        <w:tc>
          <w:tcPr/>
          <w:p>
            <w:pPr>
              <w:pStyle w:val="Compact"/>
              <w:jc w:val="left"/>
            </w:pPr>
            <w:r>
              <w:t xml:space="preserve">Figure</w:t>
            </w:r>
          </w:p>
        </w:tc>
        <w:tc>
          <w:tcPr/>
          <w:p>
            <w:pPr>
              <w:pStyle w:val="Compact"/>
              <w:jc w:val="left"/>
            </w:pPr>
            <w:r>
              <w:t xml:space="preserve">File</w:t>
            </w:r>
          </w:p>
        </w:tc>
        <w:tc>
          <w:tcPr/>
          <w:p>
            <w:pPr>
              <w:pStyle w:val="Compact"/>
              <w:jc w:val="left"/>
            </w:pPr>
            <w:r>
              <w:t xml:space="preserve">Description</w:t>
            </w:r>
          </w:p>
        </w:tc>
        <w:tc>
          <w:tcPr/>
          <w:p>
            <w:pPr>
              <w:pStyle w:val="Compact"/>
              <w:jc w:val="left"/>
            </w:pPr>
            <w:r>
              <w:t xml:space="preserve">Section</w:t>
            </w:r>
          </w:p>
        </w:tc>
      </w:tr>
      <w:tr>
        <w:tc>
          <w:tcPr/>
          <w:p>
            <w:pPr>
              <w:pStyle w:val="Compact"/>
              <w:jc w:val="left"/>
            </w:pPr>
            <w:r>
              <w:t xml:space="preserve">N1</w:t>
            </w:r>
          </w:p>
        </w:tc>
        <w:tc>
          <w:tcPr/>
          <w:p>
            <w:pPr>
              <w:pStyle w:val="Compact"/>
              <w:jc w:val="left"/>
            </w:pPr>
            <w:r>
              <w:t xml:space="preserve">‘forecast_scatter_load_de.png‘</w:t>
            </w:r>
          </w:p>
        </w:tc>
        <w:tc>
          <w:tcPr/>
          <w:p>
            <w:pPr>
              <w:pStyle w:val="Compact"/>
              <w:jc w:val="left"/>
            </w:pPr>
            <w:r>
              <w:t xml:space="preserve">Predicted vs Actual scatter plot (Load, DE)</w:t>
            </w:r>
          </w:p>
        </w:tc>
        <w:tc>
          <w:tcPr/>
          <w:p>
            <w:pPr>
              <w:pStyle w:val="Compact"/>
              <w:jc w:val="left"/>
            </w:pPr>
            <w:r>
              <w:t xml:space="preserve">5.1</w:t>
            </w:r>
          </w:p>
        </w:tc>
      </w:tr>
      <w:tr>
        <w:tc>
          <w:tcPr/>
          <w:p>
            <w:pPr>
              <w:pStyle w:val="Compact"/>
              <w:jc w:val="left"/>
            </w:pPr>
            <w:r>
              <w:t xml:space="preserve">N2</w:t>
            </w:r>
          </w:p>
        </w:tc>
        <w:tc>
          <w:tcPr/>
          <w:p>
            <w:pPr>
              <w:pStyle w:val="Compact"/>
              <w:jc w:val="left"/>
            </w:pPr>
            <w:r>
              <w:t xml:space="preserve">‘forecast_scatter_wind_de.png‘</w:t>
            </w:r>
          </w:p>
        </w:tc>
        <w:tc>
          <w:tcPr/>
          <w:p>
            <w:pPr>
              <w:pStyle w:val="Compact"/>
              <w:jc w:val="left"/>
            </w:pPr>
            <w:r>
              <w:t xml:space="preserve">Predicted vs Actual scatter plot (Wind, DE)</w:t>
            </w:r>
          </w:p>
        </w:tc>
        <w:tc>
          <w:tcPr/>
          <w:p>
            <w:pPr>
              <w:pStyle w:val="Compact"/>
              <w:jc w:val="left"/>
            </w:pPr>
            <w:r>
              <w:t xml:space="preserve">5.1</w:t>
            </w:r>
          </w:p>
        </w:tc>
      </w:tr>
      <w:tr>
        <w:tc>
          <w:tcPr/>
          <w:p>
            <w:pPr>
              <w:pStyle w:val="Compact"/>
              <w:jc w:val="left"/>
            </w:pPr>
            <w:r>
              <w:t xml:space="preserve">N3</w:t>
            </w:r>
          </w:p>
        </w:tc>
        <w:tc>
          <w:tcPr/>
          <w:p>
            <w:pPr>
              <w:pStyle w:val="Compact"/>
              <w:jc w:val="left"/>
            </w:pPr>
            <w:r>
              <w:t xml:space="preserve">‘forecast_scatter_solar_de.png‘</w:t>
            </w:r>
          </w:p>
        </w:tc>
        <w:tc>
          <w:tcPr/>
          <w:p>
            <w:pPr>
              <w:pStyle w:val="Compact"/>
              <w:jc w:val="left"/>
            </w:pPr>
            <w:r>
              <w:t xml:space="preserve">Predicted vs Actual scatter plot (Solar, DE)</w:t>
            </w:r>
          </w:p>
        </w:tc>
        <w:tc>
          <w:tcPr/>
          <w:p>
            <w:pPr>
              <w:pStyle w:val="Compact"/>
              <w:jc w:val="left"/>
            </w:pPr>
            <w:r>
              <w:t xml:space="preserve">5.1</w:t>
            </w:r>
          </w:p>
        </w:tc>
      </w:tr>
      <w:tr>
        <w:tc>
          <w:tcPr/>
          <w:p>
            <w:pPr>
              <w:pStyle w:val="Compact"/>
              <w:jc w:val="left"/>
            </w:pPr>
            <w:r>
              <w:t xml:space="preserve">N4</w:t>
            </w:r>
          </w:p>
        </w:tc>
        <w:tc>
          <w:tcPr/>
          <w:p>
            <w:pPr>
              <w:pStyle w:val="Compact"/>
              <w:jc w:val="left"/>
            </w:pPr>
            <w:r>
              <w:t xml:space="preserve">‘error_histogram_all_targets.png‘</w:t>
            </w:r>
          </w:p>
        </w:tc>
        <w:tc>
          <w:tcPr/>
          <w:p>
            <w:pPr>
              <w:pStyle w:val="Compact"/>
              <w:jc w:val="left"/>
            </w:pPr>
            <w:r>
              <w:t xml:space="preserve">Error distribution histograms</w:t>
            </w:r>
          </w:p>
        </w:tc>
        <w:tc>
          <w:tcPr/>
          <w:p>
            <w:pPr>
              <w:pStyle w:val="Compact"/>
              <w:jc w:val="left"/>
            </w:pPr>
            <w:r>
              <w:t xml:space="preserve">K.1</w:t>
            </w:r>
          </w:p>
        </w:tc>
      </w:tr>
      <w:tr>
        <w:tc>
          <w:tcPr/>
          <w:p>
            <w:pPr>
              <w:pStyle w:val="Compact"/>
              <w:jc w:val="left"/>
            </w:pPr>
            <w:r>
              <w:t xml:space="preserve">N5</w:t>
            </w:r>
          </w:p>
        </w:tc>
        <w:tc>
          <w:tcPr/>
          <w:p>
            <w:pPr>
              <w:pStyle w:val="Compact"/>
              <w:jc w:val="left"/>
            </w:pPr>
            <w:r>
              <w:t xml:space="preserve">‘residual_acf_plot.png‘</w:t>
            </w:r>
          </w:p>
        </w:tc>
        <w:tc>
          <w:tcPr/>
          <w:p>
            <w:pPr>
              <w:pStyle w:val="Compact"/>
              <w:jc w:val="left"/>
            </w:pPr>
            <w:r>
              <w:t xml:space="preserve">Autocorrelation function of residuals</w:t>
            </w:r>
          </w:p>
        </w:tc>
        <w:tc>
          <w:tcPr/>
          <w:p>
            <w:pPr>
              <w:pStyle w:val="Compact"/>
              <w:jc w:val="left"/>
            </w:pPr>
            <w:r>
              <w:t xml:space="preserve">K.3</w:t>
            </w:r>
          </w:p>
        </w:tc>
      </w:tr>
      <w:tr>
        <w:tc>
          <w:tcPr/>
          <w:p>
            <w:pPr>
              <w:pStyle w:val="Compact"/>
              <w:jc w:val="left"/>
            </w:pPr>
            <w:r>
              <w:t xml:space="preserve">N6</w:t>
            </w:r>
          </w:p>
        </w:tc>
        <w:tc>
          <w:tcPr/>
          <w:p>
            <w:pPr>
              <w:pStyle w:val="Compact"/>
              <w:jc w:val="left"/>
            </w:pPr>
            <w:r>
              <w:t xml:space="preserve">‘shap_summary_load.png‘</w:t>
            </w:r>
          </w:p>
        </w:tc>
        <w:tc>
          <w:tcPr/>
          <w:p>
            <w:pPr>
              <w:pStyle w:val="Compact"/>
              <w:jc w:val="left"/>
            </w:pPr>
            <w:r>
              <w:t xml:space="preserve">SHAP beeswarm plot (Load)</w:t>
            </w:r>
          </w:p>
        </w:tc>
        <w:tc>
          <w:tcPr/>
          <w:p>
            <w:pPr>
              <w:pStyle w:val="Compact"/>
              <w:jc w:val="left"/>
            </w:pPr>
            <w:r>
              <w:t xml:space="preserve">L.1</w:t>
            </w:r>
          </w:p>
        </w:tc>
      </w:tr>
      <w:tr>
        <w:tc>
          <w:tcPr/>
          <w:p>
            <w:pPr>
              <w:pStyle w:val="Compact"/>
              <w:jc w:val="left"/>
            </w:pPr>
            <w:r>
              <w:t xml:space="preserve">N7</w:t>
            </w:r>
          </w:p>
        </w:tc>
        <w:tc>
          <w:tcPr/>
          <w:p>
            <w:pPr>
              <w:pStyle w:val="Compact"/>
              <w:jc w:val="left"/>
            </w:pPr>
            <w:r>
              <w:t xml:space="preserve">‘shap_summary_wind.png‘</w:t>
            </w:r>
          </w:p>
        </w:tc>
        <w:tc>
          <w:tcPr/>
          <w:p>
            <w:pPr>
              <w:pStyle w:val="Compact"/>
              <w:jc w:val="left"/>
            </w:pPr>
            <w:r>
              <w:t xml:space="preserve">SHAP beeswarm plot (Wind)</w:t>
            </w:r>
          </w:p>
        </w:tc>
        <w:tc>
          <w:tcPr/>
          <w:p>
            <w:pPr>
              <w:pStyle w:val="Compact"/>
              <w:jc w:val="left"/>
            </w:pPr>
            <w:r>
              <w:t xml:space="preserve">L.1</w:t>
            </w:r>
          </w:p>
        </w:tc>
      </w:tr>
      <w:tr>
        <w:tc>
          <w:tcPr/>
          <w:p>
            <w:pPr>
              <w:pStyle w:val="Compact"/>
              <w:jc w:val="left"/>
            </w:pPr>
            <w:r>
              <w:t xml:space="preserve">N8</w:t>
            </w:r>
          </w:p>
        </w:tc>
        <w:tc>
          <w:tcPr/>
          <w:p>
            <w:pPr>
              <w:pStyle w:val="Compact"/>
              <w:jc w:val="left"/>
            </w:pPr>
            <w:r>
              <w:t xml:space="preserve">‘shap_summary_solar.png‘</w:t>
            </w:r>
          </w:p>
        </w:tc>
        <w:tc>
          <w:tcPr/>
          <w:p>
            <w:pPr>
              <w:pStyle w:val="Compact"/>
              <w:jc w:val="left"/>
            </w:pPr>
            <w:r>
              <w:t xml:space="preserve">SHAP beeswarm plot (Solar)</w:t>
            </w:r>
          </w:p>
        </w:tc>
        <w:tc>
          <w:tcPr/>
          <w:p>
            <w:pPr>
              <w:pStyle w:val="Compact"/>
              <w:jc w:val="left"/>
            </w:pPr>
            <w:r>
              <w:t xml:space="preserve">L.1</w:t>
            </w:r>
          </w:p>
        </w:tc>
      </w:tr>
      <w:tr>
        <w:tc>
          <w:tcPr/>
          <w:p>
            <w:pPr>
              <w:pStyle w:val="Compact"/>
              <w:jc w:val="left"/>
            </w:pPr>
            <w:r>
              <w:t xml:space="preserve">N9</w:t>
            </w:r>
          </w:p>
        </w:tc>
        <w:tc>
          <w:tcPr/>
          <w:p>
            <w:pPr>
              <w:pStyle w:val="Compact"/>
              <w:jc w:val="left"/>
            </w:pPr>
            <w:r>
              <w:t xml:space="preserve">‘shap_interaction_heatmap.png‘</w:t>
            </w:r>
          </w:p>
        </w:tc>
        <w:tc>
          <w:tcPr/>
          <w:p>
            <w:pPr>
              <w:pStyle w:val="Compact"/>
              <w:jc w:val="left"/>
            </w:pPr>
            <w:r>
              <w:t xml:space="preserve">Feature interaction heatmap</w:t>
            </w:r>
          </w:p>
        </w:tc>
        <w:tc>
          <w:tcPr/>
          <w:p>
            <w:pPr>
              <w:pStyle w:val="Compact"/>
              <w:jc w:val="left"/>
            </w:pPr>
            <w:r>
              <w:t xml:space="preserve">L.2</w:t>
            </w:r>
          </w:p>
        </w:tc>
      </w:tr>
      <w:tr>
        <w:tc>
          <w:tcPr/>
          <w:p>
            <w:pPr>
              <w:pStyle w:val="Compact"/>
              <w:jc w:val="left"/>
            </w:pPr>
            <w:r>
              <w:t xml:space="preserve">N10</w:t>
            </w:r>
          </w:p>
        </w:tc>
        <w:tc>
          <w:tcPr/>
          <w:p>
            <w:pPr>
              <w:pStyle w:val="Compact"/>
              <w:jc w:val="left"/>
            </w:pPr>
            <w:r>
              <w:t xml:space="preserve">‘conformal_calibration_curve.png‘</w:t>
            </w:r>
          </w:p>
        </w:tc>
        <w:tc>
          <w:tcPr/>
          <w:p>
            <w:pPr>
              <w:pStyle w:val="Compact"/>
              <w:jc w:val="left"/>
            </w:pPr>
            <w:r>
              <w:t xml:space="preserve">Coverage vs Nominal level</w:t>
            </w:r>
          </w:p>
        </w:tc>
        <w:tc>
          <w:tcPr/>
          <w:p>
            <w:pPr>
              <w:pStyle w:val="Compact"/>
              <w:jc w:val="left"/>
            </w:pPr>
            <w:r>
              <w:t xml:space="preserve">M.1</w:t>
            </w:r>
          </w:p>
        </w:tc>
      </w:tr>
      <w:tr>
        <w:tc>
          <w:tcPr/>
          <w:p>
            <w:pPr>
              <w:pStyle w:val="Compact"/>
              <w:jc w:val="left"/>
            </w:pPr>
            <w:r>
              <w:t xml:space="preserve">N11</w:t>
            </w:r>
          </w:p>
        </w:tc>
        <w:tc>
          <w:tcPr/>
          <w:p>
            <w:pPr>
              <w:pStyle w:val="Compact"/>
              <w:jc w:val="left"/>
            </w:pPr>
            <w:r>
              <w:t xml:space="preserve">‘interval_width_vs_horizon.png‘</w:t>
            </w:r>
          </w:p>
        </w:tc>
        <w:tc>
          <w:tcPr/>
          <w:p>
            <w:pPr>
              <w:pStyle w:val="Compact"/>
              <w:jc w:val="left"/>
            </w:pPr>
            <w:r>
              <w:t xml:space="preserve">Prediction interval width by horizon</w:t>
            </w:r>
          </w:p>
        </w:tc>
        <w:tc>
          <w:tcPr/>
          <w:p>
            <w:pPr>
              <w:pStyle w:val="Compact"/>
              <w:jc w:val="left"/>
            </w:pPr>
            <w:r>
              <w:t xml:space="preserve">M.2</w:t>
            </w:r>
          </w:p>
        </w:tc>
      </w:tr>
      <w:tr>
        <w:tc>
          <w:tcPr/>
          <w:p>
            <w:pPr>
              <w:pStyle w:val="Compact"/>
              <w:jc w:val="left"/>
            </w:pPr>
            <w:r>
              <w:t xml:space="preserve">N12</w:t>
            </w:r>
          </w:p>
        </w:tc>
        <w:tc>
          <w:tcPr/>
          <w:p>
            <w:pPr>
              <w:pStyle w:val="Compact"/>
              <w:jc w:val="left"/>
            </w:pPr>
            <w:r>
              <w:t xml:space="preserve">‘seasonal_performance_heatmap.png‘</w:t>
            </w:r>
          </w:p>
        </w:tc>
        <w:tc>
          <w:tcPr/>
          <w:p>
            <w:pPr>
              <w:pStyle w:val="Compact"/>
              <w:jc w:val="left"/>
            </w:pPr>
            <w:r>
              <w:t xml:space="preserve">Month</w:t>
            </w:r>
            <w:r>
              <w:t xml:space="preserve"> </w:t>
            </w:r>
            <m:oMath>
              <m:r>
                <m:rPr>
                  <m:sty m:val="p"/>
                </m:rPr>
                <m:t>×</m:t>
              </m:r>
            </m:oMath>
            <w:r>
              <w:t xml:space="preserve"> </w:t>
            </w:r>
            <w:r>
              <w:t xml:space="preserve">Hour error heatmap</w:t>
            </w:r>
          </w:p>
        </w:tc>
        <w:tc>
          <w:tcPr/>
          <w:p>
            <w:pPr>
              <w:pStyle w:val="Compact"/>
              <w:jc w:val="left"/>
            </w:pPr>
            <w:r>
              <w:t xml:space="preserve">J.1</w:t>
            </w:r>
          </w:p>
        </w:tc>
      </w:tr>
      <w:tr>
        <w:tc>
          <w:tcPr/>
          <w:p>
            <w:pPr>
              <w:pStyle w:val="Compact"/>
              <w:jc w:val="left"/>
            </w:pPr>
            <w:r>
              <w:t xml:space="preserve">N13</w:t>
            </w:r>
          </w:p>
        </w:tc>
        <w:tc>
          <w:tcPr/>
          <w:p>
            <w:pPr>
              <w:pStyle w:val="Compact"/>
              <w:jc w:val="left"/>
            </w:pPr>
            <w:r>
              <w:t xml:space="preserve">‘cv_fold_performance.png‘</w:t>
            </w:r>
          </w:p>
        </w:tc>
        <w:tc>
          <w:tcPr/>
          <w:p>
            <w:pPr>
              <w:pStyle w:val="Compact"/>
              <w:jc w:val="left"/>
            </w:pPr>
            <w:r>
              <w:t xml:space="preserve">10-fold CV error bars</w:t>
            </w:r>
          </w:p>
        </w:tc>
        <w:tc>
          <w:tcPr/>
          <w:p>
            <w:pPr>
              <w:pStyle w:val="Compact"/>
              <w:jc w:val="left"/>
            </w:pPr>
            <w:r>
              <w:t xml:space="preserve">E.1</w:t>
            </w:r>
          </w:p>
        </w:tc>
      </w:tr>
      <w:tr>
        <w:tc>
          <w:tcPr/>
          <w:p>
            <w:pPr>
              <w:pStyle w:val="Compact"/>
              <w:jc w:val="left"/>
            </w:pPr>
            <w:r>
              <w:t xml:space="preserve">N14</w:t>
            </w:r>
          </w:p>
        </w:tc>
        <w:tc>
          <w:tcPr/>
          <w:p>
            <w:pPr>
              <w:pStyle w:val="Compact"/>
              <w:jc w:val="left"/>
            </w:pPr>
            <w:r>
              <w:t xml:space="preserve">‘optuna_history_gbm.png‘</w:t>
            </w:r>
          </w:p>
        </w:tc>
        <w:tc>
          <w:tcPr/>
          <w:p>
            <w:pPr>
              <w:pStyle w:val="Compact"/>
              <w:jc w:val="left"/>
            </w:pPr>
            <w:r>
              <w:t xml:space="preserve">Hyperparameter tuning convergence</w:t>
            </w:r>
          </w:p>
        </w:tc>
        <w:tc>
          <w:tcPr/>
          <w:p>
            <w:pPr>
              <w:pStyle w:val="Compact"/>
              <w:jc w:val="left"/>
            </w:pPr>
            <w:r>
              <w:t xml:space="preserve">G.1</w:t>
            </w:r>
          </w:p>
        </w:tc>
      </w:tr>
      <w:tr>
        <w:tc>
          <w:tcPr/>
          <w:p>
            <w:pPr>
              <w:pStyle w:val="Compact"/>
              <w:jc w:val="left"/>
            </w:pPr>
            <w:r>
              <w:t xml:space="preserve">N15</w:t>
            </w:r>
          </w:p>
        </w:tc>
        <w:tc>
          <w:tcPr/>
          <w:p>
            <w:pPr>
              <w:pStyle w:val="Compact"/>
              <w:jc w:val="left"/>
            </w:pPr>
            <w:r>
              <w:t xml:space="preserve">‘pareto_frontier_detailed.png‘</w:t>
            </w:r>
          </w:p>
        </w:tc>
        <w:tc>
          <w:tcPr/>
          <w:p>
            <w:pPr>
              <w:pStyle w:val="Compact"/>
              <w:jc w:val="left"/>
            </w:pPr>
            <w:r>
              <w:t xml:space="preserve">Cost-carbon Pareto with annotations</w:t>
            </w:r>
          </w:p>
        </w:tc>
        <w:tc>
          <w:tcPr/>
          <w:p>
            <w:pPr>
              <w:pStyle w:val="Compact"/>
              <w:jc w:val="left"/>
            </w:pPr>
            <w:r>
              <w:t xml:space="preserve">6.2</w:t>
            </w:r>
          </w:p>
        </w:tc>
      </w:tr>
      <w:tr>
        <w:tc>
          <w:tcPr/>
          <w:p>
            <w:pPr>
              <w:pStyle w:val="Compact"/>
              <w:jc w:val="left"/>
            </w:pPr>
            <w:r>
              <w:t xml:space="preserve">N16</w:t>
            </w:r>
          </w:p>
        </w:tc>
        <w:tc>
          <w:tcPr/>
          <w:p>
            <w:pPr>
              <w:pStyle w:val="Compact"/>
              <w:jc w:val="left"/>
            </w:pPr>
            <w:r>
              <w:t xml:space="preserve">‘dispatch_timeseries_week.png‘</w:t>
            </w:r>
          </w:p>
        </w:tc>
        <w:tc>
          <w:tcPr/>
          <w:p>
            <w:pPr>
              <w:pStyle w:val="Compact"/>
              <w:jc w:val="left"/>
            </w:pPr>
            <w:r>
              <w:t xml:space="preserve">Full week dispatch visualization</w:t>
            </w:r>
          </w:p>
        </w:tc>
        <w:tc>
          <w:tcPr/>
          <w:p>
            <w:pPr>
              <w:pStyle w:val="Compact"/>
              <w:jc w:val="left"/>
            </w:pPr>
            <w:r>
              <w:t xml:space="preserve">6.1</w:t>
            </w:r>
          </w:p>
        </w:tc>
      </w:tr>
      <w:tr>
        <w:tc>
          <w:tcPr/>
          <w:p>
            <w:pPr>
              <w:pStyle w:val="Compact"/>
              <w:jc w:val="left"/>
            </w:pPr>
            <w:r>
              <w:t xml:space="preserve">N17</w:t>
            </w:r>
          </w:p>
        </w:tc>
        <w:tc>
          <w:tcPr/>
          <w:p>
            <w:pPr>
              <w:pStyle w:val="Compact"/>
              <w:jc w:val="left"/>
            </w:pPr>
            <w:r>
              <w:t xml:space="preserve">‘soc_trajectory_comparison.png‘</w:t>
            </w:r>
          </w:p>
        </w:tc>
        <w:tc>
          <w:tcPr/>
          <w:p>
            <w:pPr>
              <w:pStyle w:val="Compact"/>
              <w:jc w:val="left"/>
            </w:pPr>
            <w:r>
              <w:t xml:space="preserve">Battery SoC: baseline vs optimized</w:t>
            </w:r>
          </w:p>
        </w:tc>
        <w:tc>
          <w:tcPr/>
          <w:p>
            <w:pPr>
              <w:pStyle w:val="Compact"/>
              <w:jc w:val="left"/>
            </w:pPr>
            <w:r>
              <w:t xml:space="preserve">6.1</w:t>
            </w:r>
          </w:p>
        </w:tc>
      </w:tr>
      <w:tr>
        <w:tc>
          <w:tcPr/>
          <w:p>
            <w:pPr>
              <w:pStyle w:val="Compact"/>
              <w:jc w:val="left"/>
            </w:pPr>
            <w:r>
              <w:t xml:space="preserve">N18</w:t>
            </w:r>
          </w:p>
        </w:tc>
        <w:tc>
          <w:tcPr/>
          <w:p>
            <w:pPr>
              <w:pStyle w:val="Compact"/>
              <w:jc w:val="left"/>
            </w:pPr>
            <w:r>
              <w:t xml:space="preserve">‘drift_monitoring_dashboard.png‘</w:t>
            </w:r>
          </w:p>
        </w:tc>
        <w:tc>
          <w:tcPr/>
          <w:p>
            <w:pPr>
              <w:pStyle w:val="Compact"/>
              <w:jc w:val="left"/>
            </w:pPr>
            <w:r>
              <w:t xml:space="preserve">Feature drift detection timeline</w:t>
            </w:r>
          </w:p>
        </w:tc>
        <w:tc>
          <w:tcPr/>
          <w:p>
            <w:pPr>
              <w:pStyle w:val="Compact"/>
              <w:jc w:val="left"/>
            </w:pPr>
            <w:r>
              <w:t xml:space="preserve">7.5</w:t>
            </w:r>
          </w:p>
        </w:tc>
      </w:tr>
      <w:tr>
        <w:tc>
          <w:tcPr/>
          <w:p>
            <w:pPr>
              <w:pStyle w:val="Compact"/>
              <w:jc w:val="left"/>
            </w:pPr>
            <w:r>
              <w:t xml:space="preserve">N19</w:t>
            </w:r>
          </w:p>
        </w:tc>
        <w:tc>
          <w:tcPr/>
          <w:p>
            <w:pPr>
              <w:pStyle w:val="Compact"/>
              <w:jc w:val="left"/>
            </w:pPr>
            <w:r>
              <w:t xml:space="preserve">‘learning_curves_all_models.png‘</w:t>
            </w:r>
          </w:p>
        </w:tc>
        <w:tc>
          <w:tcPr/>
          <w:p>
            <w:pPr>
              <w:pStyle w:val="Compact"/>
              <w:jc w:val="left"/>
            </w:pPr>
            <w:r>
              <w:t xml:space="preserve">Training/validation loss curves</w:t>
            </w:r>
          </w:p>
        </w:tc>
        <w:tc>
          <w:tcPr/>
          <w:p>
            <w:pPr>
              <w:pStyle w:val="Compact"/>
              <w:jc w:val="left"/>
            </w:pPr>
            <w:r>
              <w:t xml:space="preserve">H.1</w:t>
            </w:r>
          </w:p>
        </w:tc>
      </w:tr>
      <w:tr>
        <w:tc>
          <w:tcPr/>
          <w:p>
            <w:pPr>
              <w:pStyle w:val="Compact"/>
              <w:jc w:val="left"/>
            </w:pPr>
            <w:r>
              <w:t xml:space="preserve">N20</w:t>
            </w:r>
          </w:p>
        </w:tc>
        <w:tc>
          <w:tcPr/>
          <w:p>
            <w:pPr>
              <w:pStyle w:val="Compact"/>
              <w:jc w:val="left"/>
            </w:pPr>
            <w:r>
              <w:t xml:space="preserve">‘regional_comparison_radar.png‘</w:t>
            </w:r>
          </w:p>
        </w:tc>
        <w:tc>
          <w:tcPr/>
          <w:p>
            <w:pPr>
              <w:pStyle w:val="Compact"/>
              <w:jc w:val="left"/>
            </w:pPr>
            <w:r>
              <w:t xml:space="preserve">DE vs US performance radar chart</w:t>
            </w:r>
          </w:p>
        </w:tc>
        <w:tc>
          <w:tcPr/>
          <w:p>
            <w:pPr>
              <w:pStyle w:val="Compact"/>
              <w:jc w:val="left"/>
            </w:pPr>
            <w:r>
              <w:t xml:space="preserve">I.1</w:t>
            </w:r>
          </w:p>
        </w:tc>
      </w:tr>
    </w:tbl>
    <w:bookmarkEnd w:id="155"/>
    <w:bookmarkEnd w:id="156"/>
    <w:bookmarkStart w:id="157" w:name="figure-descriptions"/>
    <w:p>
      <w:pPr>
        <w:pStyle w:val="Heading2"/>
      </w:pPr>
      <w:r>
        <w:t xml:space="preserve">Figure Descriptions</w:t>
      </w:r>
    </w:p>
    <w:p>
      <w:pPr>
        <w:pStyle w:val="FirstParagraph"/>
      </w:pPr>
      <w:r>
        <w:rPr>
          <w:b/>
          <w:bCs/>
        </w:rPr>
        <w:t xml:space="preserve">Figure N1–N3</w:t>
      </w:r>
      <w:r>
        <w:t xml:space="preserve">: Forecast scatter plots showing predicted vs actual values with 1:1 reference lines, regression lines with 95% CI bands, and</w:t>
      </w:r>
      <w:r>
        <w:t xml:space="preserve"> </w:t>
      </w:r>
      <m:oMath>
        <m:sSup>
          <m:e>
            <m:r>
              <m:t>R</m:t>
            </m:r>
          </m:e>
          <m:sup>
            <m:r>
              <m:t>2</m:t>
            </m:r>
          </m:sup>
        </m:sSup>
      </m:oMath>
      <w:r>
        <w:t xml:space="preserve">/RMSE annotations. Points are color-encoded by hour-of-day.</w:t>
      </w:r>
    </w:p>
    <w:p>
      <w:pPr>
        <w:pStyle w:val="BodyText"/>
      </w:pPr>
      <w:r>
        <w:rPr>
          <w:b/>
          <w:bCs/>
        </w:rPr>
        <w:t xml:space="preserve">Figure N4</w:t>
      </w:r>
      <w:r>
        <w:t xml:space="preserve">: Error histograms with kernel density overlays and normal reference curves, including mean, standard deviation, skewness, and kurtosis annotations.</w:t>
      </w:r>
    </w:p>
    <w:p>
      <w:pPr>
        <w:pStyle w:val="BodyText"/>
      </w:pPr>
      <w:r>
        <w:rPr>
          <w:b/>
          <w:bCs/>
        </w:rPr>
        <w:t xml:space="preserve">Figure N5</w:t>
      </w:r>
      <w:r>
        <w:t xml:space="preserve">: Residual autocorrelation function showing lags 0–48 hours with 95% confidence bands and significant lags highlighted.</w:t>
      </w:r>
    </w:p>
    <w:p>
      <w:pPr>
        <w:pStyle w:val="BodyText"/>
      </w:pPr>
      <w:r>
        <w:rPr>
          <w:b/>
          <w:bCs/>
        </w:rPr>
        <w:t xml:space="preserve">Figure N6–N8</w:t>
      </w:r>
      <w:r>
        <w:t xml:space="preserve">: SHAP beeswarm plots with features ranked by mean</w:t>
      </w:r>
      <w:r>
        <w:t xml:space="preserve"> </w:t>
      </w:r>
      <m:oMath>
        <m:r>
          <m:rPr>
            <m:sty m:val="p"/>
          </m:rPr>
          <m:t>|</m:t>
        </m:r>
        <m:r>
          <m:rPr>
            <m:sty m:val="p"/>
          </m:rPr>
          <m:t>S</m:t>
        </m:r>
        <m:r>
          <m:rPr>
            <m:sty m:val="p"/>
          </m:rPr>
          <m:t>H</m:t>
        </m:r>
        <m:r>
          <m:rPr>
            <m:sty m:val="p"/>
          </m:rPr>
          <m:t>A</m:t>
        </m:r>
        <m:r>
          <m:rPr>
            <m:sty m:val="p"/>
          </m:rPr>
          <m:t>P</m:t>
        </m:r>
        <m:r>
          <m:rPr>
            <m:sty m:val="p"/>
          </m:rPr>
          <m:t>|</m:t>
        </m:r>
      </m:oMath>
      <w:r>
        <w:t xml:space="preserve">; color indicates feature value and horizontal position indicates impact on prediction.</w:t>
      </w:r>
    </w:p>
    <w:p>
      <w:pPr>
        <w:pStyle w:val="BodyText"/>
      </w:pPr>
      <w:r>
        <w:rPr>
          <w:b/>
          <w:bCs/>
        </w:rPr>
        <w:t xml:space="preserve">Figure N9</w:t>
      </w:r>
      <w:r>
        <w:t xml:space="preserve">: Feature interaction heatmap for SHAP interaction values; color intensity indicates interaction strength.</w:t>
      </w:r>
    </w:p>
    <w:p>
      <w:pPr>
        <w:pStyle w:val="BodyText"/>
      </w:pPr>
      <w:r>
        <w:rPr>
          <w:b/>
          <w:bCs/>
        </w:rPr>
        <w:t xml:space="preserve">Figure N10</w:t>
      </w:r>
      <w:r>
        <w:t xml:space="preserve">: Conformal calibration curves plotting empirical coverage vs nominal level, with separate curves for each target and a diagonal reference for perfect calibration.</w:t>
      </w:r>
    </w:p>
    <w:p>
      <w:pPr>
        <w:pStyle w:val="BodyText"/>
      </w:pPr>
      <w:r>
        <w:rPr>
          <w:b/>
          <w:bCs/>
        </w:rPr>
        <w:t xml:space="preserve">Figure N15</w:t>
      </w:r>
      <w:r>
        <w:t xml:space="preserve">: Cost-carbon Pareto frontier with dominated strategies marked, GridPulse operating point highlighted, and marginal rate of substitution annotations.</w:t>
      </w:r>
    </w:p>
    <w:bookmarkEnd w:id="157"/>
    <w:bookmarkEnd w:id="158"/>
    <w:bookmarkStart w:id="162" w:name="detailed-model-architectures"/>
    <w:p>
      <w:pPr>
        <w:pStyle w:val="Heading1"/>
      </w:pPr>
      <w:r>
        <w:t xml:space="preserve">Detailed Model Architectures</w:t>
      </w:r>
    </w:p>
    <w:bookmarkStart w:id="159" w:name="lightgbm-final-configuration"/>
    <w:p>
      <w:pPr>
        <w:pStyle w:val="Heading2"/>
      </w:pPr>
      <w:r>
        <w:t xml:space="preserve">LightGBM Final Configuration</w:t>
      </w:r>
    </w:p>
    <w:p>
      <w:pPr>
        <w:pStyle w:val="SourceCode"/>
      </w:pPr>
      <w:r>
        <w:rPr>
          <w:rStyle w:val="VerbatimChar"/>
        </w:rPr>
        <w:t xml:space="preserve">model_type: lightgbm</w:t>
      </w:r>
      <w:r>
        <w:br/>
      </w:r>
      <w:r>
        <w:rPr>
          <w:rStyle w:val="VerbatimChar"/>
        </w:rPr>
        <w:t xml:space="preserve">objective: regression</w:t>
      </w:r>
      <w:r>
        <w:br/>
      </w:r>
      <w:r>
        <w:rPr>
          <w:rStyle w:val="VerbatimChar"/>
        </w:rPr>
        <w:t xml:space="preserve">metric: rmse</w:t>
      </w:r>
      <w:r>
        <w:br/>
      </w:r>
      <w:r>
        <w:rPr>
          <w:rStyle w:val="VerbatimChar"/>
        </w:rPr>
        <w:t xml:space="preserve">boosting_type: gbdt</w:t>
      </w:r>
      <w:r>
        <w:br/>
      </w:r>
      <w:r>
        <w:rPr>
          <w:rStyle w:val="VerbatimChar"/>
        </w:rPr>
        <w:t xml:space="preserve">n_estimators: 1000</w:t>
      </w:r>
      <w:r>
        <w:br/>
      </w:r>
      <w:r>
        <w:rPr>
          <w:rStyle w:val="VerbatimChar"/>
        </w:rPr>
        <w:t xml:space="preserve">learning_rate: 0.05</w:t>
      </w:r>
      <w:r>
        <w:br/>
      </w:r>
      <w:r>
        <w:rPr>
          <w:rStyle w:val="VerbatimChar"/>
        </w:rPr>
        <w:t xml:space="preserve">max_depth: 8</w:t>
      </w:r>
      <w:r>
        <w:br/>
      </w:r>
      <w:r>
        <w:rPr>
          <w:rStyle w:val="VerbatimChar"/>
        </w:rPr>
        <w:t xml:space="preserve">num_leaves: 64</w:t>
      </w:r>
      <w:r>
        <w:br/>
      </w:r>
      <w:r>
        <w:rPr>
          <w:rStyle w:val="VerbatimChar"/>
        </w:rPr>
        <w:t xml:space="preserve">min_data_in_leaf: 20</w:t>
      </w:r>
      <w:r>
        <w:br/>
      </w:r>
      <w:r>
        <w:rPr>
          <w:rStyle w:val="VerbatimChar"/>
        </w:rPr>
        <w:t xml:space="preserve">subsample: 0.8</w:t>
      </w:r>
      <w:r>
        <w:br/>
      </w:r>
      <w:r>
        <w:rPr>
          <w:rStyle w:val="VerbatimChar"/>
        </w:rPr>
        <w:t xml:space="preserve">subsample_freq: 1</w:t>
      </w:r>
      <w:r>
        <w:br/>
      </w:r>
      <w:r>
        <w:rPr>
          <w:rStyle w:val="VerbatimChar"/>
        </w:rPr>
        <w:t xml:space="preserve">colsample_bytree: 0.8</w:t>
      </w:r>
      <w:r>
        <w:br/>
      </w:r>
      <w:r>
        <w:rPr>
          <w:rStyle w:val="VerbatimChar"/>
        </w:rPr>
        <w:t xml:space="preserve">reg_alpha: 0.1</w:t>
      </w:r>
      <w:r>
        <w:br/>
      </w:r>
      <w:r>
        <w:rPr>
          <w:rStyle w:val="VerbatimChar"/>
        </w:rPr>
        <w:t xml:space="preserve">reg_lambda: 0.1</w:t>
      </w:r>
      <w:r>
        <w:br/>
      </w:r>
      <w:r>
        <w:rPr>
          <w:rStyle w:val="VerbatimChar"/>
        </w:rPr>
        <w:t xml:space="preserve">random_state: 42</w:t>
      </w:r>
      <w:r>
        <w:br/>
      </w:r>
      <w:r>
        <w:rPr>
          <w:rStyle w:val="VerbatimChar"/>
        </w:rPr>
        <w:t xml:space="preserve">early_stopping_rounds: 50</w:t>
      </w:r>
      <w:r>
        <w:br/>
      </w:r>
      <w:r>
        <w:rPr>
          <w:rStyle w:val="VerbatimChar"/>
        </w:rPr>
        <w:t xml:space="preserve">verbose: -1</w:t>
      </w:r>
    </w:p>
    <w:p>
      <w:pPr>
        <w:pStyle w:val="FirstParagraph"/>
      </w:pPr>
      <w:r>
        <w:rPr>
          <w:b/>
          <w:bCs/>
        </w:rPr>
        <w:t xml:space="preserve">Table O1</w:t>
      </w:r>
      <w:r>
        <w:t xml:space="preserve">: LightGBM Configuration.</w:t>
      </w:r>
    </w:p>
    <w:bookmarkEnd w:id="159"/>
    <w:bookmarkStart w:id="160" w:name="lstm-architecture"/>
    <w:p>
      <w:pPr>
        <w:pStyle w:val="Heading2"/>
      </w:pPr>
      <w:r>
        <w:t xml:space="preserve">LSTM Architecture</w:t>
      </w:r>
    </w:p>
    <w:p>
      <w:pPr>
        <w:pStyle w:val="SourceCode"/>
      </w:pPr>
      <w:r>
        <w:rPr>
          <w:rStyle w:val="VerbatimChar"/>
        </w:rPr>
        <w:t xml:space="preserve">LSTMForecaster(</w:t>
      </w:r>
      <w:r>
        <w:br/>
      </w:r>
      <w:r>
        <w:rPr>
          <w:rStyle w:val="VerbatimChar"/>
        </w:rPr>
        <w:t xml:space="preserve">  (lstm): LSTM(</w:t>
      </w:r>
      <w:r>
        <w:br/>
      </w:r>
      <w:r>
        <w:rPr>
          <w:rStyle w:val="VerbatimChar"/>
        </w:rPr>
        <w:t xml:space="preserve">    input_size=93,</w:t>
      </w:r>
      <w:r>
        <w:br/>
      </w:r>
      <w:r>
        <w:rPr>
          <w:rStyle w:val="VerbatimChar"/>
        </w:rPr>
        <w:t xml:space="preserve">    hidden_size=256,</w:t>
      </w:r>
      <w:r>
        <w:br/>
      </w:r>
      <w:r>
        <w:rPr>
          <w:rStyle w:val="VerbatimChar"/>
        </w:rPr>
        <w:t xml:space="preserve">    num_layers=3,</w:t>
      </w:r>
      <w:r>
        <w:br/>
      </w:r>
      <w:r>
        <w:rPr>
          <w:rStyle w:val="VerbatimChar"/>
        </w:rPr>
        <w:t xml:space="preserve">    batch_first=True,</w:t>
      </w:r>
      <w:r>
        <w:br/>
      </w:r>
      <w:r>
        <w:rPr>
          <w:rStyle w:val="VerbatimChar"/>
        </w:rPr>
        <w:t xml:space="preserve">    dropout=0.3,</w:t>
      </w:r>
      <w:r>
        <w:br/>
      </w:r>
      <w:r>
        <w:rPr>
          <w:rStyle w:val="VerbatimChar"/>
        </w:rPr>
        <w:t xml:space="preserve">    bidirectional=False</w:t>
      </w:r>
      <w:r>
        <w:br/>
      </w:r>
      <w:r>
        <w:rPr>
          <w:rStyle w:val="VerbatimChar"/>
        </w:rPr>
        <w:t xml:space="preserve">  )</w:t>
      </w:r>
      <w:r>
        <w:br/>
      </w:r>
      <w:r>
        <w:rPr>
          <w:rStyle w:val="VerbatimChar"/>
        </w:rPr>
        <w:t xml:space="preserve">  (fc): Sequential(</w:t>
      </w:r>
      <w:r>
        <w:br/>
      </w:r>
      <w:r>
        <w:rPr>
          <w:rStyle w:val="VerbatimChar"/>
        </w:rPr>
        <w:t xml:space="preserve">    (0): Linear(in_features=256, out_features=128)</w:t>
      </w:r>
      <w:r>
        <w:br/>
      </w:r>
      <w:r>
        <w:rPr>
          <w:rStyle w:val="VerbatimChar"/>
        </w:rPr>
        <w:t xml:space="preserve">    (1): ReLU()</w:t>
      </w:r>
      <w:r>
        <w:br/>
      </w:r>
      <w:r>
        <w:rPr>
          <w:rStyle w:val="VerbatimChar"/>
        </w:rPr>
        <w:t xml:space="preserve">    (2): Dropout(p=0.3)</w:t>
      </w:r>
      <w:r>
        <w:br/>
      </w:r>
      <w:r>
        <w:rPr>
          <w:rStyle w:val="VerbatimChar"/>
        </w:rPr>
        <w:t xml:space="preserve">    (3): Linear(in_features=128, out_features=24)</w:t>
      </w:r>
      <w:r>
        <w:br/>
      </w:r>
      <w:r>
        <w:rPr>
          <w:rStyle w:val="VerbatimChar"/>
        </w:rPr>
        <w:t xml:space="preserve">  )</w:t>
      </w:r>
      <w:r>
        <w:br/>
      </w:r>
      <w:r>
        <w:rPr>
          <w:rStyle w:val="VerbatimChar"/>
        </w:rPr>
        <w:t xml:space="preserve">)</w:t>
      </w:r>
      <w:r>
        <w:br/>
      </w:r>
      <w:r>
        <w:br/>
      </w:r>
      <w:r>
        <w:rPr>
          <w:rStyle w:val="VerbatimChar"/>
        </w:rPr>
        <w:t xml:space="preserve">Total Parameters: 1,423,896</w:t>
      </w:r>
      <w:r>
        <w:br/>
      </w:r>
      <w:r>
        <w:rPr>
          <w:rStyle w:val="VerbatimChar"/>
        </w:rPr>
        <w:t xml:space="preserve">Trainable Parameters: 1,423,896</w:t>
      </w:r>
    </w:p>
    <w:p>
      <w:pPr>
        <w:pStyle w:val="FirstParagraph"/>
      </w:pPr>
      <w:r>
        <w:rPr>
          <w:b/>
          <w:bCs/>
        </w:rPr>
        <w:t xml:space="preserve">Table O2</w:t>
      </w:r>
      <w:r>
        <w:t xml:space="preserve">: LSTM Architecture Summary.</w:t>
      </w:r>
    </w:p>
    <w:bookmarkEnd w:id="160"/>
    <w:bookmarkStart w:id="161" w:name="tcn-architecture"/>
    <w:p>
      <w:pPr>
        <w:pStyle w:val="Heading2"/>
      </w:pPr>
      <w:r>
        <w:t xml:space="preserve">TCN Architecture</w:t>
      </w:r>
    </w:p>
    <w:p>
      <w:pPr>
        <w:pStyle w:val="SourceCode"/>
      </w:pPr>
      <w:r>
        <w:rPr>
          <w:rStyle w:val="VerbatimChar"/>
        </w:rPr>
        <w:t xml:space="preserve">TCNForecaster(</w:t>
      </w:r>
      <w:r>
        <w:br/>
      </w:r>
      <w:r>
        <w:rPr>
          <w:rStyle w:val="VerbatimChar"/>
        </w:rPr>
        <w:t xml:space="preserve">  (tcn): TemporalConvNet(</w:t>
      </w:r>
      <w:r>
        <w:br/>
      </w:r>
      <w:r>
        <w:rPr>
          <w:rStyle w:val="VerbatimChar"/>
        </w:rPr>
        <w:t xml:space="preserve">    (network): Sequential(</w:t>
      </w:r>
      <w:r>
        <w:br/>
      </w:r>
      <w:r>
        <w:rPr>
          <w:rStyle w:val="VerbatimChar"/>
        </w:rPr>
        <w:t xml:space="preserve">      (0): TemporalBlock(in=93, out=128, k=5, d=1)</w:t>
      </w:r>
      <w:r>
        <w:br/>
      </w:r>
      <w:r>
        <w:rPr>
          <w:rStyle w:val="VerbatimChar"/>
        </w:rPr>
        <w:t xml:space="preserve">      (1): TemporalBlock(in=128, out=128, k=5, d=2)</w:t>
      </w:r>
      <w:r>
        <w:br/>
      </w:r>
      <w:r>
        <w:rPr>
          <w:rStyle w:val="VerbatimChar"/>
        </w:rPr>
        <w:t xml:space="preserve">      (2): TemporalBlock(in=128, out=128, k=5, d=4)</w:t>
      </w:r>
      <w:r>
        <w:br/>
      </w:r>
      <w:r>
        <w:rPr>
          <w:rStyle w:val="VerbatimChar"/>
        </w:rPr>
        <w:t xml:space="preserve">      (3): TemporalBlock(in=128, out=64, k=5, d=8)</w:t>
      </w:r>
      <w:r>
        <w:br/>
      </w:r>
      <w:r>
        <w:rPr>
          <w:rStyle w:val="VerbatimChar"/>
        </w:rPr>
        <w:t xml:space="preserve">    )</w:t>
      </w:r>
      <w:r>
        <w:br/>
      </w:r>
      <w:r>
        <w:rPr>
          <w:rStyle w:val="VerbatimChar"/>
        </w:rPr>
        <w:t xml:space="preserve">  )</w:t>
      </w:r>
      <w:r>
        <w:br/>
      </w:r>
      <w:r>
        <w:rPr>
          <w:rStyle w:val="VerbatimChar"/>
        </w:rPr>
        <w:t xml:space="preserve">  (fc): Linear(in_features=64, out_features=24)</w:t>
      </w:r>
      <w:r>
        <w:br/>
      </w:r>
      <w:r>
        <w:rPr>
          <w:rStyle w:val="VerbatimChar"/>
        </w:rPr>
        <w:t xml:space="preserve">)</w:t>
      </w:r>
      <w:r>
        <w:br/>
      </w:r>
      <w:r>
        <w:br/>
      </w:r>
      <w:r>
        <w:rPr>
          <w:rStyle w:val="VerbatimChar"/>
        </w:rPr>
        <w:t xml:space="preserve">Total Parameters: 558,232</w:t>
      </w:r>
      <w:r>
        <w:br/>
      </w:r>
      <w:r>
        <w:rPr>
          <w:rStyle w:val="VerbatimChar"/>
        </w:rPr>
        <w:t xml:space="preserve">Trainable Parameters: 558,232</w:t>
      </w:r>
      <w:r>
        <w:br/>
      </w:r>
      <w:r>
        <w:rPr>
          <w:rStyle w:val="VerbatimChar"/>
        </w:rPr>
        <w:t xml:space="preserve">Receptive Field: 145 timesteps</w:t>
      </w:r>
    </w:p>
    <w:p>
      <w:pPr>
        <w:pStyle w:val="FirstParagraph"/>
      </w:pPr>
      <w:r>
        <w:rPr>
          <w:b/>
          <w:bCs/>
        </w:rPr>
        <w:t xml:space="preserve">Table O3</w:t>
      </w:r>
      <w:r>
        <w:t xml:space="preserve">: TCN Architecture Summary.</w:t>
      </w:r>
    </w:p>
    <w:bookmarkEnd w:id="161"/>
    <w:bookmarkEnd w:id="162"/>
    <w:bookmarkStart w:id="169" w:name="reproducibility-checklist"/>
    <w:p>
      <w:pPr>
        <w:pStyle w:val="Heading1"/>
      </w:pPr>
      <w:r>
        <w:t xml:space="preserve">Reproducibility Checklist</w:t>
      </w:r>
    </w:p>
    <w:bookmarkStart w:id="164" w:name="ml-reproducibility-checklist"/>
    <w:p>
      <w:pPr>
        <w:pStyle w:val="Heading2"/>
      </w:pPr>
      <w:r>
        <w:t xml:space="preserve">ML Reproducibility Checklist</w:t>
      </w:r>
    </w:p>
    <w:bookmarkStart w:id="163" w:name="tab:p1"/>
    <w:p>
      <w:pPr>
        <w:pStyle w:val="TableCaption"/>
      </w:pPr>
      <w:r>
        <w:t xml:space="preserve">NeurIPS ML Reproducibility Checklist</w:t>
      </w:r>
    </w:p>
    <w:tbl>
      <w:tblPr>
        <w:tblStyle w:val="Table"/>
        <w:tblW w:type="auto" w:w="0"/>
        <w:tblLook w:firstRow="1" w:lastRow="0" w:firstColumn="0" w:lastColumn="0" w:noHBand="0" w:noVBand="0" w:val="0020"/>
        <w:tblCaption w:val="NeurIPS ML Reproducibility Checklist"/>
      </w:tblPr>
      <w:tblGrid>
        <w:gridCol w:w="2640"/>
        <w:gridCol w:w="2640"/>
        <w:gridCol w:w="2640"/>
      </w:tblGrid>
      <w:tr>
        <w:trPr>
          <w:tblHeader w:val="on"/>
        </w:trPr>
        <w:tc>
          <w:tcPr/>
          <w:p>
            <w:pPr>
              <w:pStyle w:val="Compact"/>
              <w:jc w:val="left"/>
            </w:pPr>
            <w:r>
              <w:t xml:space="preserve">Item</w:t>
            </w:r>
          </w:p>
        </w:tc>
        <w:tc>
          <w:tcPr/>
          <w:p>
            <w:pPr>
              <w:pStyle w:val="Compact"/>
              <w:jc w:val="left"/>
            </w:pPr>
            <w:r>
              <w:t xml:space="preserve">Status</w:t>
            </w:r>
          </w:p>
        </w:tc>
        <w:tc>
          <w:tcPr/>
          <w:p>
            <w:pPr>
              <w:pStyle w:val="Compact"/>
              <w:jc w:val="left"/>
            </w:pPr>
            <w:r>
              <w:t xml:space="preserve">Details</w:t>
            </w:r>
          </w:p>
        </w:tc>
      </w:tr>
      <w:tr>
        <w:tc>
          <w:tcPr/>
          <w:p>
            <w:pPr>
              <w:pStyle w:val="Compact"/>
              <w:jc w:val="left"/>
            </w:pPr>
            <w:r>
              <w:t xml:space="preserve">Code availability</w:t>
            </w:r>
          </w:p>
        </w:tc>
        <w:tc>
          <w:tcPr/>
          <w:p>
            <w:pPr>
              <w:pStyle w:val="Compact"/>
            </w:pPr>
          </w:p>
        </w:tc>
        <w:tc>
          <w:tcPr/>
          <w:p>
            <w:pPr>
              <w:pStyle w:val="Compact"/>
              <w:jc w:val="left"/>
            </w:pPr>
            <w:r>
              <w:t xml:space="preserve">GitHub repository (MIT license)</w:t>
            </w:r>
          </w:p>
        </w:tc>
      </w:tr>
      <w:tr>
        <w:tc>
          <w:tcPr/>
          <w:p>
            <w:pPr>
              <w:pStyle w:val="Compact"/>
              <w:jc w:val="left"/>
            </w:pPr>
            <w:r>
              <w:t xml:space="preserve">Data availability</w:t>
            </w:r>
          </w:p>
        </w:tc>
        <w:tc>
          <w:tcPr/>
          <w:p>
            <w:pPr>
              <w:pStyle w:val="Compact"/>
            </w:pPr>
          </w:p>
        </w:tc>
        <w:tc>
          <w:tcPr/>
          <w:p>
            <w:pPr>
              <w:pStyle w:val="Compact"/>
              <w:jc w:val="left"/>
            </w:pPr>
            <w:r>
              <w:t xml:space="preserve">Public OPSD + EIA-930</w:t>
            </w:r>
          </w:p>
        </w:tc>
      </w:tr>
      <w:tr>
        <w:tc>
          <w:tcPr/>
          <w:p>
            <w:pPr>
              <w:pStyle w:val="Compact"/>
              <w:jc w:val="left"/>
            </w:pPr>
            <w:r>
              <w:t xml:space="preserve">Random seeds fixed</w:t>
            </w:r>
          </w:p>
        </w:tc>
        <w:tc>
          <w:tcPr/>
          <w:p>
            <w:pPr>
              <w:pStyle w:val="Compact"/>
            </w:pPr>
          </w:p>
        </w:tc>
        <w:tc>
          <w:tcPr/>
          <w:p>
            <w:pPr>
              <w:pStyle w:val="Compact"/>
              <w:jc w:val="left"/>
            </w:pPr>
            <w:r>
              <w:t xml:space="preserve">seed=42 for all experiments</w:t>
            </w:r>
          </w:p>
        </w:tc>
      </w:tr>
      <w:tr>
        <w:tc>
          <w:tcPr/>
          <w:p>
            <w:pPr>
              <w:pStyle w:val="Compact"/>
              <w:jc w:val="left"/>
            </w:pPr>
            <w:r>
              <w:t xml:space="preserve">Hardware specs documented</w:t>
            </w:r>
          </w:p>
        </w:tc>
        <w:tc>
          <w:tcPr/>
          <w:p>
            <w:pPr>
              <w:pStyle w:val="Compact"/>
            </w:pPr>
          </w:p>
        </w:tc>
        <w:tc>
          <w:tcPr/>
          <w:p>
            <w:pPr>
              <w:pStyle w:val="Compact"/>
              <w:jc w:val="left"/>
            </w:pPr>
            <w:r>
              <w:t xml:space="preserve">Appendix A</w:t>
            </w:r>
          </w:p>
        </w:tc>
      </w:tr>
      <w:tr>
        <w:tc>
          <w:tcPr/>
          <w:p>
            <w:pPr>
              <w:pStyle w:val="Compact"/>
              <w:jc w:val="left"/>
            </w:pPr>
            <w:r>
              <w:t xml:space="preserve">Hyperparameters documented</w:t>
            </w:r>
          </w:p>
        </w:tc>
        <w:tc>
          <w:tcPr/>
          <w:p>
            <w:pPr>
              <w:pStyle w:val="Compact"/>
            </w:pPr>
          </w:p>
        </w:tc>
        <w:tc>
          <w:tcPr/>
          <w:p>
            <w:pPr>
              <w:pStyle w:val="Compact"/>
              <w:jc w:val="left"/>
            </w:pPr>
            <w:r>
              <w:t xml:space="preserve">Appendix O</w:t>
            </w:r>
          </w:p>
        </w:tc>
      </w:tr>
      <w:tr>
        <w:tc>
          <w:tcPr/>
          <w:p>
            <w:pPr>
              <w:pStyle w:val="Compact"/>
              <w:jc w:val="left"/>
            </w:pPr>
            <w:r>
              <w:t xml:space="preserve">Training procedure documented</w:t>
            </w:r>
          </w:p>
        </w:tc>
        <w:tc>
          <w:tcPr/>
          <w:p>
            <w:pPr>
              <w:pStyle w:val="Compact"/>
            </w:pPr>
          </w:p>
        </w:tc>
        <w:tc>
          <w:tcPr/>
          <w:p>
            <w:pPr>
              <w:pStyle w:val="Compact"/>
              <w:jc w:val="left"/>
            </w:pPr>
            <w:r>
              <w:t xml:space="preserve">Section 4</w:t>
            </w:r>
          </w:p>
        </w:tc>
      </w:tr>
      <w:tr>
        <w:tc>
          <w:tcPr/>
          <w:p>
            <w:pPr>
              <w:pStyle w:val="Compact"/>
              <w:jc w:val="left"/>
            </w:pPr>
            <w:r>
              <w:t xml:space="preserve">Evaluation metrics defined</w:t>
            </w:r>
          </w:p>
        </w:tc>
        <w:tc>
          <w:tcPr/>
          <w:p>
            <w:pPr>
              <w:pStyle w:val="Compact"/>
            </w:pPr>
          </w:p>
        </w:tc>
        <w:tc>
          <w:tcPr/>
          <w:p>
            <w:pPr>
              <w:pStyle w:val="Compact"/>
              <w:jc w:val="left"/>
            </w:pPr>
            <w:r>
              <w:t xml:space="preserve">Section 5.1</w:t>
            </w:r>
          </w:p>
        </w:tc>
      </w:tr>
      <w:tr>
        <w:tc>
          <w:tcPr/>
          <w:p>
            <w:pPr>
              <w:pStyle w:val="Compact"/>
              <w:jc w:val="left"/>
            </w:pPr>
            <w:r>
              <w:t xml:space="preserve">Statistical tests reported</w:t>
            </w:r>
          </w:p>
        </w:tc>
        <w:tc>
          <w:tcPr/>
          <w:p>
            <w:pPr>
              <w:pStyle w:val="Compact"/>
            </w:pPr>
          </w:p>
        </w:tc>
        <w:tc>
          <w:tcPr/>
          <w:p>
            <w:pPr>
              <w:pStyle w:val="Compact"/>
              <w:jc w:val="left"/>
            </w:pPr>
            <w:r>
              <w:t xml:space="preserve">Appendix F</w:t>
            </w:r>
          </w:p>
        </w:tc>
      </w:tr>
      <w:tr>
        <w:tc>
          <w:tcPr/>
          <w:p>
            <w:pPr>
              <w:pStyle w:val="Compact"/>
              <w:jc w:val="left"/>
            </w:pPr>
            <w:r>
              <w:t xml:space="preserve">Error bars/CIs reported</w:t>
            </w:r>
          </w:p>
        </w:tc>
        <w:tc>
          <w:tcPr/>
          <w:p>
            <w:pPr>
              <w:pStyle w:val="Compact"/>
            </w:pPr>
          </w:p>
        </w:tc>
        <w:tc>
          <w:tcPr/>
          <w:p>
            <w:pPr>
              <w:pStyle w:val="Compact"/>
              <w:jc w:val="left"/>
            </w:pPr>
            <w:r>
              <w:t xml:space="preserve">Tables E1-E2, F3</w:t>
            </w:r>
          </w:p>
        </w:tc>
      </w:tr>
      <w:tr>
        <w:tc>
          <w:tcPr/>
          <w:p>
            <w:pPr>
              <w:pStyle w:val="Compact"/>
              <w:jc w:val="left"/>
            </w:pPr>
            <w:r>
              <w:t xml:space="preserve">Multiple runs</w:t>
            </w:r>
          </w:p>
        </w:tc>
        <w:tc>
          <w:tcPr/>
          <w:p>
            <w:pPr>
              <w:pStyle w:val="Compact"/>
            </w:pPr>
          </w:p>
        </w:tc>
        <w:tc>
          <w:tcPr/>
          <w:p>
            <w:pPr>
              <w:pStyle w:val="Compact"/>
              <w:jc w:val="left"/>
            </w:pPr>
            <w:r>
              <w:t xml:space="preserve">5 seeds, 10-fold CV</w:t>
            </w:r>
          </w:p>
        </w:tc>
      </w:tr>
    </w:tbl>
    <w:bookmarkEnd w:id="163"/>
    <w:bookmarkEnd w:id="164"/>
    <w:bookmarkStart w:id="166" w:name="data-sheet"/>
    <w:p>
      <w:pPr>
        <w:pStyle w:val="Heading2"/>
      </w:pPr>
      <w:r>
        <w:t xml:space="preserve">Data Sheet</w:t>
      </w:r>
    </w:p>
    <w:bookmarkStart w:id="165" w:name="tab:p2"/>
    <w:p>
      <w:pPr>
        <w:pStyle w:val="TableCaption"/>
      </w:pPr>
      <w:r>
        <w:t xml:space="preserve">Dataset Information Sheet</w:t>
      </w:r>
    </w:p>
    <w:tbl>
      <w:tblPr>
        <w:tblStyle w:val="Table"/>
        <w:tblW w:type="auto" w:w="0"/>
        <w:tblLook w:firstRow="1" w:lastRow="0" w:firstColumn="0" w:lastColumn="0" w:noHBand="0" w:noVBand="0" w:val="0020"/>
        <w:tblCaption w:val="Dataset Information Sheet"/>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rPr>
                <w:b/>
                <w:bCs/>
              </w:rPr>
              <w:t xml:space="preserve">Name</w:t>
            </w:r>
          </w:p>
        </w:tc>
        <w:tc>
          <w:tcPr/>
          <w:p>
            <w:pPr>
              <w:pStyle w:val="Compact"/>
              <w:jc w:val="left"/>
            </w:pPr>
            <w:r>
              <w:t xml:space="preserve">GridPulse Energy Dataset</w:t>
            </w:r>
          </w:p>
        </w:tc>
      </w:tr>
      <w:tr>
        <w:tc>
          <w:tcPr/>
          <w:p>
            <w:pPr>
              <w:pStyle w:val="Compact"/>
              <w:jc w:val="left"/>
            </w:pPr>
            <w:r>
              <w:rPr>
                <w:b/>
                <w:bCs/>
              </w:rPr>
              <w:t xml:space="preserve">Source</w:t>
            </w:r>
          </w:p>
        </w:tc>
        <w:tc>
          <w:tcPr/>
          <w:p>
            <w:pPr>
              <w:pStyle w:val="Compact"/>
              <w:jc w:val="left"/>
            </w:pPr>
            <w:r>
              <w:t xml:space="preserve">OPSD (Germany), EIA-930 (USA)</w:t>
            </w:r>
          </w:p>
        </w:tc>
      </w:tr>
      <w:tr>
        <w:tc>
          <w:tcPr/>
          <w:p>
            <w:pPr>
              <w:pStyle w:val="Compact"/>
              <w:jc w:val="left"/>
            </w:pPr>
            <w:r>
              <w:rPr>
                <w:b/>
                <w:bCs/>
              </w:rPr>
              <w:t xml:space="preserve">Time Range</w:t>
            </w:r>
          </w:p>
        </w:tc>
        <w:tc>
          <w:tcPr/>
          <w:p>
            <w:pPr>
              <w:pStyle w:val="Compact"/>
              <w:jc w:val="left"/>
            </w:pPr>
            <w:r>
              <w:t xml:space="preserve">2015-2020 (DE), 2019-2024 (US)</w:t>
            </w:r>
          </w:p>
        </w:tc>
      </w:tr>
      <w:tr>
        <w:tc>
          <w:tcPr/>
          <w:p>
            <w:pPr>
              <w:pStyle w:val="Compact"/>
              <w:jc w:val="left"/>
            </w:pPr>
            <w:r>
              <w:rPr>
                <w:b/>
                <w:bCs/>
              </w:rPr>
              <w:t xml:space="preserve">Frequency</w:t>
            </w:r>
          </w:p>
        </w:tc>
        <w:tc>
          <w:tcPr/>
          <w:p>
            <w:pPr>
              <w:pStyle w:val="Compact"/>
              <w:jc w:val="left"/>
            </w:pPr>
            <w:r>
              <w:t xml:space="preserve">Hourly</w:t>
            </w:r>
          </w:p>
        </w:tc>
      </w:tr>
      <w:tr>
        <w:tc>
          <w:tcPr/>
          <w:p>
            <w:pPr>
              <w:pStyle w:val="Compact"/>
              <w:jc w:val="left"/>
            </w:pPr>
            <w:r>
              <w:rPr>
                <w:b/>
                <w:bCs/>
              </w:rPr>
              <w:t xml:space="preserve">Size</w:t>
            </w:r>
          </w:p>
        </w:tc>
        <w:tc>
          <w:tcPr/>
          <w:p>
            <w:pPr>
              <w:pStyle w:val="Compact"/>
              <w:jc w:val="left"/>
            </w:pPr>
            <w:r>
              <w:t xml:space="preserve">17,377 (DE), 43,824 (US) samples</w:t>
            </w:r>
          </w:p>
        </w:tc>
      </w:tr>
      <w:tr>
        <w:tc>
          <w:tcPr/>
          <w:p>
            <w:pPr>
              <w:pStyle w:val="Compact"/>
              <w:jc w:val="left"/>
            </w:pPr>
            <w:r>
              <w:rPr>
                <w:b/>
                <w:bCs/>
              </w:rPr>
              <w:t xml:space="preserve">Features</w:t>
            </w:r>
          </w:p>
        </w:tc>
        <w:tc>
          <w:tcPr/>
          <w:p>
            <w:pPr>
              <w:pStyle w:val="Compact"/>
              <w:jc w:val="left"/>
            </w:pPr>
            <w:r>
              <w:t xml:space="preserve">93 engineered features</w:t>
            </w:r>
          </w:p>
        </w:tc>
      </w:tr>
      <w:tr>
        <w:tc>
          <w:tcPr/>
          <w:p>
            <w:pPr>
              <w:pStyle w:val="Compact"/>
              <w:jc w:val="left"/>
            </w:pPr>
            <w:r>
              <w:rPr>
                <w:b/>
                <w:bCs/>
              </w:rPr>
              <w:t xml:space="preserve">Targets</w:t>
            </w:r>
          </w:p>
        </w:tc>
        <w:tc>
          <w:tcPr/>
          <w:p>
            <w:pPr>
              <w:pStyle w:val="Compact"/>
              <w:jc w:val="left"/>
            </w:pPr>
            <w:r>
              <w:t xml:space="preserve">load_mw, wind_mw, solar_mw</w:t>
            </w:r>
          </w:p>
        </w:tc>
      </w:tr>
      <w:tr>
        <w:tc>
          <w:tcPr/>
          <w:p>
            <w:pPr>
              <w:pStyle w:val="Compact"/>
              <w:jc w:val="left"/>
            </w:pPr>
            <w:r>
              <w:rPr>
                <w:b/>
                <w:bCs/>
              </w:rPr>
              <w:t xml:space="preserve">Missing Data</w:t>
            </w:r>
          </w:p>
        </w:tc>
        <w:tc>
          <w:tcPr/>
          <w:p>
            <w:pPr>
              <w:pStyle w:val="Compact"/>
              <w:jc w:val="left"/>
            </w:pPr>
            <w:r>
              <w:t xml:space="preserve">&lt;0.1%, forward-filled</w:t>
            </w:r>
          </w:p>
        </w:tc>
      </w:tr>
      <w:tr>
        <w:tc>
          <w:tcPr/>
          <w:p>
            <w:pPr>
              <w:pStyle w:val="Compact"/>
              <w:jc w:val="left"/>
            </w:pPr>
            <w:r>
              <w:rPr>
                <w:b/>
                <w:bCs/>
              </w:rPr>
              <w:t xml:space="preserve">License</w:t>
            </w:r>
          </w:p>
        </w:tc>
        <w:tc>
          <w:tcPr/>
          <w:p>
            <w:pPr>
              <w:pStyle w:val="Compact"/>
              <w:jc w:val="left"/>
            </w:pPr>
            <w:r>
              <w:t xml:space="preserve">CC-BY (OPSD), Public Domain (EIA)</w:t>
            </w:r>
          </w:p>
        </w:tc>
      </w:tr>
      <w:tr>
        <w:tc>
          <w:tcPr/>
          <w:p>
            <w:pPr>
              <w:pStyle w:val="Compact"/>
              <w:jc w:val="left"/>
            </w:pPr>
            <w:r>
              <w:rPr>
                <w:b/>
                <w:bCs/>
              </w:rPr>
              <w:t xml:space="preserve">Preprocessing</w:t>
            </w:r>
          </w:p>
        </w:tc>
        <w:tc>
          <w:tcPr/>
          <w:p>
            <w:pPr>
              <w:pStyle w:val="Compact"/>
              <w:jc w:val="left"/>
            </w:pPr>
            <w:r>
              <w:t xml:space="preserve">Documented in ‘src/gridpulse/data/‘</w:t>
            </w:r>
          </w:p>
        </w:tc>
      </w:tr>
    </w:tbl>
    <w:bookmarkEnd w:id="165"/>
    <w:bookmarkEnd w:id="166"/>
    <w:bookmarkStart w:id="168" w:name="model-card"/>
    <w:p>
      <w:pPr>
        <w:pStyle w:val="Heading2"/>
      </w:pPr>
      <w:r>
        <w:t xml:space="preserve">Model Card</w:t>
      </w:r>
    </w:p>
    <w:bookmarkStart w:id="167" w:name="tab:p3"/>
    <w:p>
      <w:pPr>
        <w:pStyle w:val="TableCaption"/>
      </w:pPr>
      <w:r>
        <w:t xml:space="preserve">Model Card Summary</w:t>
      </w:r>
    </w:p>
    <w:tbl>
      <w:tblPr>
        <w:tblStyle w:val="Table"/>
        <w:tblW w:type="auto" w:w="0"/>
        <w:tblLook w:firstRow="1" w:lastRow="0" w:firstColumn="0" w:lastColumn="0" w:noHBand="0" w:noVBand="0" w:val="0020"/>
        <w:tblCaption w:val="Model Card Summary"/>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rPr>
                <w:b/>
                <w:bCs/>
              </w:rPr>
              <w:t xml:space="preserve">Model Name</w:t>
            </w:r>
          </w:p>
        </w:tc>
        <w:tc>
          <w:tcPr/>
          <w:p>
            <w:pPr>
              <w:pStyle w:val="Compact"/>
              <w:jc w:val="left"/>
            </w:pPr>
            <w:r>
              <w:t xml:space="preserve">GridPulse GBM Forecaster</w:t>
            </w:r>
          </w:p>
        </w:tc>
      </w:tr>
      <w:tr>
        <w:tc>
          <w:tcPr/>
          <w:p>
            <w:pPr>
              <w:pStyle w:val="Compact"/>
              <w:jc w:val="left"/>
            </w:pPr>
            <w:r>
              <w:rPr>
                <w:b/>
                <w:bCs/>
              </w:rPr>
              <w:t xml:space="preserve">Version</w:t>
            </w:r>
          </w:p>
        </w:tc>
        <w:tc>
          <w:tcPr/>
          <w:p>
            <w:pPr>
              <w:pStyle w:val="Compact"/>
              <w:jc w:val="left"/>
            </w:pPr>
            <w:r>
              <w:t xml:space="preserve">1.0</w:t>
            </w:r>
          </w:p>
        </w:tc>
      </w:tr>
      <w:tr>
        <w:tc>
          <w:tcPr/>
          <w:p>
            <w:pPr>
              <w:pStyle w:val="Compact"/>
              <w:jc w:val="left"/>
            </w:pPr>
            <w:r>
              <w:rPr>
                <w:b/>
                <w:bCs/>
              </w:rPr>
              <w:t xml:space="preserve">Intended Use</w:t>
            </w:r>
          </w:p>
        </w:tc>
        <w:tc>
          <w:tcPr/>
          <w:p>
            <w:pPr>
              <w:pStyle w:val="Compact"/>
              <w:jc w:val="left"/>
            </w:pPr>
            <w:r>
              <w:t xml:space="preserve">Day-ahead energy forecasting</w:t>
            </w:r>
          </w:p>
        </w:tc>
      </w:tr>
      <w:tr>
        <w:tc>
          <w:tcPr/>
          <w:p>
            <w:pPr>
              <w:pStyle w:val="Compact"/>
              <w:jc w:val="left"/>
            </w:pPr>
            <w:r>
              <w:rPr>
                <w:b/>
                <w:bCs/>
              </w:rPr>
              <w:t xml:space="preserve">Out-of-Scope Use</w:t>
            </w:r>
          </w:p>
        </w:tc>
        <w:tc>
          <w:tcPr/>
          <w:p>
            <w:pPr>
              <w:pStyle w:val="Compact"/>
              <w:jc w:val="left"/>
            </w:pPr>
            <w:r>
              <w:t xml:space="preserve">Real-time (&lt;1h) forecasting</w:t>
            </w:r>
          </w:p>
        </w:tc>
      </w:tr>
      <w:tr>
        <w:tc>
          <w:tcPr/>
          <w:p>
            <w:pPr>
              <w:pStyle w:val="Compact"/>
              <w:jc w:val="left"/>
            </w:pPr>
            <w:r>
              <w:rPr>
                <w:b/>
                <w:bCs/>
              </w:rPr>
              <w:t xml:space="preserve">Training Data</w:t>
            </w:r>
          </w:p>
        </w:tc>
        <w:tc>
          <w:tcPr/>
          <w:p>
            <w:pPr>
              <w:pStyle w:val="Compact"/>
              <w:jc w:val="left"/>
            </w:pPr>
            <w:r>
              <w:t xml:space="preserve">OPSD Germany 2015-2019</w:t>
            </w:r>
          </w:p>
        </w:tc>
      </w:tr>
      <w:tr>
        <w:tc>
          <w:tcPr/>
          <w:p>
            <w:pPr>
              <w:pStyle w:val="Compact"/>
              <w:jc w:val="left"/>
            </w:pPr>
            <w:r>
              <w:rPr>
                <w:b/>
                <w:bCs/>
              </w:rPr>
              <w:t xml:space="preserve">Evaluation Data</w:t>
            </w:r>
          </w:p>
        </w:tc>
        <w:tc>
          <w:tcPr/>
          <w:p>
            <w:pPr>
              <w:pStyle w:val="Compact"/>
              <w:jc w:val="left"/>
            </w:pPr>
            <w:r>
              <w:t xml:space="preserve">OPSD Germany 2020</w:t>
            </w:r>
          </w:p>
        </w:tc>
      </w:tr>
      <w:tr>
        <w:tc>
          <w:tcPr/>
          <w:p>
            <w:pPr>
              <w:pStyle w:val="Compact"/>
              <w:jc w:val="left"/>
            </w:pPr>
            <w:r>
              <w:rPr>
                <w:b/>
                <w:bCs/>
              </w:rPr>
              <w:t xml:space="preserve">Metrics</w:t>
            </w:r>
          </w:p>
        </w:tc>
        <w:tc>
          <w:tcPr/>
          <w:p>
            <w:pPr>
              <w:pStyle w:val="Compact"/>
              <w:jc w:val="left"/>
            </w:pPr>
            <w:r>
              <w:t xml:space="preserve">RMSE, MAE, MAPE, R</w:t>
            </w:r>
            <m:oMath>
              <m:sSup>
                <m:e>
                  <m:r>
                    <m:t>​</m:t>
                  </m:r>
                </m:e>
                <m:sup>
                  <m:r>
                    <m:t>2</m:t>
                  </m:r>
                </m:sup>
              </m:sSup>
            </m:oMath>
          </w:p>
        </w:tc>
      </w:tr>
      <w:tr>
        <w:tc>
          <w:tcPr/>
          <w:p>
            <w:pPr>
              <w:pStyle w:val="Compact"/>
              <w:jc w:val="left"/>
            </w:pPr>
            <w:r>
              <w:rPr>
                <w:b/>
                <w:bCs/>
              </w:rPr>
              <w:t xml:space="preserve">Performance</w:t>
            </w:r>
          </w:p>
        </w:tc>
        <w:tc>
          <w:tcPr/>
          <w:p>
            <w:pPr>
              <w:pStyle w:val="Compact"/>
              <w:jc w:val="left"/>
            </w:pPr>
            <w:r>
              <w:t xml:space="preserve">Load: 271 MW RMSE (0.47% MAPE)</w:t>
            </w:r>
          </w:p>
        </w:tc>
      </w:tr>
      <w:tr>
        <w:tc>
          <w:tcPr/>
          <w:p>
            <w:pPr>
              <w:pStyle w:val="Compact"/>
              <w:jc w:val="left"/>
            </w:pPr>
            <w:r>
              <w:rPr>
                <w:b/>
                <w:bCs/>
              </w:rPr>
              <w:t xml:space="preserve">Limitations</w:t>
            </w:r>
          </w:p>
        </w:tc>
        <w:tc>
          <w:tcPr/>
          <w:p>
            <w:pPr>
              <w:pStyle w:val="Compact"/>
              <w:jc w:val="left"/>
            </w:pPr>
            <w:r>
              <w:t xml:space="preserve">See Section 8</w:t>
            </w:r>
          </w:p>
        </w:tc>
      </w:tr>
      <w:tr>
        <w:tc>
          <w:tcPr/>
          <w:p>
            <w:pPr>
              <w:pStyle w:val="Compact"/>
              <w:jc w:val="left"/>
            </w:pPr>
            <w:r>
              <w:rPr>
                <w:b/>
                <w:bCs/>
              </w:rPr>
              <w:t xml:space="preserve">Fairness Considerations</w:t>
            </w:r>
          </w:p>
        </w:tc>
        <w:tc>
          <w:tcPr/>
          <w:p>
            <w:pPr>
              <w:pStyle w:val="Compact"/>
              <w:jc w:val="left"/>
            </w:pPr>
            <w:r>
              <w:t xml:space="preserve">See Section 9.2</w:t>
            </w:r>
          </w:p>
        </w:tc>
      </w:tr>
      <w:tr>
        <w:tc>
          <w:tcPr/>
          <w:p>
            <w:pPr>
              <w:pStyle w:val="Compact"/>
              <w:jc w:val="left"/>
            </w:pPr>
            <w:r>
              <w:rPr>
                <w:b/>
                <w:bCs/>
              </w:rPr>
              <w:t xml:space="preserve">Carbon Footprint</w:t>
            </w:r>
          </w:p>
        </w:tc>
        <w:tc>
          <w:tcPr/>
          <w:p>
            <w:pPr>
              <w:pStyle w:val="Compact"/>
              <w:jc w:val="left"/>
            </w:pPr>
            <w:r>
              <w:t xml:space="preserve">15 kg CO</w:t>
            </w:r>
            <m:oMath>
              <m:sSub>
                <m:e>
                  <m:r>
                    <m:t>​</m:t>
                  </m:r>
                </m:e>
                <m:sub>
                  <m:r>
                    <m:t>2</m:t>
                  </m:r>
                </m:sub>
              </m:sSub>
            </m:oMath>
            <w:r>
              <w:t xml:space="preserve"> </w:t>
            </w:r>
            <w:r>
              <w:t xml:space="preserve">training</w:t>
            </w:r>
          </w:p>
        </w:tc>
      </w:tr>
    </w:tbl>
    <w:bookmarkEnd w:id="167"/>
    <w:bookmarkEnd w:id="168"/>
    <w:bookmarkEnd w:id="1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6" Target="https://github.com/pratik-n/gridpulse" TargetMode="External" /><Relationship Type="http://schemas.openxmlformats.org/officeDocument/2006/relationships/hyperlink" Id="rId18" Target="https://open-power-system-data.org/" TargetMode="External" /><Relationship Type="http://schemas.openxmlformats.org/officeDocument/2006/relationships/hyperlink" Id="rId19" Target="https://www.eia.gov/electricity/gridmonitor/" TargetMode="External" /><Relationship Type="http://schemas.openxmlformats.org/officeDocument/2006/relationships/hyperlink" Id="rId89" Target="https://www.epa.gov/egrid" TargetMode="External" /></Relationships>
</file>

<file path=word/_rels/footnotes.xml.rels><?xml version="1.0" encoding="UTF-8"?><Relationships xmlns="http://schemas.openxmlformats.org/package/2006/relationships"><Relationship Type="http://schemas.openxmlformats.org/officeDocument/2006/relationships/hyperlink" Id="rId96" Target="https://github.com/pratik-n/gridpulse" TargetMode="External" /><Relationship Type="http://schemas.openxmlformats.org/officeDocument/2006/relationships/hyperlink" Id="rId18" Target="https://open-power-system-data.org/" TargetMode="External" /><Relationship Type="http://schemas.openxmlformats.org/officeDocument/2006/relationships/hyperlink" Id="rId19" Target="https://www.eia.gov/electricity/gridmonitor/" TargetMode="External" /><Relationship Type="http://schemas.openxmlformats.org/officeDocument/2006/relationships/hyperlink" Id="rId89" Target="https://www.epa.gov/egri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GridPulse: An Integrated Machine Learning System for Renewable Energy Forecasting and Carbon-Aware Battery Dispatch Optimization</dc:title>
  <dc:creator>Pratik Niroula MNSU CIT (Major), Math (Minor) pratik.niroula@mnsu.edu</dc:creator>
  <cp:keywords/>
  <dcterms:created xsi:type="dcterms:W3CDTF">2026-02-10T00:21:54Z</dcterms:created>
  <dcterms:modified xsi:type="dcterms:W3CDTF">2026-02-10T00:21:54Z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present GridPulse, an end-to-end machine learning system for renewable energy forecasting and carbon-aware battery dispatch optimization. The system integrates gradient boosting (GBM), Long Short-Term Memory (LSTM), and Temporal Convolutional Network (TCN) models for multi-horizon forecasting of load, wind, and solar generation. We incorporate split conformal prediction for distribution-free uncertainty quantification and develop a mixed-integer linear programming (MILP) optimization engine for battery dispatch that jointly minimizes operating costs and carbon emissions subject to physical constraints.Evaluated on real-world data from Germany (OPSD, 17,377 hourly observations, 2015–2017) and the United States (EIA-930 MISO, 92,382 observations, 2019–2024), our GBM-based forecaster achieves RMSE of 271 MW for load and 127 MW for wind generation, representing 95.5% and 98.4% improvements over persistence baselines respectively. Conformal prediction intervals achieve 92.4% coverage at the 90% nominal level for load forecasting. The forecast-driven optimization system demonstrates 2.89% cost reduction ($4.47M over 7 days) and 0.58% carbon reduction (8.5M kg CO_2) compared to grid-only baseline operation, while maintaining 0% dispatch infeasibility under 30% forecast perturbations. Diebold-Mariano tests confirm statistically significant improvements (p &lt; 0.001) of GBM over deep learning alternatives. The production-ready system includes drift monitoring, automated retraining triggers, and sub-15ms API inference latency.</vt:lpwstr>
  </property>
  <property fmtid="{D5CDD505-2E9C-101B-9397-08002B2CF9AE}" pid="3" name="date">
    <vt:lpwstr>February 1, 2026</vt:lpwstr>
  </property>
</Properties>
</file>