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 w:val="0"/>
        </w:rPr>
        <w:t>EXECUTED RESEARCH • FINDINGS &amp; NEXT STEPS</w:t>
      </w:r>
    </w:p>
    <w:p>
      <w:pPr>
        <w:pStyle w:val="Title"/>
      </w:pPr>
      <w:r>
        <w:t>Hidden Slow Learners</w:t>
      </w:r>
    </w:p>
    <w:p>
      <w:r>
        <w:rPr>
          <w:b/>
        </w:rPr>
        <w:t>The full-horizon test changes the conclusion</w:t>
      </w:r>
    </w:p>
    <w:p>
      <w:r>
        <w:rPr>
          <w:b w:val="0"/>
        </w:rPr>
        <w:t>The strongest supported result is a measurement requirement in a restricted model—not superiority of the original diagnostic. Conventional positive-mixture bounds use the full observed response more effectively than the earlier summary formula on this benchmark.</w:t>
      </w:r>
    </w:p>
    <w:p>
      <w:pPr>
        <w:pStyle w:val="Heading2"/>
      </w:pPr>
      <w:r>
        <w:t>Primary comparison: all 256 observed response coefficients</w:t>
      </w:r>
    </w:p>
    <w:p>
      <w:r>
        <w:rPr>
          <w:b w:val="0"/>
        </w:rPr>
        <w:t>Each noise condition contains 10,800 independently generated measurement-noise vectors. All methods receive the same data, known noise level and valid learning-rate floor. No method receives hidden rates, weights, component count or truth.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240"/>
        <w:gridCol w:w="3240"/>
      </w:tblGrid>
      <w:tr>
        <w:trPr>
          <w:tblHeader/>
          <w:cantSplit/>
        </w:trPr>
        <w:tc>
          <w:tcPr>
            <w:tcW w:type="dxa" w:w="3600"/>
            <w:shd w:fill="E8EFF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240"/>
            <w:shd w:fill="E8EFF5"/>
          </w:tcPr>
          <w:p>
            <w:r>
              <w:rPr>
                <w:b/>
                <w:sz w:val="20"/>
              </w:rPr>
              <w:t>Lower noise: decided / wrong</w:t>
            </w:r>
          </w:p>
        </w:tc>
        <w:tc>
          <w:tcPr>
            <w:tcW w:type="dxa" w:w="3240"/>
            <w:shd w:fill="E8EFF5"/>
          </w:tcPr>
          <w:p>
            <w:r>
              <w:rPr>
                <w:b/>
                <w:sz w:val="20"/>
              </w:rPr>
              <w:t>Higher noise: decided / wrong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100" w:before="100"/>
            </w:pPr>
            <w:r>
              <w:rPr>
                <w:sz w:val="20"/>
              </w:rPr>
              <w:t>Original summary bound</w:t>
            </w:r>
          </w:p>
        </w:tc>
        <w:tc>
          <w:tcPr>
            <w:tcW w:type="dxa" w:w="3240"/>
          </w:tcPr>
          <w:p>
            <w:pPr>
              <w:spacing w:after="100" w:before="100"/>
            </w:pPr>
            <w:r>
              <w:rPr>
                <w:sz w:val="20"/>
              </w:rPr>
              <w:t>8,930 (82.69%) / 0</w:t>
            </w:r>
          </w:p>
        </w:tc>
        <w:tc>
          <w:tcPr>
            <w:tcW w:type="dxa" w:w="3240"/>
          </w:tcPr>
          <w:p>
            <w:pPr>
              <w:spacing w:after="100" w:before="100"/>
            </w:pPr>
            <w:r>
              <w:rPr>
                <w:sz w:val="20"/>
              </w:rPr>
              <w:t>7,150 (66.20%) / 0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100" w:before="100"/>
            </w:pPr>
            <w:r>
              <w:rPr>
                <w:sz w:val="20"/>
              </w:rPr>
              <w:t>Full-horizon positive NNLS fit</w:t>
            </w:r>
          </w:p>
        </w:tc>
        <w:tc>
          <w:tcPr>
            <w:tcW w:type="dxa" w:w="3240"/>
          </w:tcPr>
          <w:p>
            <w:pPr>
              <w:spacing w:after="100" w:before="100"/>
            </w:pPr>
            <w:r>
              <w:rPr>
                <w:sz w:val="20"/>
              </w:rPr>
              <w:t>10,800 (100%) / 24</w:t>
            </w:r>
          </w:p>
        </w:tc>
        <w:tc>
          <w:tcPr>
            <w:tcW w:type="dxa" w:w="3240"/>
          </w:tcPr>
          <w:p>
            <w:pPr>
              <w:spacing w:after="100" w:before="100"/>
            </w:pPr>
            <w:r>
              <w:rPr>
                <w:sz w:val="20"/>
              </w:rPr>
              <w:t>10,800 (100%) / 306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100" w:before="100"/>
            </w:pPr>
            <w:r>
              <w:rPr>
                <w:sz w:val="20"/>
              </w:rPr>
              <w:t>Full-moment positive LP bounds</w:t>
            </w:r>
          </w:p>
        </w:tc>
        <w:tc>
          <w:tcPr>
            <w:tcW w:type="dxa" w:w="3240"/>
          </w:tcPr>
          <w:p>
            <w:pPr>
              <w:spacing w:after="100" w:before="100"/>
            </w:pPr>
            <w:r>
              <w:rPr>
                <w:sz w:val="20"/>
              </w:rPr>
              <w:t>9,508 (88.04%) / 0</w:t>
            </w:r>
          </w:p>
        </w:tc>
        <w:tc>
          <w:tcPr>
            <w:tcW w:type="dxa" w:w="3240"/>
          </w:tcPr>
          <w:p>
            <w:pPr>
              <w:spacing w:after="100" w:before="100"/>
            </w:pPr>
            <w:r>
              <w:rPr>
                <w:sz w:val="20"/>
              </w:rPr>
              <w:t>8,278 (76.65%) / 4</w:t>
            </w:r>
          </w:p>
        </w:tc>
      </w:tr>
    </w:tbl>
    <w:p>
      <w:pPr>
        <w:pStyle w:val="Caption"/>
      </w:pPr>
      <w:r>
        <w:rPr>
          <w:b w:val="0"/>
        </w:rPr>
        <w:t>“Decided” means a stable or unstable label. Conflicts and inconclusive outcomes remain in the denominator. The NNLS fit is a point estimate, not a confidence certificate.</w:t>
      </w:r>
    </w:p>
    <w:p>
      <w:pPr>
        <w:pStyle w:val="Heading2"/>
      </w:pPr>
      <w:r>
        <w:t>What changed scientifically</w:t>
      </w:r>
    </w:p>
    <w:p>
      <w:r>
        <w:rPr>
          <w:b w:val="0"/>
        </w:rPr>
        <w:t>The conventional bounds produce 578 more decisions at lower noise and 1,128 more at higher noise: gains of 5.35 and 10.44 percentage points. They are not better on every dataset; some earlier decisions become conflicts. At higher noise, four confident labels are wrong versus zero for the original bound.</w:t>
      </w:r>
    </w:p>
    <w:p>
      <w:r>
        <w:rPr>
          <w:b/>
        </w:rPr>
        <w:t>The new research direction is: What measurements and precision are necessary to justify a stability decision when slow adaptive feedback may be hidden?</w:t>
      </w:r>
    </w:p>
    <w:p>
      <w:pPr>
        <w:pStyle w:val="Caption"/>
      </w:pPr>
      <w:r>
        <w:rPr>
          <w:b w:val="0"/>
        </w:rPr>
        <w:t>Evidence status: synthetic controlled measurements and model-specific proofs. No real-market validation, trained AI agents, outside proof approval, or independent external reproduction is claimed.</w:t>
      </w:r>
    </w:p>
    <w:p>
      <w:r>
        <w:br w:type="page"/>
      </w:r>
    </w:p>
    <w:p>
      <w:pPr>
        <w:pStyle w:val="Heading1"/>
      </w:pPr>
      <w:r>
        <w:t>1. What the result means</w:t>
      </w:r>
    </w:p>
    <w:p>
      <w:pPr>
        <w:pStyle w:val="Heading2"/>
      </w:pPr>
      <w:r>
        <w:t>A plausible fitted model is not proof of safety</w:t>
      </w:r>
    </w:p>
    <w:p>
      <w:r>
        <w:rPr>
          <w:b w:val="0"/>
        </w:rPr>
        <w:t>A positive fit can match observed responses closely while leaving other compatible positive models on the opposite side of the stability boundary. A confidence-set method instead asks whether every compatible model is stable, every one is unstable, or the evidence cannot decide. This distinction is established in data-informativity research; it is not new to this project [1].</w:t>
      </w:r>
    </w:p>
    <w:p>
      <w:pPr>
        <w:pStyle w:val="Heading2"/>
      </w:pPr>
      <w:r>
        <w:t>The hidden slow-feedback example</w:t>
      </w:r>
    </w:p>
    <w:p>
      <w:r>
        <w:rPr>
          <w:b w:val="0"/>
        </w:rPr>
        <w:t>The new example uses two adaptive memory states in each model. Both share the same learning rates. The first has total normalized feedback 0.9 and is stable; the other has feedback 1.1 and is unstable. Their separation from the boundary remains fixed. Only the slow response rate becomes very small.</w:t>
      </w:r>
    </w:p>
    <w:p>
      <w:r>
        <w:rPr>
          <w:b w:val="0"/>
        </w:rPr>
        <w:t>For a slow rate of 0.00001, 256 observed taps and the declared higher-noise measurement precision, even an oracle told both complete candidate models has a best possible forced-classification error of 49.64%. A generic estimator with less information cannot do better on this pair.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4824"/>
      </w:tblGrid>
      <w:tr>
        <w:trPr>
          <w:tblHeader/>
          <w:cantSplit/>
        </w:trPr>
        <w:tc>
          <w:tcPr>
            <w:tcW w:type="dxa" w:w="5256"/>
            <w:shd w:fill="E8EFF5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4824"/>
            <w:shd w:fill="E8EFF5"/>
          </w:tcPr>
          <w:p>
            <w:r>
              <w:rPr>
                <w:b/>
                <w:sz w:val="20"/>
              </w:rPr>
              <w:t>Constructed example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spacing w:after="100" w:before="100"/>
            </w:pPr>
            <w:r>
              <w:rPr>
                <w:sz w:val="20"/>
              </w:rPr>
              <w:t>Stable / unstable normalized feedback</w:t>
            </w:r>
          </w:p>
        </w:tc>
        <w:tc>
          <w:tcPr>
            <w:tcW w:type="dxa" w:w="4824"/>
          </w:tcPr>
          <w:p>
            <w:pPr>
              <w:spacing w:after="100" w:before="100"/>
            </w:pPr>
            <w:r>
              <w:rPr>
                <w:sz w:val="20"/>
              </w:rPr>
              <w:t>0.9 / 1.1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spacing w:after="100" w:before="100"/>
            </w:pPr>
            <w:r>
              <w:rPr>
                <w:sz w:val="20"/>
              </w:rPr>
              <w:t>Number of hidden adaptive states</w:t>
            </w:r>
          </w:p>
        </w:tc>
        <w:tc>
          <w:tcPr>
            <w:tcW w:type="dxa" w:w="4824"/>
          </w:tcPr>
          <w:p>
            <w:pPr>
              <w:spacing w:after="100" w:before="100"/>
            </w:pPr>
            <w:r>
              <w:rPr>
                <w:sz w:val="20"/>
              </w:rPr>
              <w:t>2 in each model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spacing w:after="100" w:before="100"/>
            </w:pPr>
            <w:r>
              <w:rPr>
                <w:sz w:val="20"/>
              </w:rPr>
              <w:t>Best forced error with 256 taps</w:t>
            </w:r>
          </w:p>
        </w:tc>
        <w:tc>
          <w:tcPr>
            <w:tcW w:type="dxa" w:w="4824"/>
          </w:tcPr>
          <w:p>
            <w:pPr>
              <w:spacing w:after="100" w:before="100"/>
            </w:pPr>
            <w:r>
              <w:rPr>
                <w:sz w:val="20"/>
              </w:rPr>
              <w:t>49.64%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spacing w:after="100" w:before="100"/>
            </w:pPr>
            <w:r>
              <w:rPr>
                <w:sz w:val="20"/>
              </w:rPr>
              <w:t>Maximum decision coverage if unconditional error is ≤5%</w:t>
            </w:r>
          </w:p>
        </w:tc>
        <w:tc>
          <w:tcPr>
            <w:tcW w:type="dxa" w:w="4824"/>
          </w:tcPr>
          <w:p>
            <w:pPr>
              <w:spacing w:after="100" w:before="100"/>
            </w:pPr>
            <w:r>
              <w:rPr>
                <w:sz w:val="20"/>
              </w:rPr>
              <w:t>10.72%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spacing w:after="100" w:before="100"/>
            </w:pPr>
            <w:r>
              <w:rPr>
                <w:sz w:val="20"/>
              </w:rPr>
              <w:t>Oracle error with infinitely many equally noisy taps</w:t>
            </w:r>
          </w:p>
        </w:tc>
        <w:tc>
          <w:tcPr>
            <w:tcW w:type="dxa" w:w="4824"/>
          </w:tcPr>
          <w:p>
            <w:pPr>
              <w:spacing w:after="100" w:before="100"/>
            </w:pPr>
            <w:r>
              <w:rPr>
                <w:sz w:val="20"/>
              </w:rPr>
              <w:t>44.97%</w:t>
            </w:r>
          </w:p>
        </w:tc>
      </w:tr>
    </w:tbl>
    <w:p>
      <w:pPr>
        <w:pStyle w:val="Caption"/>
      </w:pPr>
      <w:r>
        <w:rPr>
          <w:b w:val="0"/>
        </w:rPr>
        <w:t>The coverage ceiling is a necessary bound, not a promise that a procedure attains it. These are mathematical examples—not measured financial-crisis probabilities.</w:t>
      </w:r>
    </w:p>
    <w:p>
      <w:pPr>
        <w:pStyle w:val="Heading2"/>
      </w:pPr>
      <w:r>
        <w:t>The practical implication</w:t>
      </w:r>
    </w:p>
    <w:p>
      <w:r>
        <w:rPr>
          <w:b w:val="0"/>
        </w:rPr>
        <w:t>More observations do not automatically solve every slow-memory problem. Measurement precision, excitation and validated restrictions on the unseen response matter. A rate floor is one useful assumption, not the only possible remedy and not sufficient at every noise level. The experiment assumes direct kernel measurements; ordinary price data do not automatically provide them.</w:t>
      </w:r>
    </w:p>
    <w:p>
      <w:r>
        <w:br w:type="page"/>
      </w:r>
    </w:p>
    <w:p>
      <w:pPr>
        <w:pStyle w:val="Heading1"/>
      </w:pPr>
      <w:r>
        <w:t>2. What was executed and verified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6696"/>
      </w:tblGrid>
      <w:tr>
        <w:trPr>
          <w:tblHeader/>
          <w:cantSplit/>
        </w:trPr>
        <w:tc>
          <w:tcPr>
            <w:tcW w:type="dxa" w:w="3384"/>
            <w:shd w:fill="E8EFF5"/>
          </w:tcPr>
          <w:p>
            <w:r>
              <w:rPr>
                <w:b/>
                <w:sz w:val="20"/>
              </w:rPr>
              <w:t>Work completed</w:t>
            </w:r>
          </w:p>
        </w:tc>
        <w:tc>
          <w:tcPr>
            <w:tcW w:type="dxa" w:w="6696"/>
            <w:shd w:fill="E8EFF5"/>
          </w:tcPr>
          <w:p>
            <w:r>
              <w:rPr>
                <w:b/>
                <w:sz w:val="20"/>
              </w:rPr>
              <w:t>Evidence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after="100" w:before="100"/>
            </w:pPr>
            <w:r>
              <w:rPr>
                <w:sz w:val="20"/>
              </w:rPr>
              <w:t>Full measurement reconstruction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sz w:val="20"/>
              </w:rPr>
              <w:t>21,600 vectors × 256 taps = 5,529,600 responses. Every prior saved input matched exactly.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after="100" w:before="100"/>
            </w:pPr>
            <w:r>
              <w:rPr>
                <w:sz w:val="20"/>
              </w:rPr>
              <w:t>Equal-information primary comparison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sz w:val="20"/>
              </w:rPr>
              <w:t>86,400 paired rows across four horizons; the full 256-tap result is the primary endpoint.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after="100" w:before="100"/>
            </w:pPr>
            <w:r>
              <w:rPr>
                <w:sz w:val="20"/>
              </w:rPr>
              <w:t>Predetermined resolution checks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sz w:val="20"/>
              </w:rPr>
              <w:t>5,400 additional estimator runs on 1,080 selected vectors. No new independent data are implied.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after="100" w:before="100"/>
            </w:pPr>
            <w:r>
              <w:rPr>
                <w:sz w:val="20"/>
              </w:rPr>
              <w:t>Exact proof examples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sz w:val="20"/>
              </w:rPr>
              <w:t>112 rational pairs plus one readable witness rechecked with Fraction arithmetic.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after="100" w:before="100"/>
            </w:pPr>
            <w:r>
              <w:rPr>
                <w:sz w:val="20"/>
              </w:rPr>
              <w:t>Alternate numerical route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sz w:val="20"/>
              </w:rPr>
              <w:t>216 cases checked with separately constructed constraints and HiGHS interior point. Maximum bound difference: 5.62 × 10⁻⁹.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after="100" w:before="100"/>
            </w:pPr>
            <w:r>
              <w:rPr>
                <w:sz w:val="20"/>
              </w:rPr>
              <w:t>Confidence-event audit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sz w:val="20"/>
              </w:rPr>
              <w:t>82,364 on-event rows; every LP interval contains the true feedback gain.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after="100" w:before="100"/>
            </w:pPr>
            <w:r>
              <w:rPr>
                <w:sz w:val="20"/>
              </w:rPr>
              <w:t>Fixed-order testing calculation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sz w:val="20"/>
              </w:rPr>
              <w:t>60 parameter settings; 12,000,000 projected likelihood-ratio draws, not market simulations.</w:t>
            </w:r>
          </w:p>
        </w:tc>
      </w:tr>
      <w:tr>
        <w:trPr>
          <w:cantSplit/>
        </w:trPr>
        <w:tc>
          <w:tcPr>
            <w:tcW w:type="dxa" w:w="3384"/>
          </w:tcPr>
          <w:p>
            <w:pPr>
              <w:spacing w:after="100" w:before="100"/>
            </w:pPr>
            <w:r>
              <w:rPr>
                <w:sz w:val="20"/>
              </w:rPr>
              <w:t>Complete clean-directory rerun</w:t>
            </w:r>
          </w:p>
        </w:tc>
        <w:tc>
          <w:tcPr>
            <w:tcW w:type="dxa" w:w="6696"/>
          </w:tcPr>
          <w:p>
            <w:pPr>
              <w:spacing w:after="100" w:before="100"/>
            </w:pPr>
            <w:r>
              <w:rPr>
                <w:sz w:val="20"/>
              </w:rPr>
              <w:t>All 86,400 rows reproduced. All 33 non-timing fields match; numeric differences are zero in this environment.</w:t>
            </w:r>
          </w:p>
        </w:tc>
      </w:tr>
    </w:tbl>
    <w:p>
      <w:pPr>
        <w:pStyle w:val="Heading2"/>
      </w:pPr>
      <w:r>
        <w:t>The four wrong confident labels were investigated</w:t>
      </w:r>
    </w:p>
    <w:p>
      <w:r>
        <w:rPr>
          <w:b w:val="0"/>
        </w:rPr>
        <w:t>All four occurred at higher noise and H = 256. Two falsely called unstable models stable; two did the reverse. In every case, the simultaneous confidence event failed: the declared uncertainty intervals missed at least one true response feature. None was an on-event violation of the mathematical inclusion argument.</w:t>
      </w:r>
    </w:p>
    <w:p>
      <w:r>
        <w:rPr>
          <w:b w:val="0"/>
        </w:rPr>
        <w:t>The simultaneous event held for 95.33% of the 21,600 vectors, compared with its nominal lower bound of 95%. This is a finite-family, unconditional probability statement under the assumed Gaussian model—not a promise of zero errors or an error rate conditional on deciding.</w:t>
      </w:r>
    </w:p>
    <w:p>
      <w:r>
        <w:rPr>
          <w:b/>
        </w:rPr>
        <w:t>The separate verifiers and clean rerun were all executed in the same environment. They establish internal repeatability, not external independent replication.</w:t>
      </w:r>
    </w:p>
    <w:p>
      <w:r>
        <w:br w:type="page"/>
      </w:r>
    </w:p>
    <w:p>
      <w:pPr>
        <w:pStyle w:val="Heading1"/>
      </w:pPr>
      <w:r>
        <w:t>3. Novelty and proof review</w:t>
      </w:r>
    </w:p>
    <w:p>
      <w:pPr>
        <w:pStyle w:val="Heading2"/>
      </w:pPr>
      <w:r>
        <w:t>The strongest existing work narrows the claim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6192"/>
      </w:tblGrid>
      <w:tr>
        <w:trPr>
          <w:tblHeader/>
          <w:cantSplit/>
        </w:trPr>
        <w:tc>
          <w:tcPr>
            <w:tcW w:type="dxa" w:w="3888"/>
            <w:shd w:fill="E8EFF5"/>
          </w:tcPr>
          <w:p>
            <w:r>
              <w:rPr>
                <w:b/>
                <w:sz w:val="20"/>
              </w:rPr>
              <w:t>Existing research</w:t>
            </w:r>
          </w:p>
        </w:tc>
        <w:tc>
          <w:tcPr>
            <w:tcW w:type="dxa" w:w="6192"/>
            <w:shd w:fill="E8EFF5"/>
          </w:tcPr>
          <w:p>
            <w:r>
              <w:rPr>
                <w:b/>
                <w:sz w:val="20"/>
              </w:rPr>
              <w:t>Consequence for this paper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20"/>
              </w:rPr>
              <w:t>Data informativity [1]</w:t>
            </w:r>
          </w:p>
        </w:tc>
        <w:tc>
          <w:tcPr>
            <w:tcW w:type="dxa" w:w="6192"/>
          </w:tcPr>
          <w:p>
            <w:pPr>
              <w:spacing w:after="100" w:before="100"/>
            </w:pPr>
            <w:r>
              <w:rPr>
                <w:sz w:val="20"/>
              </w:rPr>
              <w:t>The distinction between one fitted system and a property shared by all compatible systems already exists.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20"/>
              </w:rPr>
              <w:t>Positive identification [2]</w:t>
            </w:r>
          </w:p>
        </w:tc>
        <w:tc>
          <w:tcPr>
            <w:tcW w:type="dxa" w:w="6192"/>
          </w:tcPr>
          <w:p>
            <w:pPr>
              <w:spacing w:after="100" w:before="100"/>
            </w:pPr>
            <w:r>
              <w:rPr>
                <w:sz w:val="20"/>
              </w:rPr>
              <w:t>Nonnegative/internal-positive identification is established. Our NNLS and LP are not the first positive estimators.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20"/>
              </w:rPr>
              <w:t>Gain side-information and long memory [3]</w:t>
            </w:r>
          </w:p>
        </w:tc>
        <w:tc>
          <w:tcPr>
            <w:tcW w:type="dxa" w:w="6192"/>
          </w:tcPr>
          <w:p>
            <w:pPr>
              <w:spacing w:after="100" w:before="100"/>
            </w:pPr>
            <w:r>
              <w:rPr>
                <w:sz w:val="20"/>
              </w:rPr>
              <w:t>The link between slow impulse responses, total gain and useful side information is already studied.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20"/>
              </w:rPr>
              <w:t>Convex moment bounds [4]</w:t>
            </w:r>
          </w:p>
        </w:tc>
        <w:tc>
          <w:tcPr>
            <w:tcW w:type="dxa" w:w="6192"/>
          </w:tcPr>
          <w:p>
            <w:pPr>
              <w:spacing w:after="100" w:before="100"/>
            </w:pPr>
            <w:r>
              <w:rPr>
                <w:sz w:val="20"/>
              </w:rPr>
              <w:t>Optimizing a quantity over positive measures subject to finite observations is a classical approach.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20"/>
              </w:rPr>
              <w:t>Two-point statistical testing [5]</w:t>
            </w:r>
          </w:p>
        </w:tc>
        <w:tc>
          <w:tcPr>
            <w:tcW w:type="dxa" w:w="6192"/>
          </w:tcPr>
          <w:p>
            <w:pPr>
              <w:spacing w:after="100" w:before="100"/>
            </w:pPr>
            <w:r>
              <w:rPr>
                <w:sz w:val="20"/>
              </w:rPr>
              <w:t>The Gaussian lower-bound technique is established. Our contribution is its explicit specialization and audit.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100" w:before="100"/>
            </w:pPr>
            <w:r>
              <w:rPr>
                <w:sz w:val="20"/>
              </w:rPr>
              <w:t>Adaptive-agent market models [6]</w:t>
            </w:r>
          </w:p>
        </w:tc>
        <w:tc>
          <w:tcPr>
            <w:tcW w:type="dxa" w:w="6192"/>
          </w:tcPr>
          <w:p>
            <w:pPr>
              <w:spacing w:after="100" w:before="100"/>
            </w:pPr>
            <w:r>
              <w:rPr>
                <w:sz w:val="20"/>
              </w:rPr>
              <w:t>Feedback between learning and market outcomes is not a newly discovered finance mechanism.</w:t>
            </w:r>
          </w:p>
        </w:tc>
      </w:tr>
    </w:tbl>
    <w:p>
      <w:pPr>
        <w:pStyle w:val="Heading2"/>
      </w:pPr>
      <w:r>
        <w:t>What may remain publishable</w:t>
      </w:r>
    </w:p>
    <w:p>
      <w:r>
        <w:rPr>
          <w:b w:val="0"/>
        </w:rPr>
        <w:t>A defensible paper could connect a precise observation budget to stability decisions in a financially meaningful setting, with a sharp theorem, an equally informed benchmark and a realistic measurement protocol. The current package supplies a restricted building block and evidence that prevents an overstated method claim.</w:t>
      </w:r>
    </w:p>
    <w:p>
      <w:pPr>
        <w:pStyle w:val="Heading2"/>
      </w:pPr>
      <w:r>
        <w:t>What is not established</w:t>
      </w:r>
    </w:p>
    <w:p>
      <w:r>
        <w:rPr>
          <w:b w:val="0"/>
        </w:rPr>
        <w:t>Global originality, a new finance law, a paradigm shift, optimality among all conventional estimators, a real-market crisis predictor, and independent outside replication are not established. The exact finite-window construction may be a useful specialization rather than a new theorem family.</w:t>
      </w:r>
    </w:p>
    <w:p>
      <w:r>
        <w:rPr>
          <w:b w:val="0"/>
        </w:rPr>
        <w:t>No outside professor, reviewer or cited author has reviewed or endorsed these results. The literature review was focused and used primary sources; it was not exhaustive. Both an expert proof review and a more systematic priority search remain necessary.</w:t>
      </w:r>
    </w:p>
    <w:p>
      <w:r>
        <w:br w:type="page"/>
      </w:r>
    </w:p>
    <w:p>
      <w:pPr>
        <w:pStyle w:val="Heading1"/>
      </w:pPr>
      <w:r>
        <w:t>4. The next defensible research steps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tblHeader/>
          <w:cantSplit/>
        </w:trPr>
        <w:tc>
          <w:tcPr>
            <w:tcW w:type="dxa" w:w="3024"/>
            <w:shd w:fill="E8EFF5"/>
          </w:tcPr>
          <w:p>
            <w:r>
              <w:rPr>
                <w:b/>
                <w:sz w:val="20"/>
              </w:rPr>
              <w:t>Research gate</w:t>
            </w:r>
          </w:p>
        </w:tc>
        <w:tc>
          <w:tcPr>
            <w:tcW w:type="dxa" w:w="7056"/>
            <w:shd w:fill="E8EFF5"/>
          </w:tcPr>
          <w:p>
            <w:r>
              <w:rPr>
                <w:b/>
                <w:sz w:val="20"/>
              </w:rPr>
              <w:t>Required output and decision criterion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20"/>
              </w:rPr>
              <w:t>1. Independent proof and priority review</w:t>
            </w:r>
          </w:p>
        </w:tc>
        <w:tc>
          <w:tcPr>
            <w:tcW w:type="dxa" w:w="7056"/>
          </w:tcPr>
          <w:p>
            <w:pPr>
              <w:spacing w:after="100" w:before="100"/>
            </w:pPr>
            <w:r>
              <w:rPr>
                <w:sz w:val="20"/>
              </w:rPr>
              <w:t>Send the explicit model, exact theorem statements and closest-source comparison to a control/system-identification researcher. Record counterexamples or equivalent prior theorems rather than renaming established results.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20"/>
              </w:rPr>
              <w:t>2. Realistic measurement protocol</w:t>
            </w:r>
          </w:p>
        </w:tc>
        <w:tc>
          <w:tcPr>
            <w:tcW w:type="dxa" w:w="7056"/>
          </w:tcPr>
          <w:p>
            <w:pPr>
              <w:spacing w:after="100" w:before="100"/>
            </w:pPr>
            <w:r>
              <w:rPr>
                <w:sz w:val="20"/>
              </w:rPr>
              <w:t>Specify how response coefficients are estimated without direct access to hidden states. Derive the resulting noise covariance, bias and uncertainty. Do not assume observed prices satisfy the current independent-noise contract.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20"/>
              </w:rPr>
              <w:t>3. Stronger conventional comparison</w:t>
            </w:r>
          </w:p>
        </w:tc>
        <w:tc>
          <w:tcPr>
            <w:tcW w:type="dxa" w:w="7056"/>
          </w:tcPr>
          <w:p>
            <w:pPr>
              <w:spacing w:after="100" w:before="100"/>
            </w:pPr>
            <w:r>
              <w:rPr>
                <w:sz w:val="20"/>
              </w:rPr>
              <w:t>Evaluate a continuous positive-moment or suitable constrained kernel estimator under the same information and uncertainty target. Keep model conflicts and solver failures in the denominator.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20"/>
              </w:rPr>
              <w:t>4. Deliberate model violations</w:t>
            </w:r>
          </w:p>
        </w:tc>
        <w:tc>
          <w:tcPr>
            <w:tcW w:type="dxa" w:w="7056"/>
          </w:tcPr>
          <w:p>
            <w:pPr>
              <w:spacing w:after="100" w:before="100"/>
            </w:pPr>
            <w:r>
              <w:rPr>
                <w:sz w:val="20"/>
              </w:rPr>
              <w:t>Test signed feedback, rate-floor error, correlated noise, drift, switching and nonlinearity. State when the confidence logic is invalid rather than reporting unjustified stable labels.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20"/>
              </w:rPr>
              <w:t>5. Economic meaning</w:t>
            </w:r>
          </w:p>
        </w:tc>
        <w:tc>
          <w:tcPr>
            <w:tcW w:type="dxa" w:w="7056"/>
          </w:tcPr>
          <w:p>
            <w:pPr>
              <w:spacing w:after="100" w:before="100"/>
            </w:pPr>
            <w:r>
              <w:rPr>
                <w:sz w:val="20"/>
              </w:rPr>
              <w:t>Add an economically grounded market mechanism, conventional liquidity/leverage explanations, and measurable costs of false-safe decisions and abstention. Show what the new observation requirement adds.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100" w:before="100"/>
            </w:pPr>
            <w:r>
              <w:rPr>
                <w:sz w:val="20"/>
              </w:rPr>
              <w:t>6. External reproduction</w:t>
            </w:r>
          </w:p>
        </w:tc>
        <w:tc>
          <w:tcPr>
            <w:tcW w:type="dxa" w:w="7056"/>
          </w:tcPr>
          <w:p>
            <w:pPr>
              <w:spacing w:after="100" w:before="100"/>
            </w:pPr>
            <w:r>
              <w:rPr>
                <w:sz w:val="20"/>
              </w:rPr>
              <w:t>Use a separately authored implementation, new seeds and models, and preferably another solver implementation. Preserve the full failure and sensitivity record.</w:t>
            </w:r>
          </w:p>
        </w:tc>
      </w:tr>
    </w:tbl>
    <w:p>
      <w:pPr>
        <w:pStyle w:val="Heading2"/>
      </w:pPr>
      <w:r>
        <w:t>Recommended paper positioning</w:t>
      </w:r>
    </w:p>
    <w:p>
      <w:r>
        <w:rPr>
          <w:b w:val="0"/>
        </w:rPr>
        <w:t>“When does a finite stress-test response justify a stability statement under hidden adaptive memory?” is supportable as a research target. “Our original indicator predicts global AI financial instability better than existing finance” is not supported by this release.</w:t>
      </w:r>
    </w:p>
    <w:p>
      <w:r>
        <w:rPr>
          <w:b/>
        </w:rPr>
        <w:t>Do not spend the next stage enlarging the title or the claimed scope. The most valuable advance is closing the observation gap: demonstrate an attainable measurement protocol and prove exactly what can be inferred from it.</w:t>
      </w:r>
    </w:p>
    <w:p>
      <w:r>
        <w:br w:type="page"/>
      </w:r>
    </w:p>
    <w:p>
      <w:pPr>
        <w:pStyle w:val="Heading1"/>
      </w:pPr>
      <w:r>
        <w:t>5. Files, reproduction and sources</w:t>
      </w:r>
    </w:p>
    <w:p>
      <w:pPr>
        <w:pStyle w:val="Heading2"/>
      </w:pPr>
      <w:r>
        <w:t>Where to start</w:t>
      </w:r>
    </w:p>
    <w:p>
      <w:r>
        <w:rPr>
          <w:b w:val="0"/>
        </w:rPr>
        <w:t>Read the 13-page paper in paper/Full_Horizon_Identification_Audit.pdf. Its self-contained .tex source is alongside it. The README explains installation and commands. The data dictionary and claim/proof audit are in docs/. All measurements, decisions, conflicts and erroneous labels are retained in data/ and results/.</w:t>
      </w:r>
    </w:p>
    <w:p>
      <w:pPr>
        <w:pStyle w:val="Heading2"/>
      </w:pPr>
      <w:r>
        <w:t>Core reproduction commands</w:t>
      </w:r>
    </w:p>
    <w:p>
      <w:pPr>
        <w:spacing w:after="80"/>
      </w:pPr>
      <w:r>
        <w:rPr>
          <w:rFonts w:ascii="Consolas" w:hAnsi="Consolas"/>
          <w:b w:val="0"/>
          <w:sz w:val="18"/>
        </w:rPr>
        <w:t>python -m pip install -r requirements.txt</w:t>
      </w:r>
    </w:p>
    <w:p>
      <w:pPr>
        <w:spacing w:after="80"/>
      </w:pPr>
      <w:r>
        <w:rPr>
          <w:rFonts w:ascii="Consolas" w:hAnsi="Consolas"/>
          <w:b w:val="0"/>
          <w:sz w:val="18"/>
        </w:rPr>
        <w:t>python -m pytest -q</w:t>
      </w:r>
    </w:p>
    <w:p>
      <w:pPr>
        <w:spacing w:after="80"/>
      </w:pPr>
      <w:r>
        <w:rPr>
          <w:rFonts w:ascii="Consolas" w:hAnsi="Consolas"/>
          <w:b w:val="0"/>
          <w:sz w:val="18"/>
        </w:rPr>
        <w:t>python scripts/verify_confidence_events.py</w:t>
      </w:r>
    </w:p>
    <w:p>
      <w:pPr>
        <w:spacing w:after="80"/>
      </w:pPr>
      <w:r>
        <w:rPr>
          <w:rFonts w:ascii="Consolas" w:hAnsi="Consolas"/>
          <w:b w:val="0"/>
          <w:sz w:val="18"/>
        </w:rPr>
        <w:t>python scripts/verify_exact.py --results data</w:t>
      </w:r>
    </w:p>
    <w:p>
      <w:pPr>
        <w:spacing w:after="80"/>
      </w:pPr>
      <w:r>
        <w:rPr>
          <w:rFonts w:ascii="Consolas" w:hAnsi="Consolas"/>
          <w:b w:val="0"/>
          <w:sz w:val="18"/>
        </w:rPr>
        <w:t>python scripts/reproduce_clean.py --output ../mmfh-new-run --datasets 21600</w:t>
      </w:r>
    </w:p>
    <w:p>
      <w:pPr>
        <w:pStyle w:val="Caption"/>
      </w:pPr>
      <w:r>
        <w:rPr>
          <w:b w:val="0"/>
        </w:rPr>
        <w:t>Use a new output directory for clean reproduction. It copies inputs and reruns the full comparison without overwriting the saved primary results. Runtimes and small floating-point differences can vary by platform.</w:t>
      </w:r>
    </w:p>
    <w:p>
      <w:pPr>
        <w:pStyle w:val="Heading2"/>
      </w:pPr>
      <w:r>
        <w:t>Closest primary sources</w:t>
      </w:r>
    </w:p>
    <w:p>
      <w:pPr>
        <w:spacing w:after="120"/>
      </w:pPr>
      <w:r>
        <w:rPr>
          <w:b w:val="0"/>
          <w:sz w:val="19"/>
        </w:rPr>
        <w:t>[1] van Waarde, Eising, Trentelman &amp; Camlibel (2020). Data informativity: a new perspective on data-driven analysis and control. arXiv:1908.00468.</w:t>
      </w:r>
    </w:p>
    <w:p>
      <w:pPr>
        <w:spacing w:after="120"/>
      </w:pPr>
      <w:r>
        <w:rPr>
          <w:b w:val="0"/>
          <w:sz w:val="19"/>
        </w:rPr>
        <w:t>[2] Khosravi &amp; Smith (2025). Regularized Identification with Internal Positivity Side-Information. SIAM J. Control Optim., 63(1), 26–56. DOI: 10.1137/23M1556095.</w:t>
      </w:r>
    </w:p>
    <w:p>
      <w:pPr>
        <w:spacing w:after="120"/>
      </w:pPr>
      <w:r>
        <w:rPr>
          <w:b w:val="0"/>
          <w:sz w:val="19"/>
        </w:rPr>
        <w:t>[3] Khosravi &amp; Smith (2022, reviewed preprint). Kernel-based Impulse Response Identification with Side-Information on Steady-State Gain. arXiv:2111.00409v2.</w:t>
      </w:r>
    </w:p>
    <w:p>
      <w:pPr>
        <w:spacing w:after="120"/>
      </w:pPr>
      <w:r>
        <w:rPr>
          <w:b w:val="0"/>
          <w:sz w:val="19"/>
        </w:rPr>
        <w:t>[4] Bertsimas &amp; Popescu (2005). Optimal Inequalities in Probability Theory: A Convex Optimization Approach. SIAM J. Optim., 15(3), 780–804.</w:t>
      </w:r>
    </w:p>
    <w:p>
      <w:pPr>
        <w:spacing w:after="120"/>
      </w:pPr>
      <w:r>
        <w:rPr>
          <w:b w:val="0"/>
          <w:sz w:val="19"/>
        </w:rPr>
        <w:t>[5] Polyanskiy &amp; Wu (2019). Dualizing Le Cam’s method for functional estimation, with applications to estimating the unseens. arXiv:1902.05616.</w:t>
      </w:r>
    </w:p>
    <w:p>
      <w:pPr>
        <w:spacing w:after="120"/>
      </w:pPr>
      <w:r>
        <w:rPr>
          <w:b w:val="0"/>
          <w:sz w:val="19"/>
        </w:rPr>
        <w:t>[6] Georges &amp; Pereira (2021). Market Stability with Machine Learning Agents. J. Economic Dynamics and Control, 122, 104032. Reviewed author preprint: April 2019.</w:t>
      </w:r>
    </w:p>
    <w:p>
      <w:pPr>
        <w:pStyle w:val="Caption"/>
      </w:pPr>
      <w:r>
        <w:rPr>
          <w:b w:val="0"/>
        </w:rPr>
        <w:t>AI-assisted research development. The original archive is preserved. Resolve authorship, attribution and submission disclosure requirements before using this draft as a manuscript.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18 September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8"/>
      </w:rPr>
      <w:t>MACHINE MARKETS  /  RESEARCH AUDIT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16324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Hidden Slow Learners: Full-Horizon Findings and Next Steps</dc:title>
  <dc:subject>Executed comparison, measurement limits, novelty boundary and reproduction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