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aption"/>
      </w:pPr>
      <w:r>
        <w:t>RESEARCH DEVELOPMENT  /  VERSION 0.1</w:t>
      </w:r>
    </w:p>
    <w:p>
      <w:pPr>
        <w:pStyle w:val="Title"/>
      </w:pPr>
      <w:r>
        <w:t>From Human Markets</w:t>
        <w:br/>
        <w:t>to Machine Markets</w:t>
      </w:r>
    </w:p>
    <w:p>
      <w:pPr>
        <w:pStyle w:val="Subtitle"/>
      </w:pPr>
      <w:r>
        <w:t>Remaining work, evidence standards, and the route toward a potentially field-changing contribution</w:t>
      </w:r>
    </w:p>
    <w:p>
      <w:pPr>
        <w:pStyle w:val="Caption"/>
      </w:pPr>
      <w:r>
        <w:t>Companion to Machine_Markets_Research_Paper.tex  |  18 September 2026</w:t>
      </w:r>
    </w:p>
    <w:p>
      <w:pPr>
        <w:pStyle w:val="Heading2"/>
      </w:pPr>
      <w:r>
        <w:t>The decision in one paragraph</w:t>
      </w:r>
    </w:p>
    <w:p>
      <w:r>
        <w:t>Keep the global question, but make the first paper solve one measurable problem: can a joint market–learning feedback estimate predict financially important amplification beyond conventional liquidity, leverage, volatility, and order-flow measures? The current manuscript provides a theoretical foundation and a prospective protocol. The next major task is not adding pages; it is establishing novelty, identifiability, and controlled evidence.</w:t>
      </w:r>
    </w:p>
    <w:p>
      <w:pPr>
        <w:pStyle w:val="Heading2"/>
      </w:pPr>
      <w:r>
        <w:t>What exists now, and what does not</w:t>
      </w:r>
    </w:p>
    <w:tbl>
      <w:tblPr>
        <w:tblW w:type="auto" w:w="0"/>
        <w:tblLayout w:type="fixed"/>
        <w:tblLook w:firstColumn="1" w:firstRow="1" w:lastColumn="0" w:lastRow="0" w:noHBand="0" w:noVBand="1" w:val="04A0"/>
        <w:tblLook w:firstRow="1" w:noVBand="1"/>
      </w:tblPr>
      <w:tblGrid>
        <w:gridCol w:w="2016"/>
        <w:gridCol w:w="7603"/>
      </w:tblGrid>
      <w:tr>
        <w:trPr>
          <w:tblHeader/>
        </w:trPr>
        <w:tc>
          <w:tcPr>
            <w:tcW w:type="dxa" w:w="2016"/>
            <w:shd w:fill="17324D"/>
            <w:tcMar>
              <w:top w:w="80" w:type="dxa"/>
              <w:left w:w="80" w:type="dxa"/>
              <w:bottom w:w="80" w:type="dxa"/>
              <w:right w:w="80" w:type="dxa"/>
            </w:tcMar>
          </w:tcPr>
          <w:p>
            <w:r>
              <w:rPr>
                <w:b/>
                <w:color w:val="FFFFFF"/>
                <w:sz w:val="19"/>
              </w:rPr>
              <w:t>Component</w:t>
            </w:r>
          </w:p>
        </w:tc>
        <w:tc>
          <w:tcPr>
            <w:tcW w:type="dxa" w:w="7603"/>
            <w:shd w:fill="17324D"/>
            <w:tcMar>
              <w:top w:w="80" w:type="dxa"/>
              <w:left w:w="80" w:type="dxa"/>
              <w:bottom w:w="80" w:type="dxa"/>
              <w:right w:w="80" w:type="dxa"/>
            </w:tcMar>
          </w:tcPr>
          <w:p>
            <w:r>
              <w:rPr>
                <w:b/>
                <w:color w:val="FFFFFF"/>
                <w:sz w:val="19"/>
              </w:rPr>
              <w:t>Current status</w:t>
            </w:r>
          </w:p>
        </w:tc>
      </w:tr>
      <w:tr>
        <w:trPr>
          <w:cantSplit/>
        </w:trPr>
        <w:tc>
          <w:tcPr>
            <w:tcW w:type="dxa" w:w="2016"/>
            <w:shd w:fill="F0F4F7"/>
            <w:tcMar>
              <w:top w:w="80" w:type="dxa"/>
              <w:left w:w="80" w:type="dxa"/>
              <w:bottom w:w="80" w:type="dxa"/>
              <w:right w:w="80" w:type="dxa"/>
            </w:tcMar>
          </w:tcPr>
          <w:p>
            <w:pPr>
              <w:spacing w:after="80" w:before="60" w:line="240" w:lineRule="auto"/>
            </w:pPr>
            <w:r>
              <w:rPr>
                <w:sz w:val="19"/>
              </w:rPr>
              <w:t>Paper structure</w:t>
            </w:r>
          </w:p>
        </w:tc>
        <w:tc>
          <w:tcPr>
            <w:tcW w:type="dxa" w:w="7603"/>
            <w:shd w:fill="F0F4F7"/>
            <w:tcMar>
              <w:top w:w="80" w:type="dxa"/>
              <w:left w:w="80" w:type="dxa"/>
              <w:bottom w:w="80" w:type="dxa"/>
              <w:right w:w="80" w:type="dxa"/>
            </w:tcMar>
          </w:tcPr>
          <w:p>
            <w:pPr>
              <w:spacing w:after="80" w:before="60" w:line="240" w:lineRule="auto"/>
            </w:pPr>
            <w:r>
              <w:rPr>
                <w:sz w:val="19"/>
              </w:rPr>
              <w:t>Written: title, abstract, introduction, related work, model, results, methods, limitations, conclusion, references, proofs, and reproduction code.</w:t>
            </w:r>
          </w:p>
        </w:tc>
      </w:tr>
      <w:tr>
        <w:trPr>
          <w:cantSplit/>
        </w:trPr>
        <w:tc>
          <w:tcPr>
            <w:tcW w:type="dxa" w:w="2016"/>
            <w:tcMar>
              <w:top w:w="80" w:type="dxa"/>
              <w:left w:w="80" w:type="dxa"/>
              <w:bottom w:w="80" w:type="dxa"/>
              <w:right w:w="80" w:type="dxa"/>
            </w:tcMar>
          </w:tcPr>
          <w:p>
            <w:pPr>
              <w:spacing w:after="80" w:before="60" w:line="240" w:lineRule="auto"/>
            </w:pPr>
            <w:r>
              <w:rPr>
                <w:sz w:val="19"/>
              </w:rPr>
              <w:t>Mathematical foundation</w:t>
            </w:r>
          </w:p>
        </w:tc>
        <w:tc>
          <w:tcPr>
            <w:tcW w:type="dxa" w:w="7603"/>
            <w:tcMar>
              <w:top w:w="80" w:type="dxa"/>
              <w:left w:w="80" w:type="dxa"/>
              <w:bottom w:w="80" w:type="dxa"/>
              <w:right w:w="80" w:type="dxa"/>
            </w:tcMar>
          </w:tcPr>
          <w:p>
            <w:pPr>
              <w:spacing w:after="80" w:before="60" w:line="240" w:lineRule="auto"/>
            </w:pPr>
            <w:r>
              <w:rPr>
                <w:sz w:val="19"/>
              </w:rPr>
              <w:t>Full augmented Jacobian; a positive-feedback boundary with proof; observational-equivalence result; common-norm robustness condition; explicit counterexamples. Independent expert review is still needed.</w:t>
            </w:r>
          </w:p>
        </w:tc>
      </w:tr>
      <w:tr>
        <w:trPr>
          <w:cantSplit/>
        </w:trPr>
        <w:tc>
          <w:tcPr>
            <w:tcW w:type="dxa" w:w="2016"/>
            <w:shd w:fill="F0F4F7"/>
            <w:tcMar>
              <w:top w:w="80" w:type="dxa"/>
              <w:left w:w="80" w:type="dxa"/>
              <w:bottom w:w="80" w:type="dxa"/>
              <w:right w:w="80" w:type="dxa"/>
            </w:tcMar>
          </w:tcPr>
          <w:p>
            <w:pPr>
              <w:spacing w:after="80" w:before="60" w:line="240" w:lineRule="auto"/>
            </w:pPr>
            <w:r>
              <w:rPr>
                <w:sz w:val="19"/>
              </w:rPr>
              <w:t>Executed computation</w:t>
            </w:r>
          </w:p>
        </w:tc>
        <w:tc>
          <w:tcPr>
            <w:tcW w:type="dxa" w:w="7603"/>
            <w:shd w:fill="F0F4F7"/>
            <w:tcMar>
              <w:top w:w="80" w:type="dxa"/>
              <w:left w:w="80" w:type="dxa"/>
              <w:bottom w:w="80" w:type="dxa"/>
              <w:right w:w="80" w:type="dxa"/>
            </w:tcMar>
          </w:tcPr>
          <w:p>
            <w:pPr>
              <w:spacing w:after="80" w:before="60" w:line="240" w:lineRule="auto"/>
            </w:pPr>
            <w:r>
              <w:rPr>
                <w:sz w:val="19"/>
              </w:rPr>
              <w:t>625 scalar parameter checks and 250 small-network checks, plus deterministic examples. These verify algebra; they are not trained-agent experiments.</w:t>
            </w:r>
          </w:p>
        </w:tc>
      </w:tr>
      <w:tr>
        <w:trPr>
          <w:cantSplit/>
        </w:trPr>
        <w:tc>
          <w:tcPr>
            <w:tcW w:type="dxa" w:w="2016"/>
            <w:tcMar>
              <w:top w:w="80" w:type="dxa"/>
              <w:left w:w="80" w:type="dxa"/>
              <w:bottom w:w="80" w:type="dxa"/>
              <w:right w:w="80" w:type="dxa"/>
            </w:tcMar>
          </w:tcPr>
          <w:p>
            <w:pPr>
              <w:spacing w:after="80" w:before="60" w:line="240" w:lineRule="auto"/>
            </w:pPr>
            <w:r>
              <w:rPr>
                <w:sz w:val="19"/>
              </w:rPr>
              <w:t>Market evidence</w:t>
            </w:r>
          </w:p>
        </w:tc>
        <w:tc>
          <w:tcPr>
            <w:tcW w:type="dxa" w:w="7603"/>
            <w:tcMar>
              <w:top w:w="80" w:type="dxa"/>
              <w:left w:w="80" w:type="dxa"/>
              <w:bottom w:w="80" w:type="dxa"/>
              <w:right w:w="80" w:type="dxa"/>
            </w:tcMar>
          </w:tcPr>
          <w:p>
            <w:pPr>
              <w:spacing w:after="80" w:before="60" w:line="240" w:lineRule="auto"/>
            </w:pPr>
            <w:r>
              <w:rPr>
                <w:sz w:val="19"/>
              </w:rPr>
              <w:t>Not yet produced: validated market simulator, agent training, confirmatory experiments, estimator recovery in realistic settings, institutional data, or prospective warnings.</w:t>
            </w:r>
          </w:p>
        </w:tc>
      </w:tr>
      <w:tr>
        <w:trPr>
          <w:cantSplit/>
        </w:trPr>
        <w:tc>
          <w:tcPr>
            <w:tcW w:type="dxa" w:w="2016"/>
            <w:shd w:fill="F0F4F7"/>
            <w:tcMar>
              <w:top w:w="80" w:type="dxa"/>
              <w:left w:w="80" w:type="dxa"/>
              <w:bottom w:w="80" w:type="dxa"/>
              <w:right w:w="80" w:type="dxa"/>
            </w:tcMar>
          </w:tcPr>
          <w:p>
            <w:pPr>
              <w:spacing w:after="80" w:before="60" w:line="240" w:lineRule="auto"/>
            </w:pPr>
            <w:r>
              <w:rPr>
                <w:sz w:val="19"/>
              </w:rPr>
              <w:t>Novelty and impact</w:t>
            </w:r>
          </w:p>
        </w:tc>
        <w:tc>
          <w:tcPr>
            <w:tcW w:type="dxa" w:w="7603"/>
            <w:shd w:fill="F0F4F7"/>
            <w:tcMar>
              <w:top w:w="80" w:type="dxa"/>
              <w:left w:w="80" w:type="dxa"/>
              <w:bottom w:w="80" w:type="dxa"/>
              <w:right w:w="80" w:type="dxa"/>
            </w:tcMar>
          </w:tcPr>
          <w:p>
            <w:pPr>
              <w:spacing w:after="80" w:before="60" w:line="240" w:lineRule="auto"/>
            </w:pPr>
            <w:r>
              <w:rPr>
                <w:sz w:val="19"/>
              </w:rPr>
              <w:t>Not established. The manuscript does not claim a new paradigm, an original general stability theorem, or demonstrated global crisis prevention.</w:t>
            </w:r>
          </w:p>
        </w:tc>
      </w:tr>
    </w:tbl>
    <w:p>
      <w:pPr>
        <w:spacing w:after="0"/>
      </w:pPr>
    </w:p>
    <w:p>
      <w:r>
        <w:rPr>
          <w:b/>
        </w:rPr>
        <w:t>Completion rule:</w:t>
      </w:r>
      <w:r>
        <w:t xml:space="preserve"> a finished document is not a finished research contribution. Every future result must be supported by a proof, an auditable experiment, or an appropriately identified empirical analysis.</w:t>
      </w:r>
    </w:p>
    <w:p>
      <w:pPr>
        <w:pStyle w:val="Heading2"/>
      </w:pPr>
      <w:r>
        <w:t>How to use this roadmap</w:t>
      </w:r>
    </w:p>
    <w:p>
      <w:r>
        <w:t>Work through the gates in order. Each gate specifies the missing work, the deliverable, and the condition for moving forward. “Pass” means the evidence exists and has been checked; it does not mean the desired hypothesis happened to be supported.</w:t>
      </w:r>
    </w:p>
    <w:p>
      <w:r>
        <w:br w:type="page"/>
      </w:r>
    </w:p>
    <w:p>
      <w:pPr>
        <w:spacing w:after="60"/>
      </w:pPr>
      <w:r>
        <w:rPr>
          <w:b/>
          <w:color w:val="486B7C"/>
          <w:sz w:val="18"/>
        </w:rPr>
        <w:t>GATE A • BEFORE EXPENSIVE EXPERIMENTS</w:t>
      </w:r>
    </w:p>
    <w:p>
      <w:pPr>
        <w:pStyle w:val="Heading1"/>
      </w:pPr>
      <w:r>
        <w:t>1. Protect the novelty of the paper</w:t>
      </w:r>
    </w:p>
    <w:p>
      <w:r>
        <w:t>The supplied concept note is the project basis, but it overstates how new several components are. Adaptive expectations, endogenous financial risk, algorithmic interaction, and performative prediction have established precedents. The related-work section therefore needs a serious nearest-neighbor audit, not simply more citations. [1–6]</w:t>
      </w:r>
    </w:p>
    <w:tbl>
      <w:tblPr>
        <w:tblW w:type="auto" w:w="0"/>
        <w:tblLayout w:type="fixed"/>
        <w:tblLook w:firstColumn="1" w:firstRow="1" w:lastColumn="0" w:lastRow="0" w:noHBand="0" w:noVBand="1" w:val="04A0"/>
        <w:tblLook w:firstRow="1" w:noVBand="1"/>
      </w:tblPr>
      <w:tblGrid>
        <w:gridCol w:w="2016"/>
        <w:gridCol w:w="7603"/>
      </w:tblGrid>
      <w:tr>
        <w:trPr>
          <w:tblHeader/>
        </w:trPr>
        <w:tc>
          <w:tcPr>
            <w:tcW w:type="dxa" w:w="2016"/>
            <w:shd w:fill="17324D"/>
            <w:tcMar>
              <w:top w:w="80" w:type="dxa"/>
              <w:left w:w="80" w:type="dxa"/>
              <w:bottom w:w="80" w:type="dxa"/>
              <w:right w:w="80" w:type="dxa"/>
            </w:tcMar>
          </w:tcPr>
          <w:p>
            <w:r>
              <w:rPr>
                <w:b/>
                <w:color w:val="FFFFFF"/>
                <w:sz w:val="19"/>
              </w:rPr>
              <w:t>Task</w:t>
            </w:r>
          </w:p>
        </w:tc>
        <w:tc>
          <w:tcPr>
            <w:tcW w:type="dxa" w:w="7603"/>
            <w:shd w:fill="17324D"/>
            <w:tcMar>
              <w:top w:w="80" w:type="dxa"/>
              <w:left w:w="80" w:type="dxa"/>
              <w:bottom w:w="80" w:type="dxa"/>
              <w:right w:w="80" w:type="dxa"/>
            </w:tcMar>
          </w:tcPr>
          <w:p>
            <w:r>
              <w:rPr>
                <w:b/>
                <w:color w:val="FFFFFF"/>
                <w:sz w:val="19"/>
              </w:rPr>
              <w:t>Required output and pass condition</w:t>
            </w:r>
          </w:p>
        </w:tc>
      </w:tr>
      <w:tr>
        <w:trPr>
          <w:cantSplit/>
        </w:trPr>
        <w:tc>
          <w:tcPr>
            <w:tcW w:type="dxa" w:w="2016"/>
            <w:shd w:fill="F0F4F7"/>
            <w:tcMar>
              <w:top w:w="80" w:type="dxa"/>
              <w:left w:w="80" w:type="dxa"/>
              <w:bottom w:w="80" w:type="dxa"/>
              <w:right w:w="80" w:type="dxa"/>
            </w:tcMar>
          </w:tcPr>
          <w:p>
            <w:pPr>
              <w:spacing w:after="80" w:before="60" w:line="240" w:lineRule="auto"/>
            </w:pPr>
            <w:r>
              <w:rPr>
                <w:sz w:val="19"/>
              </w:rPr>
              <w:t>A1 • Literature map</w:t>
            </w:r>
          </w:p>
        </w:tc>
        <w:tc>
          <w:tcPr>
            <w:tcW w:type="dxa" w:w="7603"/>
            <w:shd w:fill="F0F4F7"/>
            <w:tcMar>
              <w:top w:w="80" w:type="dxa"/>
              <w:left w:w="80" w:type="dxa"/>
              <w:bottom w:w="80" w:type="dxa"/>
              <w:right w:w="80" w:type="dxa"/>
            </w:tcMar>
          </w:tcPr>
          <w:p>
            <w:pPr>
              <w:spacing w:after="80" w:before="60" w:line="240" w:lineRule="auto"/>
            </w:pPr>
            <w:r>
              <w:rPr>
                <w:sz w:val="19"/>
              </w:rPr>
              <w:t>Build a matrix of roughly 30–50 relevant papers as an initial search target, not a completeness claim. Record the economic setting, learning rule, observable state, theorem, identification strategy, experiment, and limitations.</w:t>
            </w:r>
          </w:p>
        </w:tc>
      </w:tr>
      <w:tr>
        <w:trPr>
          <w:cantSplit/>
        </w:trPr>
        <w:tc>
          <w:tcPr>
            <w:tcW w:type="dxa" w:w="2016"/>
            <w:tcMar>
              <w:top w:w="80" w:type="dxa"/>
              <w:left w:w="80" w:type="dxa"/>
              <w:bottom w:w="80" w:type="dxa"/>
              <w:right w:w="80" w:type="dxa"/>
            </w:tcMar>
          </w:tcPr>
          <w:p>
            <w:pPr>
              <w:spacing w:after="80" w:before="60" w:line="240" w:lineRule="auto"/>
            </w:pPr>
            <w:r>
              <w:rPr>
                <w:sz w:val="19"/>
              </w:rPr>
              <w:t>A2 • Closest competitors</w:t>
            </w:r>
          </w:p>
        </w:tc>
        <w:tc>
          <w:tcPr>
            <w:tcW w:type="dxa" w:w="7603"/>
            <w:tcMar>
              <w:top w:w="80" w:type="dxa"/>
              <w:left w:w="80" w:type="dxa"/>
              <w:bottom w:w="80" w:type="dxa"/>
              <w:right w:w="80" w:type="dxa"/>
            </w:tcMar>
          </w:tcPr>
          <w:p>
            <w:pPr>
              <w:spacing w:after="80" w:before="60" w:line="240" w:lineRule="auto"/>
            </w:pPr>
            <w:r>
              <w:rPr>
                <w:sz w:val="19"/>
              </w:rPr>
              <w:t>Give the 5–8 closest works a full equation-level comparison. At minimum include adaptive-agent asset pricing, multiplayer performativity, AI fund redemption, and learning-based market making.</w:t>
            </w:r>
          </w:p>
        </w:tc>
      </w:tr>
      <w:tr>
        <w:trPr>
          <w:cantSplit/>
        </w:trPr>
        <w:tc>
          <w:tcPr>
            <w:tcW w:type="dxa" w:w="2016"/>
            <w:shd w:fill="F0F4F7"/>
            <w:tcMar>
              <w:top w:w="80" w:type="dxa"/>
              <w:left w:w="80" w:type="dxa"/>
              <w:bottom w:w="80" w:type="dxa"/>
              <w:right w:w="80" w:type="dxa"/>
            </w:tcMar>
          </w:tcPr>
          <w:p>
            <w:pPr>
              <w:spacing w:after="80" w:before="60" w:line="240" w:lineRule="auto"/>
            </w:pPr>
            <w:r>
              <w:rPr>
                <w:sz w:val="19"/>
              </w:rPr>
              <w:t>A3 • One-sentence increment</w:t>
            </w:r>
          </w:p>
        </w:tc>
        <w:tc>
          <w:tcPr>
            <w:tcW w:type="dxa" w:w="7603"/>
            <w:shd w:fill="F0F4F7"/>
            <w:tcMar>
              <w:top w:w="80" w:type="dxa"/>
              <w:left w:w="80" w:type="dxa"/>
              <w:bottom w:w="80" w:type="dxa"/>
              <w:right w:w="80" w:type="dxa"/>
            </w:tcMar>
          </w:tcPr>
          <w:p>
            <w:pPr>
              <w:spacing w:after="80" w:before="60" w:line="240" w:lineRule="auto"/>
            </w:pPr>
            <w:r>
              <w:rPr>
                <w:sz w:val="19"/>
              </w:rPr>
              <w:t>Write: “Prior work establishes X; our contribution establishes Y under Z assumptions, measured by W.” A claim that “AI architecture matters” is insufficient because it is already directly studied.</w:t>
            </w:r>
          </w:p>
        </w:tc>
      </w:tr>
      <w:tr>
        <w:trPr>
          <w:cantSplit/>
        </w:trPr>
        <w:tc>
          <w:tcPr>
            <w:tcW w:type="dxa" w:w="2016"/>
            <w:tcMar>
              <w:top w:w="80" w:type="dxa"/>
              <w:left w:w="80" w:type="dxa"/>
              <w:bottom w:w="80" w:type="dxa"/>
              <w:right w:w="80" w:type="dxa"/>
            </w:tcMar>
          </w:tcPr>
          <w:p>
            <w:pPr>
              <w:spacing w:after="80" w:before="60" w:line="240" w:lineRule="auto"/>
            </w:pPr>
            <w:r>
              <w:rPr>
                <w:sz w:val="19"/>
              </w:rPr>
              <w:t>A4 • Priority review</w:t>
            </w:r>
          </w:p>
        </w:tc>
        <w:tc>
          <w:tcPr>
            <w:tcW w:type="dxa" w:w="7603"/>
            <w:tcMar>
              <w:top w:w="80" w:type="dxa"/>
              <w:left w:w="80" w:type="dxa"/>
              <w:bottom w:w="80" w:type="dxa"/>
              <w:right w:w="80" w:type="dxa"/>
            </w:tcMar>
          </w:tcPr>
          <w:p>
            <w:pPr>
              <w:spacing w:after="80" w:before="60" w:line="240" w:lineRule="auto"/>
            </w:pPr>
            <w:r>
              <w:rPr>
                <w:sz w:val="19"/>
              </w:rPr>
              <w:t>Ask a finance specialist and a control/learning specialist to challenge the novelty claim. Preserve their objections and the revised scope. Do not call a textbook application a new theorem.</w:t>
            </w:r>
          </w:p>
        </w:tc>
      </w:tr>
    </w:tbl>
    <w:p>
      <w:pPr>
        <w:spacing w:after="0"/>
      </w:pPr>
    </w:p>
    <w:p>
      <w:pPr>
        <w:pStyle w:val="Heading2"/>
      </w:pPr>
      <w:r>
        <w:t>Choose one main unresolved contribution</w:t>
      </w:r>
    </w:p>
    <w:p>
      <w:r>
        <w:t>Recommended initial target: uncertainty-aware identification of the joint feedback system from incomplete observations. The question is whether a practically observable quantity can retain predictive and causal meaning when internal policy states are hidden. This is a proposed direction, not a verified claim that no one has solved any part of it.</w:t>
      </w:r>
    </w:p>
    <w:p>
      <w:r>
        <w:t>Two alternatives are a causal decomposition separating adaptive-policy feedback from ordinary liquidity feedback, or an intervention guarantee that remains valid when agents update asynchronously and liquidity responds to the intervention. Select one as the first paper’s center; treat the others as extensions.</w:t>
      </w:r>
    </w:p>
    <w:p>
      <w:pPr>
        <w:pStyle w:val="Heading2"/>
      </w:pPr>
      <w:r>
        <w:t>The reject-or-reframe rule</w:t>
      </w:r>
    </w:p>
    <w:p>
      <w:r>
        <w:t>When the nearest-neighbor review shows the proposed increment is already covered, change the question or strengthen the evidence. When a standard economic mechanism explains the result, report that finding instead of renaming it “machine-market transition.” A credible negative result is preferable to artificial novelty.</w:t>
      </w:r>
    </w:p>
    <w:p>
      <w:r>
        <w:rPr>
          <w:b/>
        </w:rPr>
        <w:t>Gate A passes</w:t>
      </w:r>
      <w:r>
        <w:t xml:space="preserve"> when the paper’s main increment is specific, its closest alternatives are explicit, and a specialist can explain why the proposed result would add knowledge.</w:t>
      </w:r>
    </w:p>
    <w:p>
      <w:r>
        <w:br w:type="page"/>
      </w:r>
    </w:p>
    <w:p>
      <w:pPr>
        <w:spacing w:after="60"/>
      </w:pPr>
      <w:r>
        <w:rPr>
          <w:b/>
          <w:color w:val="486B7C"/>
          <w:sz w:val="18"/>
        </w:rPr>
        <w:t>GATE B • PROOFS, ASSUMPTIONS, AND FINANCIAL MEANING</w:t>
      </w:r>
    </w:p>
    <w:p>
      <w:pPr>
        <w:pStyle w:val="Heading1"/>
      </w:pPr>
      <w:r>
        <w:t>2. Complete the theoretical contribution</w:t>
      </w:r>
    </w:p>
    <w:p>
      <w:r>
        <w:t>The present proofs are a starting model and a correctness baseline. Most use standard stability and robustness tools. The final theoretical increment should follow Gate A, not be chosen because a formula looks impressive. [7]</w:t>
      </w:r>
    </w:p>
    <w:tbl>
      <w:tblPr>
        <w:tblW w:type="auto" w:w="0"/>
        <w:tblLayout w:type="fixed"/>
        <w:tblLook w:firstColumn="1" w:firstRow="1" w:lastColumn="0" w:lastRow="0" w:noHBand="0" w:noVBand="1" w:val="04A0"/>
        <w:tblLook w:firstRow="1" w:noVBand="1"/>
      </w:tblPr>
      <w:tblGrid>
        <w:gridCol w:w="691"/>
        <w:gridCol w:w="3787"/>
        <w:gridCol w:w="5141"/>
      </w:tblGrid>
      <w:tr>
        <w:trPr>
          <w:tblHeader/>
        </w:trPr>
        <w:tc>
          <w:tcPr>
            <w:tcW w:type="dxa" w:w="691"/>
            <w:shd w:fill="17324D"/>
            <w:tcMar>
              <w:top w:w="80" w:type="dxa"/>
              <w:left w:w="80" w:type="dxa"/>
              <w:bottom w:w="80" w:type="dxa"/>
              <w:right w:w="80" w:type="dxa"/>
            </w:tcMar>
          </w:tcPr>
          <w:p>
            <w:r>
              <w:rPr>
                <w:b/>
                <w:color w:val="FFFFFF"/>
                <w:sz w:val="19"/>
              </w:rPr>
              <w:t>Task</w:t>
            </w:r>
          </w:p>
        </w:tc>
        <w:tc>
          <w:tcPr>
            <w:tcW w:type="dxa" w:w="3787"/>
            <w:shd w:fill="17324D"/>
            <w:tcMar>
              <w:top w:w="80" w:type="dxa"/>
              <w:left w:w="80" w:type="dxa"/>
              <w:bottom w:w="80" w:type="dxa"/>
              <w:right w:w="80" w:type="dxa"/>
            </w:tcMar>
          </w:tcPr>
          <w:p>
            <w:r>
              <w:rPr>
                <w:b/>
                <w:color w:val="FFFFFF"/>
                <w:sz w:val="19"/>
              </w:rPr>
              <w:t>What is still needed</w:t>
            </w:r>
          </w:p>
        </w:tc>
        <w:tc>
          <w:tcPr>
            <w:tcW w:type="dxa" w:w="5141"/>
            <w:shd w:fill="17324D"/>
            <w:tcMar>
              <w:top w:w="80" w:type="dxa"/>
              <w:left w:w="80" w:type="dxa"/>
              <w:bottom w:w="80" w:type="dxa"/>
              <w:right w:w="80" w:type="dxa"/>
            </w:tcMar>
          </w:tcPr>
          <w:p>
            <w:r>
              <w:rPr>
                <w:b/>
                <w:color w:val="FFFFFF"/>
                <w:sz w:val="19"/>
              </w:rPr>
              <w:t>Pass condition</w:t>
            </w:r>
          </w:p>
        </w:tc>
      </w:tr>
      <w:tr>
        <w:trPr>
          <w:cantSplit/>
        </w:trPr>
        <w:tc>
          <w:tcPr>
            <w:tcW w:type="dxa" w:w="691"/>
            <w:shd w:fill="F0F4F7"/>
            <w:tcMar>
              <w:top w:w="80" w:type="dxa"/>
              <w:left w:w="80" w:type="dxa"/>
              <w:bottom w:w="80" w:type="dxa"/>
              <w:right w:w="80" w:type="dxa"/>
            </w:tcMar>
          </w:tcPr>
          <w:p>
            <w:pPr>
              <w:spacing w:after="80" w:before="60" w:line="240" w:lineRule="auto"/>
            </w:pPr>
            <w:r>
              <w:rPr>
                <w:sz w:val="19"/>
              </w:rPr>
              <w:t>B1</w:t>
            </w:r>
          </w:p>
        </w:tc>
        <w:tc>
          <w:tcPr>
            <w:tcW w:type="dxa" w:w="3787"/>
            <w:shd w:fill="F0F4F7"/>
            <w:tcMar>
              <w:top w:w="80" w:type="dxa"/>
              <w:left w:w="80" w:type="dxa"/>
              <w:bottom w:w="80" w:type="dxa"/>
              <w:right w:w="80" w:type="dxa"/>
            </w:tcMar>
          </w:tcPr>
          <w:p>
            <w:pPr>
              <w:spacing w:after="80" w:before="60" w:line="240" w:lineRule="auto"/>
            </w:pPr>
            <w:r>
              <w:rPr>
                <w:sz w:val="19"/>
              </w:rPr>
              <w:t>Independently verify every derivative, dimension, inequality, and proof.</w:t>
            </w:r>
          </w:p>
        </w:tc>
        <w:tc>
          <w:tcPr>
            <w:tcW w:type="dxa" w:w="5141"/>
            <w:shd w:fill="F0F4F7"/>
            <w:tcMar>
              <w:top w:w="80" w:type="dxa"/>
              <w:left w:w="80" w:type="dxa"/>
              <w:bottom w:w="80" w:type="dxa"/>
              <w:right w:w="80" w:type="dxa"/>
            </w:tcMar>
          </w:tcPr>
          <w:p>
            <w:pPr>
              <w:spacing w:after="80" w:before="60" w:line="240" w:lineRule="auto"/>
            </w:pPr>
            <w:r>
              <w:rPr>
                <w:sz w:val="19"/>
              </w:rPr>
              <w:t>A reviewer can reproduce the argument and all assumptions are stated at the point of use.</w:t>
            </w:r>
          </w:p>
        </w:tc>
      </w:tr>
      <w:tr>
        <w:trPr>
          <w:cantSplit/>
        </w:trPr>
        <w:tc>
          <w:tcPr>
            <w:tcW w:type="dxa" w:w="691"/>
            <w:tcMar>
              <w:top w:w="80" w:type="dxa"/>
              <w:left w:w="80" w:type="dxa"/>
              <w:bottom w:w="80" w:type="dxa"/>
              <w:right w:w="80" w:type="dxa"/>
            </w:tcMar>
          </w:tcPr>
          <w:p>
            <w:pPr>
              <w:spacing w:after="80" w:before="60" w:line="240" w:lineRule="auto"/>
            </w:pPr>
            <w:r>
              <w:rPr>
                <w:sz w:val="19"/>
              </w:rPr>
              <w:t>B2</w:t>
            </w:r>
          </w:p>
        </w:tc>
        <w:tc>
          <w:tcPr>
            <w:tcW w:type="dxa" w:w="3787"/>
            <w:tcMar>
              <w:top w:w="80" w:type="dxa"/>
              <w:left w:w="80" w:type="dxa"/>
              <w:bottom w:w="80" w:type="dxa"/>
              <w:right w:w="80" w:type="dxa"/>
            </w:tcMar>
          </w:tcPr>
          <w:p>
            <w:pPr>
              <w:spacing w:after="80" w:before="60" w:line="240" w:lineRule="auto"/>
            </w:pPr>
            <w:r>
              <w:rPr>
                <w:sz w:val="19"/>
              </w:rPr>
              <w:t>Add economically grounded price formation, budgets, inventory, funding, and losses.</w:t>
            </w:r>
          </w:p>
        </w:tc>
        <w:tc>
          <w:tcPr>
            <w:tcW w:type="dxa" w:w="5141"/>
            <w:tcMar>
              <w:top w:w="80" w:type="dxa"/>
              <w:left w:w="80" w:type="dxa"/>
              <w:bottom w:w="80" w:type="dxa"/>
              <w:right w:w="80" w:type="dxa"/>
            </w:tcMar>
          </w:tcPr>
          <w:p>
            <w:pPr>
              <w:spacing w:after="80" w:before="60" w:line="240" w:lineRule="auto"/>
            </w:pPr>
            <w:r>
              <w:rPr>
                <w:sz w:val="19"/>
              </w:rPr>
              <w:t>The model specifies who trades, who pays, how trades clear, and which outcome counts as financial harm.</w:t>
            </w:r>
          </w:p>
        </w:tc>
      </w:tr>
      <w:tr>
        <w:trPr>
          <w:cantSplit/>
        </w:trPr>
        <w:tc>
          <w:tcPr>
            <w:tcW w:type="dxa" w:w="691"/>
            <w:shd w:fill="F0F4F7"/>
            <w:tcMar>
              <w:top w:w="80" w:type="dxa"/>
              <w:left w:w="80" w:type="dxa"/>
              <w:bottom w:w="80" w:type="dxa"/>
              <w:right w:w="80" w:type="dxa"/>
            </w:tcMar>
          </w:tcPr>
          <w:p>
            <w:pPr>
              <w:spacing w:after="80" w:before="60" w:line="240" w:lineRule="auto"/>
            </w:pPr>
            <w:r>
              <w:rPr>
                <w:sz w:val="19"/>
              </w:rPr>
              <w:t>B3</w:t>
            </w:r>
          </w:p>
        </w:tc>
        <w:tc>
          <w:tcPr>
            <w:tcW w:type="dxa" w:w="3787"/>
            <w:shd w:fill="F0F4F7"/>
            <w:tcMar>
              <w:top w:w="80" w:type="dxa"/>
              <w:left w:w="80" w:type="dxa"/>
              <w:bottom w:w="80" w:type="dxa"/>
              <w:right w:w="80" w:type="dxa"/>
            </w:tcMar>
          </w:tcPr>
          <w:p>
            <w:pPr>
              <w:spacing w:after="80" w:before="60" w:line="240" w:lineRule="auto"/>
            </w:pPr>
            <w:r>
              <w:rPr>
                <w:sz w:val="19"/>
              </w:rPr>
              <w:t>Analyze signed feedback, heterogeneous learning rates, asynchronous updates, and delay.</w:t>
            </w:r>
          </w:p>
        </w:tc>
        <w:tc>
          <w:tcPr>
            <w:tcW w:type="dxa" w:w="5141"/>
            <w:shd w:fill="F0F4F7"/>
            <w:tcMar>
              <w:top w:w="80" w:type="dxa"/>
              <w:left w:w="80" w:type="dxa"/>
              <w:bottom w:w="80" w:type="dxa"/>
              <w:right w:w="80" w:type="dxa"/>
            </w:tcMar>
          </w:tcPr>
          <w:p>
            <w:pPr>
              <w:spacing w:after="80" w:before="60" w:line="240" w:lineRule="auto"/>
            </w:pPr>
            <w:r>
              <w:rPr>
                <w:sz w:val="19"/>
              </w:rPr>
              <w:t>Each extension has a proof, a delimited counterexample, or an explicitly unproved conjecture—not an extrapolation from the positive case.</w:t>
            </w:r>
          </w:p>
        </w:tc>
      </w:tr>
      <w:tr>
        <w:trPr>
          <w:cantSplit/>
        </w:trPr>
        <w:tc>
          <w:tcPr>
            <w:tcW w:type="dxa" w:w="691"/>
            <w:tcMar>
              <w:top w:w="80" w:type="dxa"/>
              <w:left w:w="80" w:type="dxa"/>
              <w:bottom w:w="80" w:type="dxa"/>
              <w:right w:w="80" w:type="dxa"/>
            </w:tcMar>
          </w:tcPr>
          <w:p>
            <w:pPr>
              <w:spacing w:after="80" w:before="60" w:line="240" w:lineRule="auto"/>
            </w:pPr>
            <w:r>
              <w:rPr>
                <w:sz w:val="19"/>
              </w:rPr>
              <w:t>B4</w:t>
            </w:r>
          </w:p>
        </w:tc>
        <w:tc>
          <w:tcPr>
            <w:tcW w:type="dxa" w:w="3787"/>
            <w:tcMar>
              <w:top w:w="80" w:type="dxa"/>
              <w:left w:w="80" w:type="dxa"/>
              <w:bottom w:w="80" w:type="dxa"/>
              <w:right w:w="80" w:type="dxa"/>
            </w:tcMar>
          </w:tcPr>
          <w:p>
            <w:pPr>
              <w:spacing w:after="80" w:before="60" w:line="240" w:lineRule="auto"/>
            </w:pPr>
            <w:r>
              <w:rPr>
                <w:sz w:val="19"/>
              </w:rPr>
              <w:t>Handle stochastic policies and partial observation.</w:t>
            </w:r>
          </w:p>
        </w:tc>
        <w:tc>
          <w:tcPr>
            <w:tcW w:type="dxa" w:w="5141"/>
            <w:tcMar>
              <w:top w:w="80" w:type="dxa"/>
              <w:left w:w="80" w:type="dxa"/>
              <w:bottom w:w="80" w:type="dxa"/>
              <w:right w:w="80" w:type="dxa"/>
            </w:tcMar>
          </w:tcPr>
          <w:p>
            <w:pPr>
              <w:spacing w:after="80" w:before="60" w:line="240" w:lineRule="auto"/>
            </w:pPr>
            <w:r>
              <w:rPr>
                <w:sz w:val="19"/>
              </w:rPr>
              <w:t>The claim distinguishes mean-map stability, pathwise or mean-square behavior, and statistical estimation uncertainty.</w:t>
            </w:r>
          </w:p>
        </w:tc>
      </w:tr>
      <w:tr>
        <w:trPr>
          <w:cantSplit/>
        </w:trPr>
        <w:tc>
          <w:tcPr>
            <w:tcW w:type="dxa" w:w="691"/>
            <w:shd w:fill="F0F4F7"/>
            <w:tcMar>
              <w:top w:w="80" w:type="dxa"/>
              <w:left w:w="80" w:type="dxa"/>
              <w:bottom w:w="80" w:type="dxa"/>
              <w:right w:w="80" w:type="dxa"/>
            </w:tcMar>
          </w:tcPr>
          <w:p>
            <w:pPr>
              <w:spacing w:after="80" w:before="60" w:line="240" w:lineRule="auto"/>
            </w:pPr>
            <w:r>
              <w:rPr>
                <w:sz w:val="19"/>
              </w:rPr>
              <w:t>B5</w:t>
            </w:r>
          </w:p>
        </w:tc>
        <w:tc>
          <w:tcPr>
            <w:tcW w:type="dxa" w:w="3787"/>
            <w:shd w:fill="F0F4F7"/>
            <w:tcMar>
              <w:top w:w="80" w:type="dxa"/>
              <w:left w:w="80" w:type="dxa"/>
              <w:bottom w:w="80" w:type="dxa"/>
              <w:right w:w="80" w:type="dxa"/>
            </w:tcMar>
          </w:tcPr>
          <w:p>
            <w:pPr>
              <w:spacing w:after="80" w:before="60" w:line="240" w:lineRule="auto"/>
            </w:pPr>
            <w:r>
              <w:rPr>
                <w:sz w:val="19"/>
              </w:rPr>
              <w:t>Connect a local result to finite-horizon losses or default-relevant constraints.</w:t>
            </w:r>
          </w:p>
        </w:tc>
        <w:tc>
          <w:tcPr>
            <w:tcW w:type="dxa" w:w="5141"/>
            <w:shd w:fill="F0F4F7"/>
            <w:tcMar>
              <w:top w:w="80" w:type="dxa"/>
              <w:left w:w="80" w:type="dxa"/>
              <w:bottom w:w="80" w:type="dxa"/>
              <w:right w:w="80" w:type="dxa"/>
            </w:tcMar>
          </w:tcPr>
          <w:p>
            <w:pPr>
              <w:spacing w:after="80" w:before="60" w:line="240" w:lineRule="auto"/>
            </w:pPr>
            <w:r>
              <w:rPr>
                <w:sz w:val="19"/>
              </w:rPr>
              <w:t>The output map, disturbance scale, operating neighborhood, and failure event are explicit.</w:t>
            </w:r>
          </w:p>
        </w:tc>
      </w:tr>
      <w:tr>
        <w:trPr>
          <w:cantSplit/>
        </w:trPr>
        <w:tc>
          <w:tcPr>
            <w:tcW w:type="dxa" w:w="691"/>
            <w:tcMar>
              <w:top w:w="80" w:type="dxa"/>
              <w:left w:w="80" w:type="dxa"/>
              <w:bottom w:w="80" w:type="dxa"/>
              <w:right w:w="80" w:type="dxa"/>
            </w:tcMar>
          </w:tcPr>
          <w:p>
            <w:pPr>
              <w:spacing w:after="80" w:before="60" w:line="240" w:lineRule="auto"/>
            </w:pPr>
            <w:r>
              <w:rPr>
                <w:sz w:val="19"/>
              </w:rPr>
              <w:t>B6</w:t>
            </w:r>
          </w:p>
        </w:tc>
        <w:tc>
          <w:tcPr>
            <w:tcW w:type="dxa" w:w="3787"/>
            <w:tcMar>
              <w:top w:w="80" w:type="dxa"/>
              <w:left w:w="80" w:type="dxa"/>
              <w:bottom w:w="80" w:type="dxa"/>
              <w:right w:w="80" w:type="dxa"/>
            </w:tcMar>
          </w:tcPr>
          <w:p>
            <w:pPr>
              <w:spacing w:after="80" w:before="60" w:line="240" w:lineRule="auto"/>
            </w:pPr>
            <w:r>
              <w:rPr>
                <w:sz w:val="19"/>
              </w:rPr>
              <w:t>Prove the selected genuinely new increment.</w:t>
            </w:r>
          </w:p>
        </w:tc>
        <w:tc>
          <w:tcPr>
            <w:tcW w:type="dxa" w:w="5141"/>
            <w:tcMar>
              <w:top w:w="80" w:type="dxa"/>
              <w:left w:w="80" w:type="dxa"/>
              <w:bottom w:w="80" w:type="dxa"/>
              <w:right w:w="80" w:type="dxa"/>
            </w:tcMar>
          </w:tcPr>
          <w:p>
            <w:pPr>
              <w:spacing w:after="80" w:before="60" w:line="240" w:lineRule="auto"/>
            </w:pPr>
            <w:r>
              <w:rPr>
                <w:sz w:val="19"/>
              </w:rPr>
              <w:t>A precise theorem and proof survive review against the closest literature; novelty is not inferred from a new acronym.</w:t>
            </w:r>
          </w:p>
        </w:tc>
      </w:tr>
    </w:tbl>
    <w:p>
      <w:pPr>
        <w:spacing w:after="0"/>
      </w:pPr>
    </w:p>
    <w:p>
      <w:pPr>
        <w:pStyle w:val="Heading2"/>
      </w:pPr>
      <w:r>
        <w:t>Do not lose the current counterexamples</w:t>
      </w:r>
    </w:p>
    <w:p>
      <w:r>
        <w:t>Keep all five limitations visible: learning speed need not change the boundary; stable eigenvalues can permit large transient amplification; stable frozen matrices can become unstable when alternated; a concentration score can hide signed cancellation; and abstention can worsen feedback when depth falls sufficiently.</w:t>
      </w:r>
    </w:p>
    <w:p>
      <w:pPr>
        <w:pStyle w:val="Heading2"/>
      </w:pPr>
      <w:r>
        <w:t>Definitions that must be frozen</w:t>
      </w:r>
    </w:p>
    <w:p>
      <w:r>
        <w:t>Specify the meaning of a decision event, the unit of time, the normalized state, “learning,” “frozen policy,” “abstention,” “financial instability,” and “systemic loss.” In particular, a mark-to-market transfer between counterparties is not automatically a social loss. A threshold crossing is not automatically a statistical-physics phase transition.</w:t>
      </w:r>
    </w:p>
    <w:p>
      <w:r>
        <w:rPr>
          <w:b/>
        </w:rPr>
        <w:t>Gate B passes</w:t>
      </w:r>
      <w:r>
        <w:t xml:space="preserve"> when the first paper contains a defensible theoretical increment or a clearly justified empirical contribution that does not rely on claiming textbook mathematics as new.</w:t>
      </w:r>
    </w:p>
    <w:p>
      <w:r>
        <w:br w:type="page"/>
      </w:r>
    </w:p>
    <w:p>
      <w:pPr>
        <w:spacing w:after="60"/>
      </w:pPr>
      <w:r>
        <w:rPr>
          <w:b/>
          <w:color w:val="486B7C"/>
          <w:sz w:val="18"/>
        </w:rPr>
        <w:t>GATE C • ESTIMATION BEFORE PREDICTION</w:t>
      </w:r>
    </w:p>
    <w:p>
      <w:pPr>
        <w:pStyle w:val="Heading1"/>
      </w:pPr>
      <w:r>
        <w:t>3. Make the proposed quantities measurable</w:t>
      </w:r>
    </w:p>
    <w:p>
      <w:r>
        <w:t>The decisive challenge is observing the feedback, not naming an index. The draft proves that market histories cannot reveal human versus machine labels when the observable action laws coincide. Additional provenance, interventions, or justified restrictions are required.</w:t>
      </w:r>
    </w:p>
    <w:tbl>
      <w:tblPr>
        <w:tblW w:type="auto" w:w="0"/>
        <w:tblLayout w:type="fixed"/>
        <w:tblLook w:firstColumn="1" w:firstRow="1" w:lastColumn="0" w:lastRow="0" w:noHBand="0" w:noVBand="1" w:val="04A0"/>
        <w:tblLook w:firstRow="1" w:noVBand="1"/>
      </w:tblPr>
      <w:tblGrid>
        <w:gridCol w:w="2088"/>
        <w:gridCol w:w="7531"/>
      </w:tblGrid>
      <w:tr>
        <w:trPr>
          <w:tblHeader/>
        </w:trPr>
        <w:tc>
          <w:tcPr>
            <w:tcW w:type="dxa" w:w="2088"/>
            <w:shd w:fill="17324D"/>
            <w:tcMar>
              <w:top w:w="80" w:type="dxa"/>
              <w:left w:w="80" w:type="dxa"/>
              <w:bottom w:w="80" w:type="dxa"/>
              <w:right w:w="80" w:type="dxa"/>
            </w:tcMar>
          </w:tcPr>
          <w:p>
            <w:r>
              <w:rPr>
                <w:b/>
                <w:color w:val="FFFFFF"/>
                <w:sz w:val="19"/>
              </w:rPr>
              <w:t>Quantity</w:t>
            </w:r>
          </w:p>
        </w:tc>
        <w:tc>
          <w:tcPr>
            <w:tcW w:type="dxa" w:w="7531"/>
            <w:shd w:fill="17324D"/>
            <w:tcMar>
              <w:top w:w="80" w:type="dxa"/>
              <w:left w:w="80" w:type="dxa"/>
              <w:bottom w:w="80" w:type="dxa"/>
              <w:right w:w="80" w:type="dxa"/>
            </w:tcMar>
          </w:tcPr>
          <w:p>
            <w:r>
              <w:rPr>
                <w:b/>
                <w:color w:val="FFFFFF"/>
                <w:sz w:val="19"/>
              </w:rPr>
              <w:t>Data and work required</w:t>
            </w:r>
          </w:p>
        </w:tc>
      </w:tr>
      <w:tr>
        <w:trPr>
          <w:cantSplit/>
        </w:trPr>
        <w:tc>
          <w:tcPr>
            <w:tcW w:type="dxa" w:w="2088"/>
            <w:shd w:fill="F0F4F7"/>
            <w:tcMar>
              <w:top w:w="80" w:type="dxa"/>
              <w:left w:w="80" w:type="dxa"/>
              <w:bottom w:w="80" w:type="dxa"/>
              <w:right w:w="80" w:type="dxa"/>
            </w:tcMar>
          </w:tcPr>
          <w:p>
            <w:pPr>
              <w:spacing w:after="80" w:before="60" w:line="240" w:lineRule="auto"/>
            </w:pPr>
            <w:r>
              <w:rPr>
                <w:sz w:val="19"/>
              </w:rPr>
              <w:t>Machine autonomy exposure</w:t>
            </w:r>
          </w:p>
        </w:tc>
        <w:tc>
          <w:tcPr>
            <w:tcW w:type="dxa" w:w="7531"/>
            <w:shd w:fill="F0F4F7"/>
            <w:tcMar>
              <w:top w:w="80" w:type="dxa"/>
              <w:left w:w="80" w:type="dxa"/>
              <w:bottom w:w="80" w:type="dxa"/>
              <w:right w:w="80" w:type="dxa"/>
            </w:tcMar>
          </w:tcPr>
          <w:p>
            <w:pPr>
              <w:spacing w:after="80" w:before="60" w:line="240" w:lineRule="auto"/>
            </w:pPr>
            <w:r>
              <w:rPr>
                <w:sz w:val="19"/>
              </w:rPr>
              <w:t>Define event-level executable authority. Use comparable exposure weights; separate advisory use, execution, and online learning. Report unknown-authority mass and bounds rather than arbitrary fractional scores.</w:t>
            </w:r>
          </w:p>
        </w:tc>
      </w:tr>
      <w:tr>
        <w:trPr>
          <w:cantSplit/>
        </w:trPr>
        <w:tc>
          <w:tcPr>
            <w:tcW w:type="dxa" w:w="2088"/>
            <w:tcMar>
              <w:top w:w="80" w:type="dxa"/>
              <w:left w:w="80" w:type="dxa"/>
              <w:bottom w:w="80" w:type="dxa"/>
              <w:right w:w="80" w:type="dxa"/>
            </w:tcMar>
          </w:tcPr>
          <w:p>
            <w:pPr>
              <w:spacing w:after="80" w:before="60" w:line="240" w:lineRule="auto"/>
            </w:pPr>
            <w:r>
              <w:rPr>
                <w:sz w:val="19"/>
              </w:rPr>
              <w:t>Behavioral concentration</w:t>
            </w:r>
          </w:p>
        </w:tc>
        <w:tc>
          <w:tcPr>
            <w:tcW w:type="dxa" w:w="7531"/>
            <w:tcMar>
              <w:top w:w="80" w:type="dxa"/>
              <w:left w:w="80" w:type="dxa"/>
              <w:bottom w:w="80" w:type="dxa"/>
              <w:right w:w="80" w:type="dxa"/>
            </w:tcMar>
          </w:tcPr>
          <w:p>
            <w:pPr>
              <w:spacing w:after="80" w:before="60" w:line="240" w:lineRule="auto"/>
            </w:pPr>
            <w:r>
              <w:rPr>
                <w:sz w:val="19"/>
              </w:rPr>
              <w:t>Design an independent perturbation panel. Record raw response magnitude and signed aggregate responses before normalization. Keep provider concentration separate from behavioral similarity.</w:t>
            </w:r>
          </w:p>
        </w:tc>
      </w:tr>
      <w:tr>
        <w:trPr>
          <w:cantSplit/>
        </w:trPr>
        <w:tc>
          <w:tcPr>
            <w:tcW w:type="dxa" w:w="2088"/>
            <w:shd w:fill="F0F4F7"/>
            <w:tcMar>
              <w:top w:w="80" w:type="dxa"/>
              <w:left w:w="80" w:type="dxa"/>
              <w:bottom w:w="80" w:type="dxa"/>
              <w:right w:w="80" w:type="dxa"/>
            </w:tcMar>
          </w:tcPr>
          <w:p>
            <w:pPr>
              <w:spacing w:after="80" w:before="60" w:line="240" w:lineRule="auto"/>
            </w:pPr>
            <w:r>
              <w:rPr>
                <w:sz w:val="19"/>
              </w:rPr>
              <w:t>Joint feedback estimate</w:t>
            </w:r>
          </w:p>
        </w:tc>
        <w:tc>
          <w:tcPr>
            <w:tcW w:type="dxa" w:w="7531"/>
            <w:shd w:fill="F0F4F7"/>
            <w:tcMar>
              <w:top w:w="80" w:type="dxa"/>
              <w:left w:w="80" w:type="dxa"/>
              <w:bottom w:w="80" w:type="dxa"/>
              <w:right w:w="80" w:type="dxa"/>
            </w:tcMar>
          </w:tcPr>
          <w:p>
            <w:pPr>
              <w:spacing w:after="80" w:before="60" w:line="240" w:lineRule="auto"/>
            </w:pPr>
            <w:r>
              <w:rPr>
                <w:sz w:val="19"/>
              </w:rPr>
              <w:t>Start with full-state synthetic recovery, then progressively hide policy states. Compare finite differences, local state-space estimation, and input–output alternatives under controlled excitation.</w:t>
            </w:r>
          </w:p>
        </w:tc>
      </w:tr>
      <w:tr>
        <w:trPr>
          <w:cantSplit/>
        </w:trPr>
        <w:tc>
          <w:tcPr>
            <w:tcW w:type="dxa" w:w="2088"/>
            <w:tcMar>
              <w:top w:w="80" w:type="dxa"/>
              <w:left w:w="80" w:type="dxa"/>
              <w:bottom w:w="80" w:type="dxa"/>
              <w:right w:w="80" w:type="dxa"/>
            </w:tcMar>
          </w:tcPr>
          <w:p>
            <w:pPr>
              <w:spacing w:after="80" w:before="60" w:line="240" w:lineRule="auto"/>
            </w:pPr>
            <w:r>
              <w:rPr>
                <w:sz w:val="19"/>
              </w:rPr>
              <w:t>Uncertainty</w:t>
            </w:r>
          </w:p>
        </w:tc>
        <w:tc>
          <w:tcPr>
            <w:tcW w:type="dxa" w:w="7531"/>
            <w:tcMar>
              <w:top w:w="80" w:type="dxa"/>
              <w:left w:w="80" w:type="dxa"/>
              <w:bottom w:w="80" w:type="dxa"/>
              <w:right w:w="80" w:type="dxa"/>
            </w:tcMar>
          </w:tcPr>
          <w:p>
            <w:pPr>
              <w:spacing w:after="80" w:before="60" w:line="240" w:lineRule="auto"/>
            </w:pPr>
            <w:r>
              <w:rPr>
                <w:sz w:val="19"/>
              </w:rPr>
              <w:t>Measure coverage under serial dependence, measurement error, regime changes, and selected operating points. Do not treat an estimated Jacobian as exact.</w:t>
            </w:r>
          </w:p>
        </w:tc>
      </w:tr>
      <w:tr>
        <w:trPr>
          <w:cantSplit/>
        </w:trPr>
        <w:tc>
          <w:tcPr>
            <w:tcW w:type="dxa" w:w="2088"/>
            <w:shd w:fill="F0F4F7"/>
            <w:tcMar>
              <w:top w:w="80" w:type="dxa"/>
              <w:left w:w="80" w:type="dxa"/>
              <w:bottom w:w="80" w:type="dxa"/>
              <w:right w:w="80" w:type="dxa"/>
            </w:tcMar>
          </w:tcPr>
          <w:p>
            <w:pPr>
              <w:spacing w:after="80" w:before="60" w:line="240" w:lineRule="auto"/>
            </w:pPr>
            <w:r>
              <w:rPr>
                <w:sz w:val="19"/>
              </w:rPr>
              <w:t>Financial output sensitivity</w:t>
            </w:r>
          </w:p>
        </w:tc>
        <w:tc>
          <w:tcPr>
            <w:tcW w:type="dxa" w:w="7531"/>
            <w:shd w:fill="F0F4F7"/>
            <w:tcMar>
              <w:top w:w="80" w:type="dxa"/>
              <w:left w:w="80" w:type="dxa"/>
              <w:bottom w:w="80" w:type="dxa"/>
              <w:right w:w="80" w:type="dxa"/>
            </w:tcMar>
          </w:tcPr>
          <w:p>
            <w:pPr>
              <w:spacing w:after="80" w:before="60" w:line="240" w:lineRule="auto"/>
            </w:pPr>
            <w:r>
              <w:rPr>
                <w:sz w:val="19"/>
              </w:rPr>
              <w:t>Specify which shocks reach the measured output and how amplification translates into inventory loss, liquidation cost, or another defined financial outcome.</w:t>
            </w:r>
          </w:p>
        </w:tc>
      </w:tr>
    </w:tbl>
    <w:p>
      <w:pPr>
        <w:spacing w:after="0"/>
      </w:pPr>
    </w:p>
    <w:p>
      <w:pPr>
        <w:pStyle w:val="Heading2"/>
      </w:pPr>
      <w:r>
        <w:t>Required recovery experiments</w:t>
      </w:r>
    </w:p>
    <w:p>
      <w:r>
        <w:t>Create known stable, near-boundary, unstable, nonnormal, and switching systems. For each, vary observation noise, sample size, missingness, and policy-state visibility. Measure parameter or impulse-response recovery, classification error, uncertainty-set coverage, and the rate of indeterminate decisions.</w:t>
      </w:r>
    </w:p>
    <w:p>
      <w:r>
        <w:t>Use known-system tests before fitting a market simulator. An estimator that cannot recover a known simple mechanism under modest noise cannot credibly identify an unknown real financial system.</w:t>
      </w:r>
    </w:p>
    <w:p>
      <w:pPr>
        <w:pStyle w:val="Heading2"/>
      </w:pPr>
      <w:r>
        <w:t>Missing-data fallback</w:t>
      </w:r>
    </w:p>
    <w:p>
      <w:r>
        <w:t>When internal policy states are unavailable, narrow the claim to a defensible input–output response estimate. Do not claim full-joint-state stability from an unvalidated reduced form. An honest interval or “not identifiable with these observations” result is a valid scientific output.</w:t>
      </w:r>
    </w:p>
    <w:p>
      <w:r>
        <w:rPr>
          <w:b/>
        </w:rPr>
        <w:t>Gate C passes</w:t>
      </w:r>
      <w:r>
        <w:t xml:space="preserve"> when the estimator recovers known mechanisms under declared conditions and its uncertainty is empirically checked. The observations needed for the later market experiment must actually be available.</w:t>
      </w:r>
    </w:p>
    <w:p>
      <w:r>
        <w:br w:type="page"/>
      </w:r>
    </w:p>
    <w:p>
      <w:pPr>
        <w:spacing w:after="60"/>
      </w:pPr>
      <w:r>
        <w:rPr>
          <w:b/>
          <w:color w:val="486B7C"/>
          <w:sz w:val="18"/>
        </w:rPr>
        <w:t>GATE D • INFRASTRUCTURE WITH ECONOMIC CONTROLS</w:t>
      </w:r>
    </w:p>
    <w:p>
      <w:pPr>
        <w:pStyle w:val="Heading1"/>
      </w:pPr>
      <w:r>
        <w:t>4. Build and audit one financial testbed</w:t>
      </w:r>
    </w:p>
    <w:p>
      <w:r>
        <w:t>Begin with one market, not a synthetic version of the entire world economy. An equity-like order book is a feasible starting specification; a fund-redemption setting is an alternative. The ABIDES research paper provides a relevant infrastructure precedent, but a simulator name is not a validation certificate. [8]</w:t>
      </w:r>
    </w:p>
    <w:tbl>
      <w:tblPr>
        <w:tblW w:type="auto" w:w="0"/>
        <w:tblLayout w:type="fixed"/>
        <w:tblLook w:firstColumn="1" w:firstRow="1" w:lastColumn="0" w:lastRow="0" w:noHBand="0" w:noVBand="1" w:val="04A0"/>
        <w:tblLook w:firstRow="1" w:noVBand="1"/>
      </w:tblPr>
      <w:tblGrid>
        <w:gridCol w:w="2045"/>
        <w:gridCol w:w="7574"/>
      </w:tblGrid>
      <w:tr>
        <w:trPr>
          <w:tblHeader/>
        </w:trPr>
        <w:tc>
          <w:tcPr>
            <w:tcW w:type="dxa" w:w="2045"/>
            <w:shd w:fill="17324D"/>
            <w:tcMar>
              <w:top w:w="80" w:type="dxa"/>
              <w:left w:w="80" w:type="dxa"/>
              <w:bottom w:w="80" w:type="dxa"/>
              <w:right w:w="80" w:type="dxa"/>
            </w:tcMar>
          </w:tcPr>
          <w:p>
            <w:r>
              <w:rPr>
                <w:b/>
                <w:color w:val="FFFFFF"/>
                <w:sz w:val="19"/>
              </w:rPr>
              <w:t>Module</w:t>
            </w:r>
          </w:p>
        </w:tc>
        <w:tc>
          <w:tcPr>
            <w:tcW w:type="dxa" w:w="7574"/>
            <w:shd w:fill="17324D"/>
            <w:tcMar>
              <w:top w:w="80" w:type="dxa"/>
              <w:left w:w="80" w:type="dxa"/>
              <w:bottom w:w="80" w:type="dxa"/>
              <w:right w:w="80" w:type="dxa"/>
            </w:tcMar>
          </w:tcPr>
          <w:p>
            <w:r>
              <w:rPr>
                <w:b/>
                <w:color w:val="FFFFFF"/>
                <w:sz w:val="19"/>
              </w:rPr>
              <w:t>Required checks</w:t>
            </w:r>
          </w:p>
        </w:tc>
      </w:tr>
      <w:tr>
        <w:trPr>
          <w:cantSplit/>
        </w:trPr>
        <w:tc>
          <w:tcPr>
            <w:tcW w:type="dxa" w:w="2045"/>
            <w:shd w:fill="F0F4F7"/>
            <w:tcMar>
              <w:top w:w="80" w:type="dxa"/>
              <w:left w:w="80" w:type="dxa"/>
              <w:bottom w:w="80" w:type="dxa"/>
              <w:right w:w="80" w:type="dxa"/>
            </w:tcMar>
          </w:tcPr>
          <w:p>
            <w:pPr>
              <w:spacing w:after="80" w:before="60" w:line="240" w:lineRule="auto"/>
            </w:pPr>
            <w:r>
              <w:rPr>
                <w:sz w:val="19"/>
              </w:rPr>
              <w:t>Exchange and accounting</w:t>
            </w:r>
          </w:p>
        </w:tc>
        <w:tc>
          <w:tcPr>
            <w:tcW w:type="dxa" w:w="7574"/>
            <w:shd w:fill="F0F4F7"/>
            <w:tcMar>
              <w:top w:w="80" w:type="dxa"/>
              <w:left w:w="80" w:type="dxa"/>
              <w:bottom w:w="80" w:type="dxa"/>
              <w:right w:w="80" w:type="dxa"/>
            </w:tcMar>
          </w:tcPr>
          <w:p>
            <w:pPr>
              <w:spacing w:after="80" w:before="60" w:line="240" w:lineRule="auto"/>
            </w:pPr>
            <w:r>
              <w:rPr>
                <w:sz w:val="19"/>
              </w:rPr>
              <w:t>Every execution reconciles buyer and seller cash, inventory, fees, and any explicitly modeled external flows. Verify order priority, cancellations, partial fills, and duplicate-event handling.</w:t>
            </w:r>
          </w:p>
        </w:tc>
      </w:tr>
      <w:tr>
        <w:trPr>
          <w:cantSplit/>
        </w:trPr>
        <w:tc>
          <w:tcPr>
            <w:tcW w:type="dxa" w:w="2045"/>
            <w:tcMar>
              <w:top w:w="80" w:type="dxa"/>
              <w:left w:w="80" w:type="dxa"/>
              <w:bottom w:w="80" w:type="dxa"/>
              <w:right w:w="80" w:type="dxa"/>
            </w:tcMar>
          </w:tcPr>
          <w:p>
            <w:pPr>
              <w:spacing w:after="80" w:before="60" w:line="240" w:lineRule="auto"/>
            </w:pPr>
            <w:r>
              <w:rPr>
                <w:sz w:val="19"/>
              </w:rPr>
              <w:t>Funding and risk</w:t>
            </w:r>
          </w:p>
        </w:tc>
        <w:tc>
          <w:tcPr>
            <w:tcW w:type="dxa" w:w="7574"/>
            <w:tcMar>
              <w:top w:w="80" w:type="dxa"/>
              <w:left w:w="80" w:type="dxa"/>
              <w:bottom w:w="80" w:type="dxa"/>
              <w:right w:w="80" w:type="dxa"/>
            </w:tcMar>
          </w:tcPr>
          <w:p>
            <w:pPr>
              <w:spacing w:after="80" w:before="60" w:line="240" w:lineRule="auto"/>
            </w:pPr>
            <w:r>
              <w:rPr>
                <w:sz w:val="19"/>
              </w:rPr>
              <w:t>Audit position limits, solvency constraints, margins, and forced liquidation. Do not permit unexplained borrowing, infinite market-maker liquidity, or invisible rescue capital.</w:t>
            </w:r>
          </w:p>
        </w:tc>
      </w:tr>
      <w:tr>
        <w:trPr>
          <w:cantSplit/>
        </w:trPr>
        <w:tc>
          <w:tcPr>
            <w:tcW w:type="dxa" w:w="2045"/>
            <w:shd w:fill="F0F4F7"/>
            <w:tcMar>
              <w:top w:w="80" w:type="dxa"/>
              <w:left w:w="80" w:type="dxa"/>
              <w:bottom w:w="80" w:type="dxa"/>
              <w:right w:w="80" w:type="dxa"/>
            </w:tcMar>
          </w:tcPr>
          <w:p>
            <w:pPr>
              <w:spacing w:after="80" w:before="60" w:line="240" w:lineRule="auto"/>
            </w:pPr>
            <w:r>
              <w:rPr>
                <w:sz w:val="19"/>
              </w:rPr>
              <w:t>Agent interface</w:t>
            </w:r>
          </w:p>
        </w:tc>
        <w:tc>
          <w:tcPr>
            <w:tcW w:type="dxa" w:w="7574"/>
            <w:shd w:fill="F0F4F7"/>
            <w:tcMar>
              <w:top w:w="80" w:type="dxa"/>
              <w:left w:w="80" w:type="dxa"/>
              <w:bottom w:w="80" w:type="dxa"/>
              <w:right w:w="80" w:type="dxa"/>
            </w:tcMar>
          </w:tcPr>
          <w:p>
            <w:pPr>
              <w:spacing w:after="80" w:before="60" w:line="240" w:lineRule="auto"/>
            </w:pPr>
            <w:r>
              <w:rPr>
                <w:sz w:val="19"/>
              </w:rPr>
              <w:t>Keep observations, actions, clocks, rewards, model state, and update events separately logged. Distinguish online learning from changing observations supplied to a fixed policy.</w:t>
            </w:r>
          </w:p>
        </w:tc>
      </w:tr>
      <w:tr>
        <w:trPr>
          <w:cantSplit/>
        </w:trPr>
        <w:tc>
          <w:tcPr>
            <w:tcW w:type="dxa" w:w="2045"/>
            <w:tcMar>
              <w:top w:w="80" w:type="dxa"/>
              <w:left w:w="80" w:type="dxa"/>
              <w:bottom w:w="80" w:type="dxa"/>
              <w:right w:w="80" w:type="dxa"/>
            </w:tcMar>
          </w:tcPr>
          <w:p>
            <w:pPr>
              <w:spacing w:after="80" w:before="60" w:line="240" w:lineRule="auto"/>
            </w:pPr>
            <w:r>
              <w:rPr>
                <w:sz w:val="19"/>
              </w:rPr>
              <w:t>Determinism and seeds</w:t>
            </w:r>
          </w:p>
        </w:tc>
        <w:tc>
          <w:tcPr>
            <w:tcW w:type="dxa" w:w="7574"/>
            <w:tcMar>
              <w:top w:w="80" w:type="dxa"/>
              <w:left w:w="80" w:type="dxa"/>
              <w:bottom w:w="80" w:type="dxa"/>
              <w:right w:w="80" w:type="dxa"/>
            </w:tcMar>
          </w:tcPr>
          <w:p>
            <w:pPr>
              <w:spacing w:after="80" w:before="60" w:line="240" w:lineRule="auto"/>
            </w:pPr>
            <w:r>
              <w:rPr>
                <w:sz w:val="19"/>
              </w:rPr>
              <w:t>Replay fixed inputs and seeds; isolate market, shock, agent, and sampling random streams. Document hardware-dependent nondeterminism instead of hiding it.</w:t>
            </w:r>
          </w:p>
        </w:tc>
      </w:tr>
      <w:tr>
        <w:trPr>
          <w:cantSplit/>
        </w:trPr>
        <w:tc>
          <w:tcPr>
            <w:tcW w:type="dxa" w:w="2045"/>
            <w:shd w:fill="F0F4F7"/>
            <w:tcMar>
              <w:top w:w="80" w:type="dxa"/>
              <w:left w:w="80" w:type="dxa"/>
              <w:bottom w:w="80" w:type="dxa"/>
              <w:right w:w="80" w:type="dxa"/>
            </w:tcMar>
          </w:tcPr>
          <w:p>
            <w:pPr>
              <w:spacing w:after="80" w:before="60" w:line="240" w:lineRule="auto"/>
            </w:pPr>
            <w:r>
              <w:rPr>
                <w:sz w:val="19"/>
              </w:rPr>
              <w:t>Calibration</w:t>
            </w:r>
          </w:p>
        </w:tc>
        <w:tc>
          <w:tcPr>
            <w:tcW w:type="dxa" w:w="7574"/>
            <w:shd w:fill="F0F4F7"/>
            <w:tcMar>
              <w:top w:w="80" w:type="dxa"/>
              <w:left w:w="80" w:type="dxa"/>
              <w:bottom w:w="80" w:type="dxa"/>
              <w:right w:w="80" w:type="dxa"/>
            </w:tcMar>
          </w:tcPr>
          <w:p>
            <w:pPr>
              <w:spacing w:after="80" w:before="60" w:line="240" w:lineRule="auto"/>
            </w:pPr>
            <w:r>
              <w:rPr>
                <w:sz w:val="19"/>
              </w:rPr>
              <w:t>Use separate calibration and evaluation periods or environments. Check spreads, depth, volume, volatility, and response to exogenous shocks without fitting directly to the desired conclusion.</w:t>
            </w:r>
          </w:p>
        </w:tc>
      </w:tr>
      <w:tr>
        <w:trPr>
          <w:cantSplit/>
        </w:trPr>
        <w:tc>
          <w:tcPr>
            <w:tcW w:type="dxa" w:w="2045"/>
            <w:tcMar>
              <w:top w:w="80" w:type="dxa"/>
              <w:left w:w="80" w:type="dxa"/>
              <w:bottom w:w="80" w:type="dxa"/>
              <w:right w:w="80" w:type="dxa"/>
            </w:tcMar>
          </w:tcPr>
          <w:p>
            <w:pPr>
              <w:spacing w:after="80" w:before="60" w:line="240" w:lineRule="auto"/>
            </w:pPr>
            <w:r>
              <w:rPr>
                <w:sz w:val="19"/>
              </w:rPr>
              <w:t>Release artifact</w:t>
            </w:r>
          </w:p>
        </w:tc>
        <w:tc>
          <w:tcPr>
            <w:tcW w:type="dxa" w:w="7574"/>
            <w:tcMar>
              <w:top w:w="80" w:type="dxa"/>
              <w:left w:w="80" w:type="dxa"/>
              <w:bottom w:w="80" w:type="dxa"/>
              <w:right w:w="80" w:type="dxa"/>
            </w:tcMar>
          </w:tcPr>
          <w:p>
            <w:pPr>
              <w:spacing w:after="80" w:before="60" w:line="240" w:lineRule="auto"/>
            </w:pPr>
            <w:r>
              <w:rPr>
                <w:sz w:val="19"/>
              </w:rPr>
              <w:t>Versioned source, dependency lock, configuration files, data dictionary, run manifest, raw logs, tests, and a single analysis entry point. No hand-edited “final” result tables.</w:t>
            </w:r>
          </w:p>
        </w:tc>
      </w:tr>
    </w:tbl>
    <w:p>
      <w:pPr>
        <w:spacing w:after="0"/>
      </w:pPr>
    </w:p>
    <w:p>
      <w:pPr>
        <w:pStyle w:val="Heading2"/>
      </w:pPr>
      <w:r>
        <w:t>Minimum test suite</w:t>
      </w:r>
    </w:p>
    <w:p>
      <w:r>
        <w:t>Include zero-learning, zero-feedback, zero-participation, and known-boundary tests; a unit-scale change; a no-shock run; a depth-withdrawal scenario; an asynchronous-update scenario; and a run where agents’ responses cancel. Re-run these before every confirmatory batch.</w:t>
      </w:r>
    </w:p>
    <w:p>
      <w:pPr>
        <w:pStyle w:val="Heading2"/>
      </w:pPr>
      <w:r>
        <w:t>Baselines cannot be cosmetic</w:t>
      </w:r>
    </w:p>
    <w:p>
      <w:r>
        <w:t>Pair each adaptive agent with the same checkpoint and architecture under disabled adaptation. Add adaptive expectation rules, fixed rules, ordinary balance-sheet feedback, and a price-impact-disabled diagnostic. Match capital, information, permissions, risk limits, and timing wherever feasible. Do not label synthetic “human-like” agents as actual human evidence.</w:t>
      </w:r>
    </w:p>
    <w:p>
      <w:r>
        <w:rPr>
          <w:b/>
        </w:rPr>
        <w:t>Gate D passes</w:t>
      </w:r>
      <w:r>
        <w:t xml:space="preserve"> when accounting and mechanism tests pass, calibrated features are documented, and an independent reviewer can recreate one complete episode and explain every cash and inventory change.</w:t>
      </w:r>
    </w:p>
    <w:p>
      <w:r>
        <w:br w:type="page"/>
      </w:r>
    </w:p>
    <w:p>
      <w:pPr>
        <w:spacing w:after="60"/>
      </w:pPr>
      <w:r>
        <w:rPr>
          <w:b/>
          <w:color w:val="486B7C"/>
          <w:sz w:val="18"/>
        </w:rPr>
        <w:t>GATE E • HYPOTHESES, BASELINES, AND STATISTICS</w:t>
      </w:r>
    </w:p>
    <w:p>
      <w:pPr>
        <w:pStyle w:val="Heading1"/>
      </w:pPr>
      <w:r>
        <w:t>5. Produce confirmatory experimental evidence</w:t>
      </w:r>
    </w:p>
    <w:p>
      <w:r>
        <w:t>The draft specifies H1–H5: incremental prediction, response-based explanation of architecture effects, reinforcing alignment, intervention trade-offs, and transfer. Register the primary hypothesis and endpoint before looking at confirmatory outcomes.</w:t>
      </w:r>
    </w:p>
    <w:tbl>
      <w:tblPr>
        <w:tblW w:type="auto" w:w="0"/>
        <w:tblLayout w:type="fixed"/>
        <w:tblLook w:firstColumn="1" w:firstRow="1" w:lastColumn="0" w:lastRow="0" w:noHBand="0" w:noVBand="1" w:val="04A0"/>
        <w:tblLook w:firstRow="1" w:noVBand="1"/>
      </w:tblPr>
      <w:tblGrid>
        <w:gridCol w:w="2131"/>
        <w:gridCol w:w="7488"/>
      </w:tblGrid>
      <w:tr>
        <w:trPr>
          <w:tblHeader/>
        </w:trPr>
        <w:tc>
          <w:tcPr>
            <w:tcW w:type="dxa" w:w="2131"/>
            <w:shd w:fill="17324D"/>
            <w:tcMar>
              <w:top w:w="80" w:type="dxa"/>
              <w:left w:w="80" w:type="dxa"/>
              <w:bottom w:w="80" w:type="dxa"/>
              <w:right w:w="80" w:type="dxa"/>
            </w:tcMar>
          </w:tcPr>
          <w:p>
            <w:r>
              <w:rPr>
                <w:b/>
                <w:color w:val="FFFFFF"/>
                <w:sz w:val="19"/>
              </w:rPr>
              <w:t>Stage</w:t>
            </w:r>
          </w:p>
        </w:tc>
        <w:tc>
          <w:tcPr>
            <w:tcW w:type="dxa" w:w="7488"/>
            <w:shd w:fill="17324D"/>
            <w:tcMar>
              <w:top w:w="80" w:type="dxa"/>
              <w:left w:w="80" w:type="dxa"/>
              <w:bottom w:w="80" w:type="dxa"/>
              <w:right w:w="80" w:type="dxa"/>
            </w:tcMar>
          </w:tcPr>
          <w:p>
            <w:r>
              <w:rPr>
                <w:b/>
                <w:color w:val="FFFFFF"/>
                <w:sz w:val="19"/>
              </w:rPr>
              <w:t>Proposed design and limits</w:t>
            </w:r>
          </w:p>
        </w:tc>
      </w:tr>
      <w:tr>
        <w:trPr>
          <w:cantSplit/>
        </w:trPr>
        <w:tc>
          <w:tcPr>
            <w:tcW w:type="dxa" w:w="2131"/>
            <w:shd w:fill="F0F4F7"/>
            <w:tcMar>
              <w:top w:w="80" w:type="dxa"/>
              <w:left w:w="80" w:type="dxa"/>
              <w:bottom w:w="80" w:type="dxa"/>
              <w:right w:w="80" w:type="dxa"/>
            </w:tcMar>
          </w:tcPr>
          <w:p>
            <w:pPr>
              <w:spacing w:after="80" w:before="60" w:line="240" w:lineRule="auto"/>
            </w:pPr>
            <w:r>
              <w:rPr>
                <w:sz w:val="19"/>
              </w:rPr>
              <w:t>Mechanism pilot</w:t>
            </w:r>
          </w:p>
        </w:tc>
        <w:tc>
          <w:tcPr>
            <w:tcW w:type="dxa" w:w="7488"/>
            <w:shd w:fill="F0F4F7"/>
            <w:tcMar>
              <w:top w:w="80" w:type="dxa"/>
              <w:left w:w="80" w:type="dxa"/>
              <w:bottom w:w="80" w:type="dxa"/>
              <w:right w:w="80" w:type="dxa"/>
            </w:tcMar>
          </w:tcPr>
          <w:p>
            <w:pPr>
              <w:spacing w:after="80" w:before="60" w:line="240" w:lineRule="auto"/>
            </w:pPr>
            <w:r>
              <w:rPr>
                <w:sz w:val="19"/>
              </w:rPr>
              <w:t>An illustrative starting grid is 3 participation levels × 3 response-sharing conditions × 3 update schedules × 2 depth regimes = 54 cells. Ten independent seeds give 540 trajectories per paired policy condition. These are planning counts, not a power calculation.</w:t>
            </w:r>
          </w:p>
        </w:tc>
      </w:tr>
      <w:tr>
        <w:trPr>
          <w:cantSplit/>
        </w:trPr>
        <w:tc>
          <w:tcPr>
            <w:tcW w:type="dxa" w:w="2131"/>
            <w:tcMar>
              <w:top w:w="80" w:type="dxa"/>
              <w:left w:w="80" w:type="dxa"/>
              <w:bottom w:w="80" w:type="dxa"/>
              <w:right w:w="80" w:type="dxa"/>
            </w:tcMar>
          </w:tcPr>
          <w:p>
            <w:pPr>
              <w:spacing w:after="80" w:before="60" w:line="240" w:lineRule="auto"/>
            </w:pPr>
            <w:r>
              <w:rPr>
                <w:sz w:val="19"/>
              </w:rPr>
              <w:t>Confirmatory study</w:t>
            </w:r>
          </w:p>
        </w:tc>
        <w:tc>
          <w:tcPr>
            <w:tcW w:type="dxa" w:w="7488"/>
            <w:tcMar>
              <w:top w:w="80" w:type="dxa"/>
              <w:left w:w="80" w:type="dxa"/>
              <w:bottom w:w="80" w:type="dxa"/>
              <w:right w:w="80" w:type="dxa"/>
            </w:tcMar>
          </w:tcPr>
          <w:p>
            <w:pPr>
              <w:spacing w:after="80" w:before="60" w:line="240" w:lineRule="auto"/>
            </w:pPr>
            <w:r>
              <w:rPr>
                <w:sz w:val="19"/>
              </w:rPr>
              <w:t>Choose sample size from pilot variance, dependence, a smallest meaningful financial effect, and a predeclared uncertainty target. Use fresh seeds and shock paths. Restrict dimensions to those needed to separate mechanisms.</w:t>
            </w:r>
          </w:p>
        </w:tc>
      </w:tr>
      <w:tr>
        <w:trPr>
          <w:cantSplit/>
        </w:trPr>
        <w:tc>
          <w:tcPr>
            <w:tcW w:type="dxa" w:w="2131"/>
            <w:shd w:fill="F0F4F7"/>
            <w:tcMar>
              <w:top w:w="80" w:type="dxa"/>
              <w:left w:w="80" w:type="dxa"/>
              <w:bottom w:w="80" w:type="dxa"/>
              <w:right w:w="80" w:type="dxa"/>
            </w:tcMar>
          </w:tcPr>
          <w:p>
            <w:pPr>
              <w:spacing w:after="80" w:before="60" w:line="240" w:lineRule="auto"/>
            </w:pPr>
            <w:r>
              <w:rPr>
                <w:sz w:val="19"/>
              </w:rPr>
              <w:t>Architecture transfer</w:t>
            </w:r>
          </w:p>
        </w:tc>
        <w:tc>
          <w:tcPr>
            <w:tcW w:type="dxa" w:w="7488"/>
            <w:shd w:fill="F0F4F7"/>
            <w:tcMar>
              <w:top w:w="80" w:type="dxa"/>
              <w:left w:w="80" w:type="dxa"/>
              <w:bottom w:w="80" w:type="dxa"/>
              <w:right w:w="80" w:type="dxa"/>
            </w:tcMar>
          </w:tcPr>
          <w:p>
            <w:pPr>
              <w:spacing w:after="80" w:before="60" w:line="240" w:lineRule="auto"/>
            </w:pPr>
            <w:r>
              <w:rPr>
                <w:sz w:val="19"/>
              </w:rPr>
              <w:t>Hold out at least one materially different agent family from metric construction and tuning. Freeze the measurement procedure before evaluating it.</w:t>
            </w:r>
          </w:p>
        </w:tc>
      </w:tr>
      <w:tr>
        <w:trPr>
          <w:cantSplit/>
        </w:trPr>
        <w:tc>
          <w:tcPr>
            <w:tcW w:type="dxa" w:w="2131"/>
            <w:tcMar>
              <w:top w:w="80" w:type="dxa"/>
              <w:left w:w="80" w:type="dxa"/>
              <w:bottom w:w="80" w:type="dxa"/>
              <w:right w:w="80" w:type="dxa"/>
            </w:tcMar>
          </w:tcPr>
          <w:p>
            <w:pPr>
              <w:spacing w:after="80" w:before="60" w:line="240" w:lineRule="auto"/>
            </w:pPr>
            <w:r>
              <w:rPr>
                <w:sz w:val="19"/>
              </w:rPr>
              <w:t>Independent implementation</w:t>
            </w:r>
          </w:p>
        </w:tc>
        <w:tc>
          <w:tcPr>
            <w:tcW w:type="dxa" w:w="7488"/>
            <w:tcMar>
              <w:top w:w="80" w:type="dxa"/>
              <w:left w:w="80" w:type="dxa"/>
              <w:bottom w:w="80" w:type="dxa"/>
              <w:right w:w="80" w:type="dxa"/>
            </w:tcMar>
          </w:tcPr>
          <w:p>
            <w:pPr>
              <w:spacing w:after="80" w:before="60" w:line="240" w:lineRule="auto"/>
            </w:pPr>
            <w:r>
              <w:rPr>
                <w:sz w:val="19"/>
              </w:rPr>
              <w:t>Repeat the key mechanism in another simulator or independently written implementation. Record which results transfer without unrestricted refitting.</w:t>
            </w:r>
          </w:p>
        </w:tc>
      </w:tr>
      <w:tr>
        <w:trPr>
          <w:cantSplit/>
        </w:trPr>
        <w:tc>
          <w:tcPr>
            <w:tcW w:type="dxa" w:w="2131"/>
            <w:shd w:fill="F0F4F7"/>
            <w:tcMar>
              <w:top w:w="80" w:type="dxa"/>
              <w:left w:w="80" w:type="dxa"/>
              <w:bottom w:w="80" w:type="dxa"/>
              <w:right w:w="80" w:type="dxa"/>
            </w:tcMar>
          </w:tcPr>
          <w:p>
            <w:pPr>
              <w:spacing w:after="80" w:before="60" w:line="240" w:lineRule="auto"/>
            </w:pPr>
            <w:r>
              <w:rPr>
                <w:sz w:val="19"/>
              </w:rPr>
              <w:t>Failure analysis</w:t>
            </w:r>
          </w:p>
        </w:tc>
        <w:tc>
          <w:tcPr>
            <w:tcW w:type="dxa" w:w="7488"/>
            <w:shd w:fill="F0F4F7"/>
            <w:tcMar>
              <w:top w:w="80" w:type="dxa"/>
              <w:left w:w="80" w:type="dxa"/>
              <w:bottom w:w="80" w:type="dxa"/>
              <w:right w:w="80" w:type="dxa"/>
            </w:tcMar>
          </w:tcPr>
          <w:p>
            <w:pPr>
              <w:spacing w:after="80" w:before="60" w:line="240" w:lineRule="auto"/>
            </w:pPr>
            <w:r>
              <w:rPr>
                <w:sz w:val="19"/>
              </w:rPr>
              <w:t>Publish null, reversed, unstable, and indeterminate conditions. Test a non-AI explanation with the same capital, speed, and liquidity conditions.</w:t>
            </w:r>
          </w:p>
        </w:tc>
      </w:tr>
    </w:tbl>
    <w:p>
      <w:pPr>
        <w:spacing w:after="0"/>
      </w:pPr>
    </w:p>
    <w:p>
      <w:pPr>
        <w:pStyle w:val="Heading2"/>
      </w:pPr>
      <w:r>
        <w:t>Analysis requirements</w:t>
      </w:r>
    </w:p>
    <w:p>
      <w:r>
        <w:t>The independent unit is a market episode or another justified cluster—not every tick and not every agent in one shared market. Report effect sizes and uncertainty, correct the declared multiple-testing family, and keep paired shock paths paired in the analysis.</w:t>
      </w:r>
    </w:p>
    <w:p>
      <w:r>
        <w:t>Compare the new diagnostic with volatility, depth, spreads, leverage, order-flow imbalance, simple autoregressive indicators, and existing feedback-oriented alternatives found in Gate A. Evaluate added prediction on held-out regimes rather than only within-sample fit.</w:t>
      </w:r>
    </w:p>
    <w:p>
      <w:pPr>
        <w:pStyle w:val="Heading2"/>
      </w:pPr>
      <w:r>
        <w:t>For any early-warning claim</w:t>
      </w:r>
    </w:p>
    <w:p>
      <w:r>
        <w:t>Define the event and forecast horizon in advance. Report lead time, false-alarm rate, missed events, calibration, and economic consequences. A high classification score without actionable lead time is not evidence that instability can be prevented.</w:t>
      </w:r>
    </w:p>
    <w:p>
      <w:r>
        <w:rPr>
          <w:b/>
        </w:rPr>
        <w:t>Gate E passes</w:t>
      </w:r>
      <w:r>
        <w:t xml:space="preserve"> when the central mechanism is supported or falsified by a reproducible design, uncertainty is reported correctly, and the result does not depend on selecting favorable seeds or regimes.</w:t>
      </w:r>
    </w:p>
    <w:p>
      <w:r>
        <w:br w:type="page"/>
      </w:r>
    </w:p>
    <w:p>
      <w:pPr>
        <w:spacing w:after="60"/>
      </w:pPr>
      <w:r>
        <w:rPr>
          <w:b/>
          <w:color w:val="486B7C"/>
          <w:sz w:val="18"/>
        </w:rPr>
        <w:t>GATE F • REAL OBSERVATIONS WITHOUT INVENTED ACCESS</w:t>
      </w:r>
    </w:p>
    <w:p>
      <w:pPr>
        <w:pStyle w:val="Heading1"/>
      </w:pPr>
      <w:r>
        <w:t>6. Establish external and causal validity</w:t>
      </w:r>
    </w:p>
    <w:p>
      <w:r>
        <w:t>No institutional partnership, proprietary dataset, or ethics approval is claimed in the current paper. Real-world validation is a separate workstream. Public prices can calibrate market behavior but cannot automatically identify autonomous decision authority or hidden adaptation. [9]</w:t>
      </w:r>
    </w:p>
    <w:tbl>
      <w:tblPr>
        <w:tblW w:type="auto" w:w="0"/>
        <w:tblLayout w:type="fixed"/>
        <w:tblLook w:firstColumn="1" w:firstRow="1" w:lastColumn="0" w:lastRow="0" w:noHBand="0" w:noVBand="1" w:val="04A0"/>
        <w:tblLook w:firstRow="1" w:noVBand="1"/>
      </w:tblPr>
      <w:tblGrid>
        <w:gridCol w:w="2203"/>
        <w:gridCol w:w="7416"/>
      </w:tblGrid>
      <w:tr>
        <w:trPr>
          <w:tblHeader/>
        </w:trPr>
        <w:tc>
          <w:tcPr>
            <w:tcW w:type="dxa" w:w="2203"/>
            <w:shd w:fill="17324D"/>
            <w:tcMar>
              <w:top w:w="80" w:type="dxa"/>
              <w:left w:w="80" w:type="dxa"/>
              <w:bottom w:w="80" w:type="dxa"/>
              <w:right w:w="80" w:type="dxa"/>
            </w:tcMar>
          </w:tcPr>
          <w:p>
            <w:r>
              <w:rPr>
                <w:b/>
                <w:color w:val="FFFFFF"/>
                <w:sz w:val="19"/>
              </w:rPr>
              <w:t>Task</w:t>
            </w:r>
          </w:p>
        </w:tc>
        <w:tc>
          <w:tcPr>
            <w:tcW w:type="dxa" w:w="7416"/>
            <w:shd w:fill="17324D"/>
            <w:tcMar>
              <w:top w:w="80" w:type="dxa"/>
              <w:left w:w="80" w:type="dxa"/>
              <w:bottom w:w="80" w:type="dxa"/>
              <w:right w:w="80" w:type="dxa"/>
            </w:tcMar>
          </w:tcPr>
          <w:p>
            <w:r>
              <w:rPr>
                <w:b/>
                <w:color w:val="FFFFFF"/>
                <w:sz w:val="19"/>
              </w:rPr>
              <w:t>Deliverable</w:t>
            </w:r>
          </w:p>
        </w:tc>
      </w:tr>
      <w:tr>
        <w:trPr>
          <w:cantSplit/>
        </w:trPr>
        <w:tc>
          <w:tcPr>
            <w:tcW w:type="dxa" w:w="2203"/>
            <w:shd w:fill="F0F4F7"/>
            <w:tcMar>
              <w:top w:w="80" w:type="dxa"/>
              <w:left w:w="80" w:type="dxa"/>
              <w:bottom w:w="80" w:type="dxa"/>
              <w:right w:w="80" w:type="dxa"/>
            </w:tcMar>
          </w:tcPr>
          <w:p>
            <w:pPr>
              <w:spacing w:after="80" w:before="60" w:line="240" w:lineRule="auto"/>
            </w:pPr>
            <w:r>
              <w:rPr>
                <w:sz w:val="19"/>
              </w:rPr>
              <w:t>F1 • Data feasibility</w:t>
            </w:r>
          </w:p>
        </w:tc>
        <w:tc>
          <w:tcPr>
            <w:tcW w:type="dxa" w:w="7416"/>
            <w:shd w:fill="F0F4F7"/>
            <w:tcMar>
              <w:top w:w="80" w:type="dxa"/>
              <w:left w:w="80" w:type="dxa"/>
              <w:bottom w:w="80" w:type="dxa"/>
              <w:right w:w="80" w:type="dxa"/>
            </w:tcMar>
          </w:tcPr>
          <w:p>
            <w:pPr>
              <w:spacing w:after="80" w:before="60" w:line="240" w:lineRule="auto"/>
            </w:pPr>
            <w:r>
              <w:rPr>
                <w:sz w:val="19"/>
              </w:rPr>
              <w:t>A data dictionary and access plan identifying which decision, policy-version, exposure, timing, and outcome fields exist. Record legal basis, permission, retention limits, and publication constraints.</w:t>
            </w:r>
          </w:p>
        </w:tc>
      </w:tr>
      <w:tr>
        <w:trPr>
          <w:cantSplit/>
        </w:trPr>
        <w:tc>
          <w:tcPr>
            <w:tcW w:type="dxa" w:w="2203"/>
            <w:tcMar>
              <w:top w:w="80" w:type="dxa"/>
              <w:left w:w="80" w:type="dxa"/>
              <w:bottom w:w="80" w:type="dxa"/>
              <w:right w:w="80" w:type="dxa"/>
            </w:tcMar>
          </w:tcPr>
          <w:p>
            <w:pPr>
              <w:spacing w:after="80" w:before="60" w:line="240" w:lineRule="auto"/>
            </w:pPr>
            <w:r>
              <w:rPr>
                <w:sz w:val="19"/>
              </w:rPr>
              <w:t>F2 • Partner or laboratory path</w:t>
            </w:r>
          </w:p>
        </w:tc>
        <w:tc>
          <w:tcPr>
            <w:tcW w:type="dxa" w:w="7416"/>
            <w:tcMar>
              <w:top w:w="80" w:type="dxa"/>
              <w:left w:w="80" w:type="dxa"/>
              <w:bottom w:w="80" w:type="dxa"/>
              <w:right w:w="80" w:type="dxa"/>
            </w:tcMar>
          </w:tcPr>
          <w:p>
            <w:pPr>
              <w:spacing w:after="80" w:before="60" w:line="240" w:lineRule="auto"/>
            </w:pPr>
            <w:r>
              <w:rPr>
                <w:sz w:val="19"/>
              </w:rPr>
              <w:t>A documented discussion with an appropriate research institution, exchange, or financial firm; alternatively, an approved laboratory design. A plan to contact someone is not a partnership.</w:t>
            </w:r>
          </w:p>
        </w:tc>
      </w:tr>
      <w:tr>
        <w:trPr>
          <w:cantSplit/>
        </w:trPr>
        <w:tc>
          <w:tcPr>
            <w:tcW w:type="dxa" w:w="2203"/>
            <w:shd w:fill="F0F4F7"/>
            <w:tcMar>
              <w:top w:w="80" w:type="dxa"/>
              <w:left w:w="80" w:type="dxa"/>
              <w:bottom w:w="80" w:type="dxa"/>
              <w:right w:w="80" w:type="dxa"/>
            </w:tcMar>
          </w:tcPr>
          <w:p>
            <w:pPr>
              <w:spacing w:after="80" w:before="60" w:line="240" w:lineRule="auto"/>
            </w:pPr>
            <w:r>
              <w:rPr>
                <w:sz w:val="19"/>
              </w:rPr>
              <w:t>F3 • Identification argument</w:t>
            </w:r>
          </w:p>
        </w:tc>
        <w:tc>
          <w:tcPr>
            <w:tcW w:type="dxa" w:w="7416"/>
            <w:shd w:fill="F0F4F7"/>
            <w:tcMar>
              <w:top w:w="80" w:type="dxa"/>
              <w:left w:w="80" w:type="dxa"/>
              <w:bottom w:w="80" w:type="dxa"/>
              <w:right w:w="80" w:type="dxa"/>
            </w:tcMar>
          </w:tcPr>
          <w:p>
            <w:pPr>
              <w:spacing w:after="80" w:before="60" w:line="240" w:lineRule="auto"/>
            </w:pPr>
            <w:r>
              <w:rPr>
                <w:sz w:val="19"/>
              </w:rPr>
              <w:t>Explain the assignment or variation that identifies the effect: an authorized randomized change, a justified staggered rollout, or another defensible design. Analyze anticipation, spillovers, selection, and concurrent shocks.</w:t>
            </w:r>
          </w:p>
        </w:tc>
      </w:tr>
      <w:tr>
        <w:trPr>
          <w:cantSplit/>
        </w:trPr>
        <w:tc>
          <w:tcPr>
            <w:tcW w:type="dxa" w:w="2203"/>
            <w:tcMar>
              <w:top w:w="80" w:type="dxa"/>
              <w:left w:w="80" w:type="dxa"/>
              <w:bottom w:w="80" w:type="dxa"/>
              <w:right w:w="80" w:type="dxa"/>
            </w:tcMar>
          </w:tcPr>
          <w:p>
            <w:pPr>
              <w:spacing w:after="80" w:before="60" w:line="240" w:lineRule="auto"/>
            </w:pPr>
            <w:r>
              <w:rPr>
                <w:sz w:val="19"/>
              </w:rPr>
              <w:t>F4 • Measurement validation</w:t>
            </w:r>
          </w:p>
        </w:tc>
        <w:tc>
          <w:tcPr>
            <w:tcW w:type="dxa" w:w="7416"/>
            <w:tcMar>
              <w:top w:w="80" w:type="dxa"/>
              <w:left w:w="80" w:type="dxa"/>
              <w:bottom w:w="80" w:type="dxa"/>
              <w:right w:w="80" w:type="dxa"/>
            </w:tcMar>
          </w:tcPr>
          <w:p>
            <w:pPr>
              <w:spacing w:after="80" w:before="60" w:line="240" w:lineRule="auto"/>
            </w:pPr>
            <w:r>
              <w:rPr>
                <w:sz w:val="19"/>
              </w:rPr>
              <w:t>Compare the proposed response measure against controlled internal replay, paper trading, or authorized perturbations. Test whether architecture labels track actual behavior.</w:t>
            </w:r>
          </w:p>
        </w:tc>
      </w:tr>
      <w:tr>
        <w:trPr>
          <w:cantSplit/>
        </w:trPr>
        <w:tc>
          <w:tcPr>
            <w:tcW w:type="dxa" w:w="2203"/>
            <w:shd w:fill="F0F4F7"/>
            <w:tcMar>
              <w:top w:w="80" w:type="dxa"/>
              <w:left w:w="80" w:type="dxa"/>
              <w:bottom w:w="80" w:type="dxa"/>
              <w:right w:w="80" w:type="dxa"/>
            </w:tcMar>
          </w:tcPr>
          <w:p>
            <w:pPr>
              <w:spacing w:after="80" w:before="60" w:line="240" w:lineRule="auto"/>
            </w:pPr>
            <w:r>
              <w:rPr>
                <w:sz w:val="19"/>
              </w:rPr>
              <w:t>F5 • Prospective test</w:t>
            </w:r>
          </w:p>
        </w:tc>
        <w:tc>
          <w:tcPr>
            <w:tcW w:type="dxa" w:w="7416"/>
            <w:shd w:fill="F0F4F7"/>
            <w:tcMar>
              <w:top w:w="80" w:type="dxa"/>
              <w:left w:w="80" w:type="dxa"/>
              <w:bottom w:w="80" w:type="dxa"/>
              <w:right w:w="80" w:type="dxa"/>
            </w:tcMar>
          </w:tcPr>
          <w:p>
            <w:pPr>
              <w:spacing w:after="80" w:before="60" w:line="240" w:lineRule="auto"/>
            </w:pPr>
            <w:r>
              <w:rPr>
                <w:sz w:val="19"/>
              </w:rPr>
              <w:t>Timestamp alerts or predictions before outcomes occur; freeze scoring and thresholds. Use shadow evaluation before considering live intervention.</w:t>
            </w:r>
          </w:p>
        </w:tc>
      </w:tr>
      <w:tr>
        <w:trPr>
          <w:cantSplit/>
        </w:trPr>
        <w:tc>
          <w:tcPr>
            <w:tcW w:type="dxa" w:w="2203"/>
            <w:tcMar>
              <w:top w:w="80" w:type="dxa"/>
              <w:left w:w="80" w:type="dxa"/>
              <w:bottom w:w="80" w:type="dxa"/>
              <w:right w:w="80" w:type="dxa"/>
            </w:tcMar>
          </w:tcPr>
          <w:p>
            <w:pPr>
              <w:spacing w:after="80" w:before="60" w:line="240" w:lineRule="auto"/>
            </w:pPr>
            <w:r>
              <w:rPr>
                <w:sz w:val="19"/>
              </w:rPr>
              <w:t>F6 • Scope statement</w:t>
            </w:r>
          </w:p>
        </w:tc>
        <w:tc>
          <w:tcPr>
            <w:tcW w:type="dxa" w:w="7416"/>
            <w:tcMar>
              <w:top w:w="80" w:type="dxa"/>
              <w:left w:w="80" w:type="dxa"/>
              <w:bottom w:w="80" w:type="dxa"/>
              <w:right w:w="80" w:type="dxa"/>
            </w:tcMar>
          </w:tcPr>
          <w:p>
            <w:pPr>
              <w:spacing w:after="80" w:before="60" w:line="240" w:lineRule="auto"/>
            </w:pPr>
            <w:r>
              <w:rPr>
                <w:sz w:val="19"/>
              </w:rPr>
              <w:t>When the required data are unavailable, retain a theoretical or simulation claim and explicitly delimit real-world applicability.</w:t>
            </w:r>
          </w:p>
        </w:tc>
      </w:tr>
    </w:tbl>
    <w:p>
      <w:pPr>
        <w:spacing w:after="0"/>
      </w:pPr>
    </w:p>
    <w:p>
      <w:pPr>
        <w:pStyle w:val="Heading2"/>
      </w:pPr>
      <w:r>
        <w:t>A warning about natural experiments</w:t>
      </w:r>
    </w:p>
    <w:p>
      <w:r>
        <w:t>An outage or model update is not automatically exogenous. Firms exposed to it may differ in strategy, size, liquidity provision, or customer base. A difference-in-differences regression does not repair a weak comparison group. The identification assumptions need an economic argument and diagnostic tests.</w:t>
      </w:r>
    </w:p>
    <w:p>
      <w:pPr>
        <w:pStyle w:val="Heading2"/>
      </w:pPr>
      <w:r>
        <w:t>A realistic first empirical result</w:t>
      </w:r>
    </w:p>
    <w:p>
      <w:r>
        <w:t>It may be more valuable initially to show that an autonomy or response measure can be audited and estimated reliably than to claim prediction of a crisis. A smaller measurement contribution with strong evidence can support the later global research program.</w:t>
      </w:r>
    </w:p>
    <w:p>
      <w:r>
        <w:rPr>
          <w:b/>
        </w:rPr>
        <w:t>Gate F passes</w:t>
      </w:r>
      <w:r>
        <w:t xml:space="preserve"> when the real-world conclusion is supported by an appropriate identification design or the paper explicitly remains simulation-only. Do not bridge a data gap with confident prose.</w:t>
      </w:r>
    </w:p>
    <w:p>
      <w:r>
        <w:br w:type="page"/>
      </w:r>
    </w:p>
    <w:p>
      <w:pPr>
        <w:spacing w:after="60"/>
      </w:pPr>
      <w:r>
        <w:rPr>
          <w:b/>
          <w:color w:val="486B7C"/>
          <w:sz w:val="18"/>
        </w:rPr>
        <w:t>GATE G • BENEFITS, COSTS, AND FAILURE REGIONS</w:t>
      </w:r>
    </w:p>
    <w:p>
      <w:pPr>
        <w:pStyle w:val="Heading1"/>
      </w:pPr>
      <w:r>
        <w:t>7. Test interventions and cross-domain transfer</w:t>
      </w:r>
    </w:p>
    <w:p>
      <w:r>
        <w:t>A local model that labels a system stable is not yet an intervention strategy. The draft’s common-norm condition is sufficient only within its assumptions and uncertainty coverage. The chosen action can itself change the market, especially its liquidity. [7]</w:t>
      </w:r>
    </w:p>
    <w:tbl>
      <w:tblPr>
        <w:tblW w:type="auto" w:w="0"/>
        <w:tblLayout w:type="fixed"/>
        <w:tblLook w:firstColumn="1" w:firstRow="1" w:lastColumn="0" w:lastRow="0" w:noHBand="0" w:noVBand="1" w:val="04A0"/>
        <w:tblLook w:firstRow="1" w:noVBand="1"/>
      </w:tblPr>
      <w:tblGrid>
        <w:gridCol w:w="2419"/>
        <w:gridCol w:w="7200"/>
      </w:tblGrid>
      <w:tr>
        <w:trPr>
          <w:tblHeader/>
        </w:trPr>
        <w:tc>
          <w:tcPr>
            <w:tcW w:type="dxa" w:w="2419"/>
            <w:shd w:fill="17324D"/>
            <w:tcMar>
              <w:top w:w="80" w:type="dxa"/>
              <w:left w:w="80" w:type="dxa"/>
              <w:bottom w:w="80" w:type="dxa"/>
              <w:right w:w="80" w:type="dxa"/>
            </w:tcMar>
          </w:tcPr>
          <w:p>
            <w:r>
              <w:rPr>
                <w:b/>
                <w:color w:val="FFFFFF"/>
                <w:sz w:val="19"/>
              </w:rPr>
              <w:t>Comparison</w:t>
            </w:r>
          </w:p>
        </w:tc>
        <w:tc>
          <w:tcPr>
            <w:tcW w:type="dxa" w:w="7200"/>
            <w:shd w:fill="17324D"/>
            <w:tcMar>
              <w:top w:w="80" w:type="dxa"/>
              <w:left w:w="80" w:type="dxa"/>
              <w:bottom w:w="80" w:type="dxa"/>
              <w:right w:w="80" w:type="dxa"/>
            </w:tcMar>
          </w:tcPr>
          <w:p>
            <w:r>
              <w:rPr>
                <w:b/>
                <w:color w:val="FFFFFF"/>
                <w:sz w:val="19"/>
              </w:rPr>
              <w:t>Evidence required</w:t>
            </w:r>
          </w:p>
        </w:tc>
      </w:tr>
      <w:tr>
        <w:trPr>
          <w:cantSplit/>
        </w:trPr>
        <w:tc>
          <w:tcPr>
            <w:tcW w:type="dxa" w:w="2419"/>
            <w:shd w:fill="F0F4F7"/>
            <w:tcMar>
              <w:top w:w="80" w:type="dxa"/>
              <w:left w:w="80" w:type="dxa"/>
              <w:bottom w:w="80" w:type="dxa"/>
              <w:right w:w="80" w:type="dxa"/>
            </w:tcMar>
          </w:tcPr>
          <w:p>
            <w:pPr>
              <w:spacing w:after="80" w:before="60" w:line="240" w:lineRule="auto"/>
            </w:pPr>
            <w:r>
              <w:rPr>
                <w:sz w:val="19"/>
              </w:rPr>
              <w:t>Adaptive vs frozen learning</w:t>
            </w:r>
          </w:p>
        </w:tc>
        <w:tc>
          <w:tcPr>
            <w:tcW w:type="dxa" w:w="7200"/>
            <w:shd w:fill="F0F4F7"/>
            <w:tcMar>
              <w:top w:w="80" w:type="dxa"/>
              <w:left w:w="80" w:type="dxa"/>
              <w:bottom w:w="80" w:type="dxa"/>
              <w:right w:w="80" w:type="dxa"/>
            </w:tcMar>
          </w:tcPr>
          <w:p>
            <w:pPr>
              <w:spacing w:after="80" w:before="60" w:line="240" w:lineRule="auto"/>
            </w:pPr>
            <w:r>
              <w:rPr>
                <w:sz w:val="19"/>
              </w:rPr>
              <w:t>Separate the effect of learning from the effect of executing a fixed policy. Account for existing orders and inventory.</w:t>
            </w:r>
          </w:p>
        </w:tc>
      </w:tr>
      <w:tr>
        <w:trPr>
          <w:cantSplit/>
        </w:trPr>
        <w:tc>
          <w:tcPr>
            <w:tcW w:type="dxa" w:w="2419"/>
            <w:tcMar>
              <w:top w:w="80" w:type="dxa"/>
              <w:left w:w="80" w:type="dxa"/>
              <w:bottom w:w="80" w:type="dxa"/>
              <w:right w:w="80" w:type="dxa"/>
            </w:tcMar>
          </w:tcPr>
          <w:p>
            <w:pPr>
              <w:spacing w:after="80" w:before="60" w:line="240" w:lineRule="auto"/>
            </w:pPr>
            <w:r>
              <w:rPr>
                <w:sz w:val="19"/>
              </w:rPr>
              <w:t>Action throttling vs abstention</w:t>
            </w:r>
          </w:p>
        </w:tc>
        <w:tc>
          <w:tcPr>
            <w:tcW w:type="dxa" w:w="7200"/>
            <w:tcMar>
              <w:top w:w="80" w:type="dxa"/>
              <w:left w:w="80" w:type="dxa"/>
              <w:bottom w:w="80" w:type="dxa"/>
              <w:right w:w="80" w:type="dxa"/>
            </w:tcMar>
          </w:tcPr>
          <w:p>
            <w:pPr>
              <w:spacing w:after="80" w:before="60" w:line="240" w:lineRule="auto"/>
            </w:pPr>
            <w:r>
              <w:rPr>
                <w:sz w:val="19"/>
              </w:rPr>
              <w:t>Report loss reduction together with spreads, depth, execution shortfall, participation, and unhedged positions. “No new trade” is not “no risk.”</w:t>
            </w:r>
          </w:p>
        </w:tc>
      </w:tr>
      <w:tr>
        <w:trPr>
          <w:cantSplit/>
        </w:trPr>
        <w:tc>
          <w:tcPr>
            <w:tcW w:type="dxa" w:w="2419"/>
            <w:shd w:fill="F0F4F7"/>
            <w:tcMar>
              <w:top w:w="80" w:type="dxa"/>
              <w:left w:w="80" w:type="dxa"/>
              <w:bottom w:w="80" w:type="dxa"/>
              <w:right w:w="80" w:type="dxa"/>
            </w:tcMar>
          </w:tcPr>
          <w:p>
            <w:pPr>
              <w:spacing w:after="80" w:before="60" w:line="240" w:lineRule="auto"/>
            </w:pPr>
            <w:r>
              <w:rPr>
                <w:sz w:val="19"/>
              </w:rPr>
              <w:t>Synchronous vs staggered updates</w:t>
            </w:r>
          </w:p>
        </w:tc>
        <w:tc>
          <w:tcPr>
            <w:tcW w:type="dxa" w:w="7200"/>
            <w:shd w:fill="F0F4F7"/>
            <w:tcMar>
              <w:top w:w="80" w:type="dxa"/>
              <w:left w:w="80" w:type="dxa"/>
              <w:bottom w:w="80" w:type="dxa"/>
              <w:right w:w="80" w:type="dxa"/>
            </w:tcMar>
          </w:tcPr>
          <w:p>
            <w:pPr>
              <w:spacing w:after="80" w:before="60" w:line="240" w:lineRule="auto"/>
            </w:pPr>
            <w:r>
              <w:rPr>
                <w:sz w:val="19"/>
              </w:rPr>
              <w:t>Test whether synchronization drives the result and whether asynchronous updating creates switching risk elsewhere.</w:t>
            </w:r>
          </w:p>
        </w:tc>
      </w:tr>
      <w:tr>
        <w:trPr>
          <w:cantSplit/>
        </w:trPr>
        <w:tc>
          <w:tcPr>
            <w:tcW w:type="dxa" w:w="2419"/>
            <w:tcMar>
              <w:top w:w="80" w:type="dxa"/>
              <w:left w:w="80" w:type="dxa"/>
              <w:bottom w:w="80" w:type="dxa"/>
              <w:right w:w="80" w:type="dxa"/>
            </w:tcMar>
          </w:tcPr>
          <w:p>
            <w:pPr>
              <w:spacing w:after="80" w:before="60" w:line="240" w:lineRule="auto"/>
            </w:pPr>
            <w:r>
              <w:rPr>
                <w:sz w:val="19"/>
              </w:rPr>
              <w:t>Human review or fixed controls</w:t>
            </w:r>
          </w:p>
        </w:tc>
        <w:tc>
          <w:tcPr>
            <w:tcW w:type="dxa" w:w="7200"/>
            <w:tcMar>
              <w:top w:w="80" w:type="dxa"/>
              <w:left w:w="80" w:type="dxa"/>
              <w:bottom w:w="80" w:type="dxa"/>
              <w:right w:w="80" w:type="dxa"/>
            </w:tcMar>
          </w:tcPr>
          <w:p>
            <w:pPr>
              <w:spacing w:after="80" w:before="60" w:line="240" w:lineRule="auto"/>
            </w:pPr>
            <w:r>
              <w:rPr>
                <w:sz w:val="19"/>
              </w:rPr>
              <w:t>Use realistic review delay and information. Do not grant the proposed gate a faster clock or richer information than every comparator.</w:t>
            </w:r>
          </w:p>
        </w:tc>
      </w:tr>
      <w:tr>
        <w:trPr>
          <w:cantSplit/>
        </w:trPr>
        <w:tc>
          <w:tcPr>
            <w:tcW w:type="dxa" w:w="2419"/>
            <w:shd w:fill="F0F4F7"/>
            <w:tcMar>
              <w:top w:w="80" w:type="dxa"/>
              <w:left w:w="80" w:type="dxa"/>
              <w:bottom w:w="80" w:type="dxa"/>
              <w:right w:w="80" w:type="dxa"/>
            </w:tcMar>
          </w:tcPr>
          <w:p>
            <w:pPr>
              <w:spacing w:after="80" w:before="60" w:line="240" w:lineRule="auto"/>
            </w:pPr>
            <w:r>
              <w:rPr>
                <w:sz w:val="19"/>
              </w:rPr>
              <w:t>Oracle benchmark</w:t>
            </w:r>
          </w:p>
        </w:tc>
        <w:tc>
          <w:tcPr>
            <w:tcW w:type="dxa" w:w="7200"/>
            <w:shd w:fill="F0F4F7"/>
            <w:tcMar>
              <w:top w:w="80" w:type="dxa"/>
              <w:left w:w="80" w:type="dxa"/>
              <w:bottom w:w="80" w:type="dxa"/>
              <w:right w:w="80" w:type="dxa"/>
            </w:tcMar>
          </w:tcPr>
          <w:p>
            <w:pPr>
              <w:spacing w:after="80" w:before="60" w:line="240" w:lineRule="auto"/>
            </w:pPr>
            <w:r>
              <w:rPr>
                <w:sz w:val="19"/>
              </w:rPr>
              <w:t>Use only as a diagnostic upper benchmark. It cannot be described as a deployable policy or a fair information-matched competitor.</w:t>
            </w:r>
          </w:p>
        </w:tc>
      </w:tr>
      <w:tr>
        <w:trPr>
          <w:cantSplit/>
        </w:trPr>
        <w:tc>
          <w:tcPr>
            <w:tcW w:type="dxa" w:w="2419"/>
            <w:tcMar>
              <w:top w:w="80" w:type="dxa"/>
              <w:left w:w="80" w:type="dxa"/>
              <w:bottom w:w="80" w:type="dxa"/>
              <w:right w:w="80" w:type="dxa"/>
            </w:tcMar>
          </w:tcPr>
          <w:p>
            <w:pPr>
              <w:spacing w:after="80" w:before="60" w:line="240" w:lineRule="auto"/>
            </w:pPr>
            <w:r>
              <w:rPr>
                <w:sz w:val="19"/>
              </w:rPr>
              <w:t>Second financial domain</w:t>
            </w:r>
          </w:p>
        </w:tc>
        <w:tc>
          <w:tcPr>
            <w:tcW w:type="dxa" w:w="7200"/>
            <w:tcMar>
              <w:top w:w="80" w:type="dxa"/>
              <w:left w:w="80" w:type="dxa"/>
              <w:bottom w:w="80" w:type="dxa"/>
              <w:right w:w="80" w:type="dxa"/>
            </w:tcMar>
          </w:tcPr>
          <w:p>
            <w:pPr>
              <w:spacing w:after="80" w:before="60" w:line="240" w:lineRule="auto"/>
            </w:pPr>
            <w:r>
              <w:rPr>
                <w:sz w:val="19"/>
              </w:rPr>
              <w:t>Choose a specific transfer setting only after the first domain is validated. Explain the mapping from states and decisions to comparable feedback quantities.</w:t>
            </w:r>
          </w:p>
        </w:tc>
      </w:tr>
    </w:tbl>
    <w:p>
      <w:pPr>
        <w:spacing w:after="0"/>
      </w:pPr>
    </w:p>
    <w:p>
      <w:pPr>
        <w:pStyle w:val="Heading2"/>
      </w:pPr>
      <w:r>
        <w:t>Required intervention output</w:t>
      </w:r>
    </w:p>
    <w:p>
      <w:r>
        <w:t>Provide a loss–liquidity–activity trade-off, not a single “safety score.” Include confidence or uncertainty, delayed response, false abstentions, and conditions where no certificate is available. Account for losses shifted to customers, counterparties, or another venue.</w:t>
      </w:r>
    </w:p>
    <w:p>
      <w:pPr>
        <w:pStyle w:val="Heading2"/>
      </w:pPr>
      <w:r>
        <w:t>The transfer question</w:t>
      </w:r>
    </w:p>
    <w:p>
      <w:r>
        <w:t>A credible general framework should specify what stays invariant across domains and what must change. For example, order-book price adjustment and a fund’s redemption incentive are not the same mechanism. Success in two environments supports transfer within those environments; it does not establish a universal law of finance.</w:t>
      </w:r>
    </w:p>
    <w:p>
      <w:pPr>
        <w:pStyle w:val="Heading2"/>
      </w:pPr>
      <w:r>
        <w:t>Stop conditions</w:t>
      </w:r>
    </w:p>
    <w:p>
      <w:r>
        <w:t>Suspend an intervention claim when its safety relies on unobserved state, an unrealistic unchanged-liquidity assumption, unlimited external funding, or an oracle threshold selected after the event. Report those cases as limits of the method.</w:t>
      </w:r>
    </w:p>
    <w:p>
      <w:r>
        <w:rPr>
          <w:b/>
        </w:rPr>
        <w:t>Gate G passes</w:t>
      </w:r>
      <w:r>
        <w:t xml:space="preserve"> when a feasible intervention has a transparent trade-off and failure envelope, and any transfer claim is supported by independent evidence rather than analogy.</w:t>
      </w:r>
    </w:p>
    <w:p>
      <w:r>
        <w:br w:type="page"/>
      </w:r>
    </w:p>
    <w:p>
      <w:pPr>
        <w:spacing w:after="60"/>
      </w:pPr>
      <w:r>
        <w:rPr>
          <w:b/>
          <w:color w:val="486B7C"/>
          <w:sz w:val="18"/>
        </w:rPr>
        <w:t>EVIDENCE-TO-SECTION COMPLETION CONTRACT</w:t>
      </w:r>
    </w:p>
    <w:p>
      <w:pPr>
        <w:pStyle w:val="Heading1"/>
      </w:pPr>
      <w:r>
        <w:t>8. What the final flagship paper must contain</w:t>
      </w:r>
    </w:p>
    <w:tbl>
      <w:tblPr>
        <w:tblW w:type="auto" w:w="0"/>
        <w:tblLayout w:type="fixed"/>
        <w:tblLook w:firstColumn="1" w:firstRow="1" w:lastColumn="0" w:lastRow="0" w:noHBand="0" w:noVBand="1" w:val="04A0"/>
        <w:tblLook w:firstRow="1" w:noVBand="1"/>
      </w:tblPr>
      <w:tblGrid>
        <w:gridCol w:w="2102"/>
        <w:gridCol w:w="7517"/>
      </w:tblGrid>
      <w:tr>
        <w:trPr>
          <w:tblHeader/>
        </w:trPr>
        <w:tc>
          <w:tcPr>
            <w:tcW w:type="dxa" w:w="2102"/>
            <w:shd w:fill="17324D"/>
            <w:tcMar>
              <w:top w:w="80" w:type="dxa"/>
              <w:left w:w="80" w:type="dxa"/>
              <w:bottom w:w="80" w:type="dxa"/>
              <w:right w:w="80" w:type="dxa"/>
            </w:tcMar>
          </w:tcPr>
          <w:p>
            <w:r>
              <w:rPr>
                <w:b/>
                <w:color w:val="FFFFFF"/>
                <w:sz w:val="19"/>
              </w:rPr>
              <w:t>Final section</w:t>
            </w:r>
          </w:p>
        </w:tc>
        <w:tc>
          <w:tcPr>
            <w:tcW w:type="dxa" w:w="7517"/>
            <w:shd w:fill="17324D"/>
            <w:tcMar>
              <w:top w:w="80" w:type="dxa"/>
              <w:left w:w="80" w:type="dxa"/>
              <w:bottom w:w="80" w:type="dxa"/>
              <w:right w:w="80" w:type="dxa"/>
            </w:tcMar>
          </w:tcPr>
          <w:p>
            <w:r>
              <w:rPr>
                <w:b/>
                <w:color w:val="FFFFFF"/>
                <w:sz w:val="19"/>
              </w:rPr>
              <w:t>Required before submission as a completed study</w:t>
            </w:r>
          </w:p>
        </w:tc>
      </w:tr>
      <w:tr>
        <w:trPr>
          <w:cantSplit/>
        </w:trPr>
        <w:tc>
          <w:tcPr>
            <w:tcW w:type="dxa" w:w="2102"/>
            <w:shd w:fill="F0F4F7"/>
            <w:tcMar>
              <w:top w:w="80" w:type="dxa"/>
              <w:left w:w="80" w:type="dxa"/>
              <w:bottom w:w="80" w:type="dxa"/>
              <w:right w:w="80" w:type="dxa"/>
            </w:tcMar>
          </w:tcPr>
          <w:p>
            <w:pPr>
              <w:spacing w:after="80" w:before="60" w:line="240" w:lineRule="auto"/>
            </w:pPr>
            <w:r>
              <w:rPr>
                <w:sz w:val="19"/>
              </w:rPr>
              <w:t>Title and abstract</w:t>
            </w:r>
          </w:p>
        </w:tc>
        <w:tc>
          <w:tcPr>
            <w:tcW w:type="dxa" w:w="7517"/>
            <w:shd w:fill="F0F4F7"/>
            <w:tcMar>
              <w:top w:w="80" w:type="dxa"/>
              <w:left w:w="80" w:type="dxa"/>
              <w:bottom w:w="80" w:type="dxa"/>
              <w:right w:w="80" w:type="dxa"/>
            </w:tcMar>
          </w:tcPr>
          <w:p>
            <w:pPr>
              <w:spacing w:after="80" w:before="60" w:line="240" w:lineRule="auto"/>
            </w:pPr>
            <w:r>
              <w:rPr>
                <w:sz w:val="19"/>
              </w:rPr>
              <w:t>One precise contribution; actual datasets or environments; actual results with uncertainty; explicit scope. Remove claims not supported by the final evidence.</w:t>
            </w:r>
          </w:p>
        </w:tc>
      </w:tr>
      <w:tr>
        <w:trPr>
          <w:cantSplit/>
        </w:trPr>
        <w:tc>
          <w:tcPr>
            <w:tcW w:type="dxa" w:w="2102"/>
            <w:tcMar>
              <w:top w:w="80" w:type="dxa"/>
              <w:left w:w="80" w:type="dxa"/>
              <w:bottom w:w="80" w:type="dxa"/>
              <w:right w:w="80" w:type="dxa"/>
            </w:tcMar>
          </w:tcPr>
          <w:p>
            <w:pPr>
              <w:spacing w:after="80" w:before="60" w:line="240" w:lineRule="auto"/>
            </w:pPr>
            <w:r>
              <w:rPr>
                <w:sz w:val="19"/>
              </w:rPr>
              <w:t>Introduction and related work</w:t>
            </w:r>
          </w:p>
        </w:tc>
        <w:tc>
          <w:tcPr>
            <w:tcW w:type="dxa" w:w="7517"/>
            <w:tcMar>
              <w:top w:w="80" w:type="dxa"/>
              <w:left w:w="80" w:type="dxa"/>
              <w:bottom w:w="80" w:type="dxa"/>
              <w:right w:w="80" w:type="dxa"/>
            </w:tcMar>
          </w:tcPr>
          <w:p>
            <w:pPr>
              <w:spacing w:after="80" w:before="60" w:line="240" w:lineRule="auto"/>
            </w:pPr>
            <w:r>
              <w:rPr>
                <w:sz w:val="19"/>
              </w:rPr>
              <w:t>A verified nearest-neighbor comparison and a clear explanation of why existing mechanisms or diagnostics do not already answer the question.</w:t>
            </w:r>
          </w:p>
        </w:tc>
      </w:tr>
      <w:tr>
        <w:trPr>
          <w:cantSplit/>
        </w:trPr>
        <w:tc>
          <w:tcPr>
            <w:tcW w:type="dxa" w:w="2102"/>
            <w:shd w:fill="F0F4F7"/>
            <w:tcMar>
              <w:top w:w="80" w:type="dxa"/>
              <w:left w:w="80" w:type="dxa"/>
              <w:bottom w:w="80" w:type="dxa"/>
              <w:right w:w="80" w:type="dxa"/>
            </w:tcMar>
          </w:tcPr>
          <w:p>
            <w:pPr>
              <w:spacing w:after="80" w:before="60" w:line="240" w:lineRule="auto"/>
            </w:pPr>
            <w:r>
              <w:rPr>
                <w:sz w:val="19"/>
              </w:rPr>
              <w:t>Model and theory</w:t>
            </w:r>
          </w:p>
        </w:tc>
        <w:tc>
          <w:tcPr>
            <w:tcW w:type="dxa" w:w="7517"/>
            <w:shd w:fill="F0F4F7"/>
            <w:tcMar>
              <w:top w:w="80" w:type="dxa"/>
              <w:left w:w="80" w:type="dxa"/>
              <w:bottom w:w="80" w:type="dxa"/>
              <w:right w:w="80" w:type="dxa"/>
            </w:tcMar>
          </w:tcPr>
          <w:p>
            <w:pPr>
              <w:spacing w:after="80" w:before="60" w:line="240" w:lineRule="auto"/>
            </w:pPr>
            <w:r>
              <w:rPr>
                <w:sz w:val="19"/>
              </w:rPr>
              <w:t>Audited assumptions, a defensible novel increment or justified empirical focus, full proofs, counterexamples, and economic meaning.</w:t>
            </w:r>
          </w:p>
        </w:tc>
      </w:tr>
      <w:tr>
        <w:trPr>
          <w:cantSplit/>
        </w:trPr>
        <w:tc>
          <w:tcPr>
            <w:tcW w:type="dxa" w:w="2102"/>
            <w:tcMar>
              <w:top w:w="80" w:type="dxa"/>
              <w:left w:w="80" w:type="dxa"/>
              <w:bottom w:w="80" w:type="dxa"/>
              <w:right w:w="80" w:type="dxa"/>
            </w:tcMar>
          </w:tcPr>
          <w:p>
            <w:pPr>
              <w:spacing w:after="80" w:before="60" w:line="240" w:lineRule="auto"/>
            </w:pPr>
            <w:r>
              <w:rPr>
                <w:sz w:val="19"/>
              </w:rPr>
              <w:t>Measurement and identification</w:t>
            </w:r>
          </w:p>
        </w:tc>
        <w:tc>
          <w:tcPr>
            <w:tcW w:type="dxa" w:w="7517"/>
            <w:tcMar>
              <w:top w:w="80" w:type="dxa"/>
              <w:left w:w="80" w:type="dxa"/>
              <w:bottom w:w="80" w:type="dxa"/>
              <w:right w:w="80" w:type="dxa"/>
            </w:tcMar>
          </w:tcPr>
          <w:p>
            <w:pPr>
              <w:spacing w:after="80" w:before="60" w:line="240" w:lineRule="auto"/>
            </w:pPr>
            <w:r>
              <w:rPr>
                <w:sz w:val="19"/>
              </w:rPr>
              <w:t>Observable inputs, estimator definition, recovery tests, uncertainty coverage, causal assumptions, and documented failure conditions.</w:t>
            </w:r>
          </w:p>
        </w:tc>
      </w:tr>
      <w:tr>
        <w:trPr>
          <w:cantSplit/>
        </w:trPr>
        <w:tc>
          <w:tcPr>
            <w:tcW w:type="dxa" w:w="2102"/>
            <w:shd w:fill="F0F4F7"/>
            <w:tcMar>
              <w:top w:w="80" w:type="dxa"/>
              <w:left w:w="80" w:type="dxa"/>
              <w:bottom w:w="80" w:type="dxa"/>
              <w:right w:w="80" w:type="dxa"/>
            </w:tcMar>
          </w:tcPr>
          <w:p>
            <w:pPr>
              <w:spacing w:after="80" w:before="60" w:line="240" w:lineRule="auto"/>
            </w:pPr>
            <w:r>
              <w:rPr>
                <w:sz w:val="19"/>
              </w:rPr>
              <w:t>Experimental methods</w:t>
            </w:r>
          </w:p>
        </w:tc>
        <w:tc>
          <w:tcPr>
            <w:tcW w:type="dxa" w:w="7517"/>
            <w:shd w:fill="F0F4F7"/>
            <w:tcMar>
              <w:top w:w="80" w:type="dxa"/>
              <w:left w:w="80" w:type="dxa"/>
              <w:bottom w:w="80" w:type="dxa"/>
              <w:right w:w="80" w:type="dxa"/>
            </w:tcMar>
          </w:tcPr>
          <w:p>
            <w:pPr>
              <w:spacing w:after="80" w:before="60" w:line="240" w:lineRule="auto"/>
            </w:pPr>
            <w:r>
              <w:rPr>
                <w:sz w:val="19"/>
              </w:rPr>
              <w:t>Versioned market rules, accounting, agents, checkpoints, information budgets, seeds, shocks, tuning restrictions, and independent evaluation units.</w:t>
            </w:r>
          </w:p>
        </w:tc>
      </w:tr>
      <w:tr>
        <w:trPr>
          <w:cantSplit/>
        </w:trPr>
        <w:tc>
          <w:tcPr>
            <w:tcW w:type="dxa" w:w="2102"/>
            <w:tcMar>
              <w:top w:w="80" w:type="dxa"/>
              <w:left w:w="80" w:type="dxa"/>
              <w:bottom w:w="80" w:type="dxa"/>
              <w:right w:w="80" w:type="dxa"/>
            </w:tcMar>
          </w:tcPr>
          <w:p>
            <w:pPr>
              <w:spacing w:after="80" w:before="60" w:line="240" w:lineRule="auto"/>
            </w:pPr>
            <w:r>
              <w:rPr>
                <w:sz w:val="19"/>
              </w:rPr>
              <w:t>Results</w:t>
            </w:r>
          </w:p>
        </w:tc>
        <w:tc>
          <w:tcPr>
            <w:tcW w:type="dxa" w:w="7517"/>
            <w:tcMar>
              <w:top w:w="80" w:type="dxa"/>
              <w:left w:w="80" w:type="dxa"/>
              <w:bottom w:w="80" w:type="dxa"/>
              <w:right w:w="80" w:type="dxa"/>
            </w:tcMar>
          </w:tcPr>
          <w:p>
            <w:pPr>
              <w:spacing w:after="80" w:before="60" w:line="240" w:lineRule="auto"/>
            </w:pPr>
            <w:r>
              <w:rPr>
                <w:sz w:val="19"/>
              </w:rPr>
              <w:t>Primary results, effect sizes, uncertainty, baseline comparisons, ablations, null results, held-out transfer, and all prespecified exclusions.</w:t>
            </w:r>
          </w:p>
        </w:tc>
      </w:tr>
      <w:tr>
        <w:trPr>
          <w:cantSplit/>
        </w:trPr>
        <w:tc>
          <w:tcPr>
            <w:tcW w:type="dxa" w:w="2102"/>
            <w:shd w:fill="F0F4F7"/>
            <w:tcMar>
              <w:top w:w="80" w:type="dxa"/>
              <w:left w:w="80" w:type="dxa"/>
              <w:bottom w:w="80" w:type="dxa"/>
              <w:right w:w="80" w:type="dxa"/>
            </w:tcMar>
          </w:tcPr>
          <w:p>
            <w:pPr>
              <w:spacing w:after="80" w:before="60" w:line="240" w:lineRule="auto"/>
            </w:pPr>
            <w:r>
              <w:rPr>
                <w:sz w:val="19"/>
              </w:rPr>
              <w:t>Empirical validation</w:t>
            </w:r>
          </w:p>
        </w:tc>
        <w:tc>
          <w:tcPr>
            <w:tcW w:type="dxa" w:w="7517"/>
            <w:shd w:fill="F0F4F7"/>
            <w:tcMar>
              <w:top w:w="80" w:type="dxa"/>
              <w:left w:w="80" w:type="dxa"/>
              <w:bottom w:w="80" w:type="dxa"/>
              <w:right w:w="80" w:type="dxa"/>
            </w:tcMar>
          </w:tcPr>
          <w:p>
            <w:pPr>
              <w:spacing w:after="80" w:before="60" w:line="240" w:lineRule="auto"/>
            </w:pPr>
            <w:r>
              <w:rPr>
                <w:sz w:val="19"/>
              </w:rPr>
              <w:t>A real-data or authorized laboratory study with an identification argument—or an explicit simulation-only scope.</w:t>
            </w:r>
          </w:p>
        </w:tc>
      </w:tr>
      <w:tr>
        <w:trPr>
          <w:cantSplit/>
        </w:trPr>
        <w:tc>
          <w:tcPr>
            <w:tcW w:type="dxa" w:w="2102"/>
            <w:tcMar>
              <w:top w:w="80" w:type="dxa"/>
              <w:left w:w="80" w:type="dxa"/>
              <w:bottom w:w="80" w:type="dxa"/>
              <w:right w:w="80" w:type="dxa"/>
            </w:tcMar>
          </w:tcPr>
          <w:p>
            <w:pPr>
              <w:spacing w:after="80" w:before="60" w:line="240" w:lineRule="auto"/>
            </w:pPr>
            <w:r>
              <w:rPr>
                <w:sz w:val="19"/>
              </w:rPr>
              <w:t>Intervention evaluation</w:t>
            </w:r>
          </w:p>
        </w:tc>
        <w:tc>
          <w:tcPr>
            <w:tcW w:type="dxa" w:w="7517"/>
            <w:tcMar>
              <w:top w:w="80" w:type="dxa"/>
              <w:left w:w="80" w:type="dxa"/>
              <w:bottom w:w="80" w:type="dxa"/>
              <w:right w:w="80" w:type="dxa"/>
            </w:tcMar>
          </w:tcPr>
          <w:p>
            <w:pPr>
              <w:spacing w:after="80" w:before="60" w:line="240" w:lineRule="auto"/>
            </w:pPr>
            <w:r>
              <w:rPr>
                <w:sz w:val="19"/>
              </w:rPr>
              <w:t>A cost-aware and liquidity-aware comparison using only decision-time information, with the inability to certify reported where applicable.</w:t>
            </w:r>
          </w:p>
        </w:tc>
      </w:tr>
      <w:tr>
        <w:trPr>
          <w:cantSplit/>
        </w:trPr>
        <w:tc>
          <w:tcPr>
            <w:tcW w:type="dxa" w:w="2102"/>
            <w:shd w:fill="F0F4F7"/>
            <w:tcMar>
              <w:top w:w="80" w:type="dxa"/>
              <w:left w:w="80" w:type="dxa"/>
              <w:bottom w:w="80" w:type="dxa"/>
              <w:right w:w="80" w:type="dxa"/>
            </w:tcMar>
          </w:tcPr>
          <w:p>
            <w:pPr>
              <w:spacing w:after="80" w:before="60" w:line="240" w:lineRule="auto"/>
            </w:pPr>
            <w:r>
              <w:rPr>
                <w:sz w:val="19"/>
              </w:rPr>
              <w:t>Limitations and conclusion</w:t>
            </w:r>
          </w:p>
        </w:tc>
        <w:tc>
          <w:tcPr>
            <w:tcW w:type="dxa" w:w="7517"/>
            <w:shd w:fill="F0F4F7"/>
            <w:tcMar>
              <w:top w:w="80" w:type="dxa"/>
              <w:left w:w="80" w:type="dxa"/>
              <w:bottom w:w="80" w:type="dxa"/>
              <w:right w:w="80" w:type="dxa"/>
            </w:tcMar>
          </w:tcPr>
          <w:p>
            <w:pPr>
              <w:spacing w:after="80" w:before="60" w:line="240" w:lineRule="auto"/>
            </w:pPr>
            <w:r>
              <w:rPr>
                <w:sz w:val="19"/>
              </w:rPr>
              <w:t>A bounded interpretation, failed regimes, data limitations, and no assertion that future community impact has already happened.</w:t>
            </w:r>
          </w:p>
        </w:tc>
      </w:tr>
      <w:tr>
        <w:trPr>
          <w:cantSplit/>
        </w:trPr>
        <w:tc>
          <w:tcPr>
            <w:tcW w:type="dxa" w:w="2102"/>
            <w:tcMar>
              <w:top w:w="80" w:type="dxa"/>
              <w:left w:w="80" w:type="dxa"/>
              <w:bottom w:w="80" w:type="dxa"/>
              <w:right w:w="80" w:type="dxa"/>
            </w:tcMar>
          </w:tcPr>
          <w:p>
            <w:pPr>
              <w:spacing w:after="80" w:before="60" w:line="240" w:lineRule="auto"/>
            </w:pPr>
            <w:r>
              <w:rPr>
                <w:sz w:val="19"/>
              </w:rPr>
              <w:t>Supplement and release</w:t>
            </w:r>
          </w:p>
        </w:tc>
        <w:tc>
          <w:tcPr>
            <w:tcW w:type="dxa" w:w="7517"/>
            <w:tcMar>
              <w:top w:w="80" w:type="dxa"/>
              <w:left w:w="80" w:type="dxa"/>
              <w:bottom w:w="80" w:type="dxa"/>
              <w:right w:w="80" w:type="dxa"/>
            </w:tcMar>
          </w:tcPr>
          <w:p>
            <w:pPr>
              <w:spacing w:after="80" w:before="60" w:line="240" w:lineRule="auto"/>
            </w:pPr>
            <w:r>
              <w:rPr>
                <w:sz w:val="19"/>
              </w:rPr>
              <w:t>Raw-to-table code, manifests, permitted data or synthetic substitutes, proof appendix, independent reproduction report, and disclosures.</w:t>
            </w:r>
          </w:p>
        </w:tc>
      </w:tr>
    </w:tbl>
    <w:p>
      <w:pPr>
        <w:spacing w:after="0"/>
      </w:pPr>
    </w:p>
    <w:p>
      <w:pPr>
        <w:pStyle w:val="Heading2"/>
      </w:pPr>
      <w:r>
        <w:t>Essential final figures and tables</w:t>
      </w:r>
    </w:p>
    <w:p>
      <w:r>
        <w:t>The eventual study should include a mechanism schematic; matched-baseline outcome comparisons; a boundary or response map with uncertainty; estimator-recovery and coverage results; architecture or simulator transfer; an intervention cost trade-off; and a failure-region summary. These are deliverables to populate with real outputs, not decorative placeholders.</w:t>
      </w:r>
    </w:p>
    <w:p>
      <w:pPr>
        <w:pStyle w:val="Heading2"/>
      </w:pPr>
      <w:r>
        <w:t>Preserve the provenance distinction</w:t>
      </w:r>
    </w:p>
    <w:p>
      <w:r>
        <w:t>Keep mathematical illustrations separate from agent simulations, and agent simulations separate from observed financial data. The existing table of 875 matrix checks must never be presented as 875 independent market experiments.</w:t>
      </w:r>
    </w:p>
    <w:p>
      <w:r>
        <w:br w:type="page"/>
      </w:r>
    </w:p>
    <w:p>
      <w:pPr>
        <w:spacing w:after="60"/>
      </w:pPr>
      <w:r>
        <w:rPr>
          <w:b/>
          <w:color w:val="486B7C"/>
          <w:sz w:val="18"/>
        </w:rPr>
        <w:t>PLANNING ESTIMATES • ADAPT AFTER PILOT EVIDENCE</w:t>
      </w:r>
    </w:p>
    <w:p>
      <w:pPr>
        <w:pStyle w:val="Heading1"/>
      </w:pPr>
      <w:r>
        <w:t>9. A resource-conscious execution sequence</w:t>
      </w:r>
    </w:p>
    <w:p>
      <w:r>
        <w:t>This plan assumes a finance-led researcher with limited funds and initial access to a laptop. It is not a promise of completion dates. The more technical work benefits from collaboration in market microstructure, control/system identification, and learning systems. No paid data or large model budget should be committed before the novelty and recovery gates are passed.</w:t>
      </w:r>
    </w:p>
    <w:tbl>
      <w:tblPr>
        <w:tblW w:type="auto" w:w="0"/>
        <w:tblLayout w:type="fixed"/>
        <w:tblLook w:firstColumn="1" w:firstRow="1" w:lastColumn="0" w:lastRow="0" w:noHBand="0" w:noVBand="1" w:val="04A0"/>
        <w:tblLook w:firstRow="1" w:noVBand="1"/>
      </w:tblPr>
      <w:tblGrid>
        <w:gridCol w:w="1224"/>
        <w:gridCol w:w="4392"/>
        <w:gridCol w:w="4003"/>
      </w:tblGrid>
      <w:tr>
        <w:trPr>
          <w:tblHeader/>
        </w:trPr>
        <w:tc>
          <w:tcPr>
            <w:tcW w:type="dxa" w:w="1224"/>
            <w:shd w:fill="17324D"/>
            <w:tcMar>
              <w:top w:w="80" w:type="dxa"/>
              <w:left w:w="80" w:type="dxa"/>
              <w:bottom w:w="80" w:type="dxa"/>
              <w:right w:w="80" w:type="dxa"/>
            </w:tcMar>
          </w:tcPr>
          <w:p>
            <w:r>
              <w:rPr>
                <w:b/>
                <w:color w:val="FFFFFF"/>
                <w:sz w:val="19"/>
              </w:rPr>
              <w:t>Window</w:t>
            </w:r>
          </w:p>
        </w:tc>
        <w:tc>
          <w:tcPr>
            <w:tcW w:type="dxa" w:w="4392"/>
            <w:shd w:fill="17324D"/>
            <w:tcMar>
              <w:top w:w="80" w:type="dxa"/>
              <w:left w:w="80" w:type="dxa"/>
              <w:bottom w:w="80" w:type="dxa"/>
              <w:right w:w="80" w:type="dxa"/>
            </w:tcMar>
          </w:tcPr>
          <w:p>
            <w:r>
              <w:rPr>
                <w:b/>
                <w:color w:val="FFFFFF"/>
                <w:sz w:val="19"/>
              </w:rPr>
              <w:t>Main work</w:t>
            </w:r>
          </w:p>
        </w:tc>
        <w:tc>
          <w:tcPr>
            <w:tcW w:type="dxa" w:w="4003"/>
            <w:shd w:fill="17324D"/>
            <w:tcMar>
              <w:top w:w="80" w:type="dxa"/>
              <w:left w:w="80" w:type="dxa"/>
              <w:bottom w:w="80" w:type="dxa"/>
              <w:right w:w="80" w:type="dxa"/>
            </w:tcMar>
          </w:tcPr>
          <w:p>
            <w:r>
              <w:rPr>
                <w:b/>
                <w:color w:val="FFFFFF"/>
                <w:sz w:val="19"/>
              </w:rPr>
              <w:t>Concrete review output</w:t>
            </w:r>
          </w:p>
        </w:tc>
      </w:tr>
      <w:tr>
        <w:trPr>
          <w:cantSplit/>
        </w:trPr>
        <w:tc>
          <w:tcPr>
            <w:tcW w:type="dxa" w:w="1224"/>
            <w:shd w:fill="F0F4F7"/>
            <w:tcMar>
              <w:top w:w="80" w:type="dxa"/>
              <w:left w:w="80" w:type="dxa"/>
              <w:bottom w:w="80" w:type="dxa"/>
              <w:right w:w="80" w:type="dxa"/>
            </w:tcMar>
          </w:tcPr>
          <w:p>
            <w:pPr>
              <w:spacing w:after="80" w:before="60" w:line="240" w:lineRule="auto"/>
            </w:pPr>
            <w:r>
              <w:rPr>
                <w:sz w:val="19"/>
              </w:rPr>
              <w:t>Days 1–14</w:t>
            </w:r>
          </w:p>
        </w:tc>
        <w:tc>
          <w:tcPr>
            <w:tcW w:type="dxa" w:w="4392"/>
            <w:shd w:fill="F0F4F7"/>
            <w:tcMar>
              <w:top w:w="80" w:type="dxa"/>
              <w:left w:w="80" w:type="dxa"/>
              <w:bottom w:w="80" w:type="dxa"/>
              <w:right w:w="80" w:type="dxa"/>
            </w:tcMar>
          </w:tcPr>
          <w:p>
            <w:pPr>
              <w:spacing w:after="80" w:before="60" w:line="240" w:lineRule="auto"/>
            </w:pPr>
            <w:r>
              <w:rPr>
                <w:sz w:val="19"/>
              </w:rPr>
              <w:t>Read and reproduce the current derivations and code. Build the closest-paper matrix. Choose one primary contribution.</w:t>
            </w:r>
          </w:p>
        </w:tc>
        <w:tc>
          <w:tcPr>
            <w:tcW w:type="dxa" w:w="4003"/>
            <w:shd w:fill="F0F4F7"/>
            <w:tcMar>
              <w:top w:w="80" w:type="dxa"/>
              <w:left w:w="80" w:type="dxa"/>
              <w:bottom w:w="80" w:type="dxa"/>
              <w:right w:w="80" w:type="dxa"/>
            </w:tcMar>
          </w:tcPr>
          <w:p>
            <w:pPr>
              <w:spacing w:after="80" w:before="60" w:line="240" w:lineRule="auto"/>
            </w:pPr>
            <w:r>
              <w:rPr>
                <w:sz w:val="19"/>
              </w:rPr>
              <w:t>A two-page novelty memo and an independently checked theory notebook.</w:t>
            </w:r>
          </w:p>
        </w:tc>
      </w:tr>
      <w:tr>
        <w:trPr>
          <w:cantSplit/>
        </w:trPr>
        <w:tc>
          <w:tcPr>
            <w:tcW w:type="dxa" w:w="1224"/>
            <w:tcMar>
              <w:top w:w="80" w:type="dxa"/>
              <w:left w:w="80" w:type="dxa"/>
              <w:bottom w:w="80" w:type="dxa"/>
              <w:right w:w="80" w:type="dxa"/>
            </w:tcMar>
          </w:tcPr>
          <w:p>
            <w:pPr>
              <w:spacing w:after="80" w:before="60" w:line="240" w:lineRule="auto"/>
            </w:pPr>
            <w:r>
              <w:rPr>
                <w:sz w:val="19"/>
              </w:rPr>
              <w:t>Days 15–30</w:t>
            </w:r>
          </w:p>
        </w:tc>
        <w:tc>
          <w:tcPr>
            <w:tcW w:type="dxa" w:w="4392"/>
            <w:tcMar>
              <w:top w:w="80" w:type="dxa"/>
              <w:left w:w="80" w:type="dxa"/>
              <w:bottom w:w="80" w:type="dxa"/>
              <w:right w:w="80" w:type="dxa"/>
            </w:tcMar>
          </w:tcPr>
          <w:p>
            <w:pPr>
              <w:spacing w:after="80" w:before="60" w:line="240" w:lineRule="auto"/>
            </w:pPr>
            <w:r>
              <w:rPr>
                <w:sz w:val="19"/>
              </w:rPr>
              <w:t>Specify the financial environment and data dictionary. Implement known-system recovery tests.</w:t>
            </w:r>
          </w:p>
        </w:tc>
        <w:tc>
          <w:tcPr>
            <w:tcW w:type="dxa" w:w="4003"/>
            <w:tcMar>
              <w:top w:w="80" w:type="dxa"/>
              <w:left w:w="80" w:type="dxa"/>
              <w:bottom w:w="80" w:type="dxa"/>
              <w:right w:w="80" w:type="dxa"/>
            </w:tcMar>
          </w:tcPr>
          <w:p>
            <w:pPr>
              <w:spacing w:after="80" w:before="60" w:line="240" w:lineRule="auto"/>
            </w:pPr>
            <w:r>
              <w:rPr>
                <w:sz w:val="19"/>
              </w:rPr>
              <w:t>A frozen model specification, measurement protocol, and recovery report.</w:t>
            </w:r>
          </w:p>
        </w:tc>
      </w:tr>
      <w:tr>
        <w:trPr>
          <w:cantSplit/>
        </w:trPr>
        <w:tc>
          <w:tcPr>
            <w:tcW w:type="dxa" w:w="1224"/>
            <w:shd w:fill="F0F4F7"/>
            <w:tcMar>
              <w:top w:w="80" w:type="dxa"/>
              <w:left w:w="80" w:type="dxa"/>
              <w:bottom w:w="80" w:type="dxa"/>
              <w:right w:w="80" w:type="dxa"/>
            </w:tcMar>
          </w:tcPr>
          <w:p>
            <w:pPr>
              <w:spacing w:after="80" w:before="60" w:line="240" w:lineRule="auto"/>
            </w:pPr>
            <w:r>
              <w:rPr>
                <w:sz w:val="19"/>
              </w:rPr>
              <w:t>Days 31–60</w:t>
            </w:r>
          </w:p>
        </w:tc>
        <w:tc>
          <w:tcPr>
            <w:tcW w:type="dxa" w:w="4392"/>
            <w:shd w:fill="F0F4F7"/>
            <w:tcMar>
              <w:top w:w="80" w:type="dxa"/>
              <w:left w:w="80" w:type="dxa"/>
              <w:bottom w:w="80" w:type="dxa"/>
              <w:right w:w="80" w:type="dxa"/>
            </w:tcMar>
          </w:tcPr>
          <w:p>
            <w:pPr>
              <w:spacing w:after="80" w:before="60" w:line="240" w:lineRule="auto"/>
            </w:pPr>
            <w:r>
              <w:rPr>
                <w:sz w:val="19"/>
              </w:rPr>
              <w:t>Build or adapt the minimal simulator, accounting tests, paired baselines, and logging.</w:t>
            </w:r>
          </w:p>
        </w:tc>
        <w:tc>
          <w:tcPr>
            <w:tcW w:type="dxa" w:w="4003"/>
            <w:shd w:fill="F0F4F7"/>
            <w:tcMar>
              <w:top w:w="80" w:type="dxa"/>
              <w:left w:w="80" w:type="dxa"/>
              <w:bottom w:w="80" w:type="dxa"/>
              <w:right w:w="80" w:type="dxa"/>
            </w:tcMar>
          </w:tcPr>
          <w:p>
            <w:pPr>
              <w:spacing w:after="80" w:before="60" w:line="240" w:lineRule="auto"/>
            </w:pPr>
            <w:r>
              <w:rPr>
                <w:sz w:val="19"/>
              </w:rPr>
              <w:t>A fully replayable episode and a signed-off test report.</w:t>
            </w:r>
          </w:p>
        </w:tc>
      </w:tr>
      <w:tr>
        <w:trPr>
          <w:cantSplit/>
        </w:trPr>
        <w:tc>
          <w:tcPr>
            <w:tcW w:type="dxa" w:w="1224"/>
            <w:tcMar>
              <w:top w:w="80" w:type="dxa"/>
              <w:left w:w="80" w:type="dxa"/>
              <w:bottom w:w="80" w:type="dxa"/>
              <w:right w:w="80" w:type="dxa"/>
            </w:tcMar>
          </w:tcPr>
          <w:p>
            <w:pPr>
              <w:spacing w:after="80" w:before="60" w:line="240" w:lineRule="auto"/>
            </w:pPr>
            <w:r>
              <w:rPr>
                <w:sz w:val="19"/>
              </w:rPr>
              <w:t>Days 61–90</w:t>
            </w:r>
          </w:p>
        </w:tc>
        <w:tc>
          <w:tcPr>
            <w:tcW w:type="dxa" w:w="4392"/>
            <w:tcMar>
              <w:top w:w="80" w:type="dxa"/>
              <w:left w:w="80" w:type="dxa"/>
              <w:bottom w:w="80" w:type="dxa"/>
              <w:right w:w="80" w:type="dxa"/>
            </w:tcMar>
          </w:tcPr>
          <w:p>
            <w:pPr>
              <w:spacing w:after="80" w:before="60" w:line="240" w:lineRule="auto"/>
            </w:pPr>
            <w:r>
              <w:rPr>
                <w:sz w:val="19"/>
              </w:rPr>
              <w:t>Run a small mechanism pilot; estimate variance; revise the confirmatory protocol without using pilot data as final evidence.</w:t>
            </w:r>
          </w:p>
        </w:tc>
        <w:tc>
          <w:tcPr>
            <w:tcW w:type="dxa" w:w="4003"/>
            <w:tcMar>
              <w:top w:w="80" w:type="dxa"/>
              <w:left w:w="80" w:type="dxa"/>
              <w:bottom w:w="80" w:type="dxa"/>
              <w:right w:w="80" w:type="dxa"/>
            </w:tcMar>
          </w:tcPr>
          <w:p>
            <w:pPr>
              <w:spacing w:after="80" w:before="60" w:line="240" w:lineRule="auto"/>
            </w:pPr>
            <w:r>
              <w:rPr>
                <w:sz w:val="19"/>
              </w:rPr>
              <w:t>A pilot report, power/precision plan, and locked confirmatory configuration.</w:t>
            </w:r>
          </w:p>
        </w:tc>
      </w:tr>
      <w:tr>
        <w:trPr>
          <w:cantSplit/>
        </w:trPr>
        <w:tc>
          <w:tcPr>
            <w:tcW w:type="dxa" w:w="1224"/>
            <w:shd w:fill="F0F4F7"/>
            <w:tcMar>
              <w:top w:w="80" w:type="dxa"/>
              <w:left w:w="80" w:type="dxa"/>
              <w:bottom w:w="80" w:type="dxa"/>
              <w:right w:w="80" w:type="dxa"/>
            </w:tcMar>
          </w:tcPr>
          <w:p>
            <w:pPr>
              <w:spacing w:after="80" w:before="60" w:line="240" w:lineRule="auto"/>
            </w:pPr>
            <w:r>
              <w:rPr>
                <w:sz w:val="19"/>
              </w:rPr>
              <w:t>After day 90</w:t>
            </w:r>
          </w:p>
        </w:tc>
        <w:tc>
          <w:tcPr>
            <w:tcW w:type="dxa" w:w="4392"/>
            <w:shd w:fill="F0F4F7"/>
            <w:tcMar>
              <w:top w:w="80" w:type="dxa"/>
              <w:left w:w="80" w:type="dxa"/>
              <w:bottom w:w="80" w:type="dxa"/>
              <w:right w:w="80" w:type="dxa"/>
            </w:tcMar>
          </w:tcPr>
          <w:p>
            <w:pPr>
              <w:spacing w:after="80" w:before="60" w:line="240" w:lineRule="auto"/>
            </w:pPr>
            <w:r>
              <w:rPr>
                <w:sz w:val="19"/>
              </w:rPr>
              <w:t>Run confirmatory experiments and independent transfer; pursue external measurement or data access in parallel.</w:t>
            </w:r>
          </w:p>
        </w:tc>
        <w:tc>
          <w:tcPr>
            <w:tcW w:type="dxa" w:w="4003"/>
            <w:shd w:fill="F0F4F7"/>
            <w:tcMar>
              <w:top w:w="80" w:type="dxa"/>
              <w:left w:w="80" w:type="dxa"/>
              <w:bottom w:w="80" w:type="dxa"/>
              <w:right w:w="80" w:type="dxa"/>
            </w:tcMar>
          </w:tcPr>
          <w:p>
            <w:pPr>
              <w:spacing w:after="80" w:before="60" w:line="240" w:lineRule="auto"/>
            </w:pPr>
            <w:r>
              <w:rPr>
                <w:sz w:val="19"/>
              </w:rPr>
              <w:t>A full results package and an honest decision to submit, narrow, or extend.</w:t>
            </w:r>
          </w:p>
        </w:tc>
      </w:tr>
    </w:tbl>
    <w:p>
      <w:pPr>
        <w:spacing w:after="0"/>
      </w:pPr>
    </w:p>
    <w:p>
      <w:pPr>
        <w:pStyle w:val="Heading2"/>
      </w:pPr>
      <w:r>
        <w:t>The longer horizon</w:t>
      </w:r>
    </w:p>
    <w:p>
      <w:r>
        <w:t>A strong first paper may require several additional months after the pilot. External data access and independent replication can take substantially longer. A multi-domain, field-shaping research program is more naturally a multi-year effort; its outcome cannot be scheduled or guaranteed. Treat these as planning judgments, not evidence about your personal completion time.</w:t>
      </w:r>
    </w:p>
    <w:p>
      <w:pPr>
        <w:pStyle w:val="Heading2"/>
      </w:pPr>
      <w:r>
        <w:t>Skills and collaboration</w:t>
      </w:r>
    </w:p>
    <w:p>
      <w:r>
        <w:t>The essential skills are matrix algebra and dynamical systems; probability and econometric identification; market microstructure and funding constraints; Python testing and reproducible experiments; and multi-agent learning. The finance lead should own the economic question and identification logic, not merely provide a finance label for an engineering experiment.</w:t>
      </w:r>
    </w:p>
    <w:p>
      <w:pPr>
        <w:pStyle w:val="Heading2"/>
      </w:pPr>
      <w:r>
        <w:t>Compute discipline</w:t>
      </w:r>
    </w:p>
    <w:p>
      <w:r>
        <w:t>Use analytic and small-network tests first, simple agents second, and costly language-model populations only after they answer a question that simpler systems cannot. Estimate calls, tokens, episodes, storage, and wall-clock time from a measured pilot. Current vendor prices are not assumed in this roadmap.</w:t>
      </w:r>
    </w:p>
    <w:p>
      <w:r>
        <w:br w:type="page"/>
      </w:r>
    </w:p>
    <w:p>
      <w:pPr>
        <w:spacing w:after="60"/>
      </w:pPr>
      <w:r>
        <w:rPr>
          <w:b/>
          <w:color w:val="486B7C"/>
          <w:sz w:val="18"/>
        </w:rPr>
        <w:t>IMPACT IS AN EVIDENCE CLAIM, NOT A WRITING STYLE</w:t>
      </w:r>
    </w:p>
    <w:p>
      <w:pPr>
        <w:pStyle w:val="Heading1"/>
      </w:pPr>
      <w:r>
        <w:t>10. What would justify the paradigm-level ambition?</w:t>
      </w:r>
    </w:p>
    <w:p>
      <w:r>
        <w:t>The present manuscript is not paradigm-level work simply because it uses a global question. A field-changing contribution would need to alter how researchers explain or measure a significant class of financial phenomena, and survive independent use and attempted falsification.</w:t>
      </w:r>
    </w:p>
    <w:tbl>
      <w:tblPr>
        <w:tblW w:type="auto" w:w="0"/>
        <w:tblLayout w:type="fixed"/>
        <w:tblLook w:firstColumn="1" w:firstRow="1" w:lastColumn="0" w:lastRow="0" w:noHBand="0" w:noVBand="1" w:val="04A0"/>
        <w:tblLook w:firstRow="1" w:noVBand="1"/>
      </w:tblPr>
      <w:tblGrid>
        <w:gridCol w:w="2304"/>
        <w:gridCol w:w="7315"/>
      </w:tblGrid>
      <w:tr>
        <w:trPr>
          <w:tblHeader/>
        </w:trPr>
        <w:tc>
          <w:tcPr>
            <w:tcW w:type="dxa" w:w="2304"/>
            <w:shd w:fill="17324D"/>
            <w:tcMar>
              <w:top w:w="80" w:type="dxa"/>
              <w:left w:w="80" w:type="dxa"/>
              <w:bottom w:w="80" w:type="dxa"/>
              <w:right w:w="80" w:type="dxa"/>
            </w:tcMar>
          </w:tcPr>
          <w:p>
            <w:r>
              <w:rPr>
                <w:b/>
                <w:color w:val="FFFFFF"/>
                <w:sz w:val="19"/>
              </w:rPr>
              <w:t>Evidence dimension</w:t>
            </w:r>
          </w:p>
        </w:tc>
        <w:tc>
          <w:tcPr>
            <w:tcW w:type="dxa" w:w="7315"/>
            <w:shd w:fill="17324D"/>
            <w:tcMar>
              <w:top w:w="80" w:type="dxa"/>
              <w:left w:w="80" w:type="dxa"/>
              <w:bottom w:w="80" w:type="dxa"/>
              <w:right w:w="80" w:type="dxa"/>
            </w:tcMar>
          </w:tcPr>
          <w:p>
            <w:r>
              <w:rPr>
                <w:b/>
                <w:color w:val="FFFFFF"/>
                <w:sz w:val="19"/>
              </w:rPr>
              <w:t>What would count</w:t>
            </w:r>
          </w:p>
        </w:tc>
      </w:tr>
      <w:tr>
        <w:trPr>
          <w:cantSplit/>
        </w:trPr>
        <w:tc>
          <w:tcPr>
            <w:tcW w:type="dxa" w:w="2304"/>
            <w:shd w:fill="F0F4F7"/>
            <w:tcMar>
              <w:top w:w="80" w:type="dxa"/>
              <w:left w:w="80" w:type="dxa"/>
              <w:bottom w:w="80" w:type="dxa"/>
              <w:right w:w="80" w:type="dxa"/>
            </w:tcMar>
          </w:tcPr>
          <w:p>
            <w:pPr>
              <w:spacing w:after="80" w:before="60" w:line="240" w:lineRule="auto"/>
            </w:pPr>
            <w:r>
              <w:rPr>
                <w:sz w:val="19"/>
              </w:rPr>
              <w:t>Conceptual necessity</w:t>
            </w:r>
          </w:p>
        </w:tc>
        <w:tc>
          <w:tcPr>
            <w:tcW w:type="dxa" w:w="7315"/>
            <w:shd w:fill="F0F4F7"/>
            <w:tcMar>
              <w:top w:w="80" w:type="dxa"/>
              <w:left w:w="80" w:type="dxa"/>
              <w:bottom w:w="80" w:type="dxa"/>
              <w:right w:w="80" w:type="dxa"/>
            </w:tcMar>
          </w:tcPr>
          <w:p>
            <w:pPr>
              <w:spacing w:after="80" w:before="60" w:line="240" w:lineRule="auto"/>
            </w:pPr>
            <w:r>
              <w:rPr>
                <w:sz w:val="19"/>
              </w:rPr>
              <w:t>The new state, mechanism, or distinction explains an important phenomenon that existing accounts cannot explain equally well under a fair comparison.</w:t>
            </w:r>
          </w:p>
        </w:tc>
      </w:tr>
      <w:tr>
        <w:trPr>
          <w:cantSplit/>
        </w:trPr>
        <w:tc>
          <w:tcPr>
            <w:tcW w:type="dxa" w:w="2304"/>
            <w:tcMar>
              <w:top w:w="80" w:type="dxa"/>
              <w:left w:w="80" w:type="dxa"/>
              <w:bottom w:w="80" w:type="dxa"/>
              <w:right w:w="80" w:type="dxa"/>
            </w:tcMar>
          </w:tcPr>
          <w:p>
            <w:pPr>
              <w:spacing w:after="80" w:before="60" w:line="240" w:lineRule="auto"/>
            </w:pPr>
            <w:r>
              <w:rPr>
                <w:sz w:val="19"/>
              </w:rPr>
              <w:t>Theoretical depth</w:t>
            </w:r>
          </w:p>
        </w:tc>
        <w:tc>
          <w:tcPr>
            <w:tcW w:type="dxa" w:w="7315"/>
            <w:tcMar>
              <w:top w:w="80" w:type="dxa"/>
              <w:left w:w="80" w:type="dxa"/>
              <w:bottom w:w="80" w:type="dxa"/>
              <w:right w:w="80" w:type="dxa"/>
            </w:tcMar>
          </w:tcPr>
          <w:p>
            <w:pPr>
              <w:spacing w:after="80" w:before="60" w:line="240" w:lineRule="auto"/>
            </w:pPr>
            <w:r>
              <w:rPr>
                <w:sz w:val="19"/>
              </w:rPr>
              <w:t>A genuinely new and useful result, or a unification with testable consequences, rather than relabeling a Jacobian or spectral radius.</w:t>
            </w:r>
          </w:p>
        </w:tc>
      </w:tr>
      <w:tr>
        <w:trPr>
          <w:cantSplit/>
        </w:trPr>
        <w:tc>
          <w:tcPr>
            <w:tcW w:type="dxa" w:w="2304"/>
            <w:shd w:fill="F0F4F7"/>
            <w:tcMar>
              <w:top w:w="80" w:type="dxa"/>
              <w:left w:w="80" w:type="dxa"/>
              <w:bottom w:w="80" w:type="dxa"/>
              <w:right w:w="80" w:type="dxa"/>
            </w:tcMar>
          </w:tcPr>
          <w:p>
            <w:pPr>
              <w:spacing w:after="80" w:before="60" w:line="240" w:lineRule="auto"/>
            </w:pPr>
            <w:r>
              <w:rPr>
                <w:sz w:val="19"/>
              </w:rPr>
              <w:t>Measurement feasibility</w:t>
            </w:r>
          </w:p>
        </w:tc>
        <w:tc>
          <w:tcPr>
            <w:tcW w:type="dxa" w:w="7315"/>
            <w:shd w:fill="F0F4F7"/>
            <w:tcMar>
              <w:top w:w="80" w:type="dxa"/>
              <w:left w:w="80" w:type="dxa"/>
              <w:bottom w:w="80" w:type="dxa"/>
              <w:right w:w="80" w:type="dxa"/>
            </w:tcMar>
          </w:tcPr>
          <w:p>
            <w:pPr>
              <w:spacing w:after="80" w:before="60" w:line="240" w:lineRule="auto"/>
            </w:pPr>
            <w:r>
              <w:rPr>
                <w:sz w:val="19"/>
              </w:rPr>
              <w:t>The key quantity can be estimated or bounded from realistically available observations, with uncertainty and missingness accounted for.</w:t>
            </w:r>
          </w:p>
        </w:tc>
      </w:tr>
      <w:tr>
        <w:trPr>
          <w:cantSplit/>
        </w:trPr>
        <w:tc>
          <w:tcPr>
            <w:tcW w:type="dxa" w:w="2304"/>
            <w:tcMar>
              <w:top w:w="80" w:type="dxa"/>
              <w:left w:w="80" w:type="dxa"/>
              <w:bottom w:w="80" w:type="dxa"/>
              <w:right w:w="80" w:type="dxa"/>
            </w:tcMar>
          </w:tcPr>
          <w:p>
            <w:pPr>
              <w:spacing w:after="80" w:before="60" w:line="240" w:lineRule="auto"/>
            </w:pPr>
            <w:r>
              <w:rPr>
                <w:sz w:val="19"/>
              </w:rPr>
              <w:t>Explanatory and predictive value</w:t>
            </w:r>
          </w:p>
        </w:tc>
        <w:tc>
          <w:tcPr>
            <w:tcW w:type="dxa" w:w="7315"/>
            <w:tcMar>
              <w:top w:w="80" w:type="dxa"/>
              <w:left w:w="80" w:type="dxa"/>
              <w:bottom w:w="80" w:type="dxa"/>
              <w:right w:w="80" w:type="dxa"/>
            </w:tcMar>
          </w:tcPr>
          <w:p>
            <w:pPr>
              <w:spacing w:after="80" w:before="60" w:line="240" w:lineRule="auto"/>
            </w:pPr>
            <w:r>
              <w:rPr>
                <w:sz w:val="19"/>
              </w:rPr>
              <w:t>Clear additional performance on unseen regimes with economically meaningful outcomes, not only higher in-sample accuracy.</w:t>
            </w:r>
          </w:p>
        </w:tc>
      </w:tr>
      <w:tr>
        <w:trPr>
          <w:cantSplit/>
        </w:trPr>
        <w:tc>
          <w:tcPr>
            <w:tcW w:type="dxa" w:w="2304"/>
            <w:shd w:fill="F0F4F7"/>
            <w:tcMar>
              <w:top w:w="80" w:type="dxa"/>
              <w:left w:w="80" w:type="dxa"/>
              <w:bottom w:w="80" w:type="dxa"/>
              <w:right w:w="80" w:type="dxa"/>
            </w:tcMar>
          </w:tcPr>
          <w:p>
            <w:pPr>
              <w:spacing w:after="80" w:before="60" w:line="240" w:lineRule="auto"/>
            </w:pPr>
            <w:r>
              <w:rPr>
                <w:sz w:val="19"/>
              </w:rPr>
              <w:t>Generality with boundaries</w:t>
            </w:r>
          </w:p>
        </w:tc>
        <w:tc>
          <w:tcPr>
            <w:tcW w:type="dxa" w:w="7315"/>
            <w:shd w:fill="F0F4F7"/>
            <w:tcMar>
              <w:top w:w="80" w:type="dxa"/>
              <w:left w:w="80" w:type="dxa"/>
              <w:bottom w:w="80" w:type="dxa"/>
              <w:right w:w="80" w:type="dxa"/>
            </w:tcMar>
          </w:tcPr>
          <w:p>
            <w:pPr>
              <w:spacing w:after="80" w:before="60" w:line="240" w:lineRule="auto"/>
            </w:pPr>
            <w:r>
              <w:rPr>
                <w:sz w:val="19"/>
              </w:rPr>
              <w:t>Transfer across consequential architectures or institutional settings, accompanied by a map of where the theory does not apply.</w:t>
            </w:r>
          </w:p>
        </w:tc>
      </w:tr>
      <w:tr>
        <w:trPr>
          <w:cantSplit/>
        </w:trPr>
        <w:tc>
          <w:tcPr>
            <w:tcW w:type="dxa" w:w="2304"/>
            <w:tcMar>
              <w:top w:w="80" w:type="dxa"/>
              <w:left w:w="80" w:type="dxa"/>
              <w:bottom w:w="80" w:type="dxa"/>
              <w:right w:w="80" w:type="dxa"/>
            </w:tcMar>
          </w:tcPr>
          <w:p>
            <w:pPr>
              <w:spacing w:after="80" w:before="60" w:line="240" w:lineRule="auto"/>
            </w:pPr>
            <w:r>
              <w:rPr>
                <w:sz w:val="19"/>
              </w:rPr>
              <w:t>Practical consequence</w:t>
            </w:r>
          </w:p>
        </w:tc>
        <w:tc>
          <w:tcPr>
            <w:tcW w:type="dxa" w:w="7315"/>
            <w:tcMar>
              <w:top w:w="80" w:type="dxa"/>
              <w:left w:w="80" w:type="dxa"/>
              <w:bottom w:w="80" w:type="dxa"/>
              <w:right w:w="80" w:type="dxa"/>
            </w:tcMar>
          </w:tcPr>
          <w:p>
            <w:pPr>
              <w:spacing w:after="80" w:before="60" w:line="240" w:lineRule="auto"/>
            </w:pPr>
            <w:r>
              <w:rPr>
                <w:sz w:val="19"/>
              </w:rPr>
              <w:t>A validated diagnostic or intervention changes a well-defined financial decision problem while transparently accounting for costs and externalities.</w:t>
            </w:r>
          </w:p>
        </w:tc>
      </w:tr>
      <w:tr>
        <w:trPr>
          <w:cantSplit/>
        </w:trPr>
        <w:tc>
          <w:tcPr>
            <w:tcW w:type="dxa" w:w="2304"/>
            <w:shd w:fill="F0F4F7"/>
            <w:tcMar>
              <w:top w:w="80" w:type="dxa"/>
              <w:left w:w="80" w:type="dxa"/>
              <w:bottom w:w="80" w:type="dxa"/>
              <w:right w:w="80" w:type="dxa"/>
            </w:tcMar>
          </w:tcPr>
          <w:p>
            <w:pPr>
              <w:spacing w:after="80" w:before="60" w:line="240" w:lineRule="auto"/>
            </w:pPr>
            <w:r>
              <w:rPr>
                <w:sz w:val="19"/>
              </w:rPr>
              <w:t>Independent reproduction</w:t>
            </w:r>
          </w:p>
        </w:tc>
        <w:tc>
          <w:tcPr>
            <w:tcW w:type="dxa" w:w="7315"/>
            <w:shd w:fill="F0F4F7"/>
            <w:tcMar>
              <w:top w:w="80" w:type="dxa"/>
              <w:left w:w="80" w:type="dxa"/>
              <w:bottom w:w="80" w:type="dxa"/>
              <w:right w:w="80" w:type="dxa"/>
            </w:tcMar>
          </w:tcPr>
          <w:p>
            <w:pPr>
              <w:spacing w:after="80" w:before="60" w:line="240" w:lineRule="auto"/>
            </w:pPr>
            <w:r>
              <w:rPr>
                <w:sz w:val="19"/>
              </w:rPr>
              <w:t>Another group can reproduce the result, challenge the mechanism, and obtain comparable conclusions without privileged undocumented choices.</w:t>
            </w:r>
          </w:p>
        </w:tc>
      </w:tr>
      <w:tr>
        <w:trPr>
          <w:cantSplit/>
        </w:trPr>
        <w:tc>
          <w:tcPr>
            <w:tcW w:type="dxa" w:w="2304"/>
            <w:tcMar>
              <w:top w:w="80" w:type="dxa"/>
              <w:left w:w="80" w:type="dxa"/>
              <w:bottom w:w="80" w:type="dxa"/>
              <w:right w:w="80" w:type="dxa"/>
            </w:tcMar>
          </w:tcPr>
          <w:p>
            <w:pPr>
              <w:spacing w:after="80" w:before="60" w:line="240" w:lineRule="auto"/>
            </w:pPr>
            <w:r>
              <w:rPr>
                <w:sz w:val="19"/>
              </w:rPr>
              <w:t>Scientific uptake</w:t>
            </w:r>
          </w:p>
        </w:tc>
        <w:tc>
          <w:tcPr>
            <w:tcW w:type="dxa" w:w="7315"/>
            <w:tcMar>
              <w:top w:w="80" w:type="dxa"/>
              <w:left w:w="80" w:type="dxa"/>
              <w:bottom w:w="80" w:type="dxa"/>
              <w:right w:w="80" w:type="dxa"/>
            </w:tcMar>
          </w:tcPr>
          <w:p>
            <w:pPr>
              <w:spacing w:after="80" w:before="60" w:line="240" w:lineRule="auto"/>
            </w:pPr>
            <w:r>
              <w:rPr>
                <w:sz w:val="19"/>
              </w:rPr>
              <w:t>Other researchers use the framework because it is useful. This is a later outcome, not something the initial manuscript can certify.</w:t>
            </w:r>
          </w:p>
        </w:tc>
      </w:tr>
    </w:tbl>
    <w:p>
      <w:pPr>
        <w:spacing w:after="0"/>
      </w:pPr>
    </w:p>
    <w:p>
      <w:pPr>
        <w:pStyle w:val="Heading2"/>
      </w:pPr>
      <w:r>
        <w:t>Submission gate: check each statement</w:t>
      </w:r>
    </w:p>
    <w:p>
      <w:r>
        <w:t>The closest competing papers have been read; every theorem is auditable; every reported result has a raw output; hypotheses and exclusions are traceable; baselines are information-matched; uncertainty is valid for the sampling design; null results are visible; and the title and abstract do not exceed the evidence.</w:t>
      </w:r>
    </w:p>
    <w:p>
      <w:pPr>
        <w:pStyle w:val="Heading2"/>
      </w:pPr>
      <w:r>
        <w:t>Authorship and integrity gate</w:t>
      </w:r>
    </w:p>
    <w:p>
      <w:r>
        <w:t>Confirm the actual author names and affiliations before circulation. Record contributions, permissions, data provenance, funding, conflicts, and any required ethics review. The current draft intentionally does not invent an author identity, institution, partner, grant, or approval. Named authors must personally verify AI-assisted text, mathematics, and citations.</w:t>
      </w:r>
    </w:p>
    <w:p>
      <w:r>
        <w:rPr>
          <w:b/>
        </w:rPr>
        <w:t>The strongest immediate objective</w:t>
      </w:r>
      <w:r>
        <w:t xml:space="preserve"> is a defensible, original first contribution that others can reproduce. Build toward global importance through evidence; do not substitute global language for evidence.</w:t>
      </w:r>
    </w:p>
    <w:p>
      <w:r>
        <w:br w:type="page"/>
      </w:r>
    </w:p>
    <w:p>
      <w:pPr>
        <w:spacing w:after="60"/>
      </w:pPr>
      <w:r>
        <w:rPr>
          <w:b/>
          <w:color w:val="486B7C"/>
          <w:sz w:val="18"/>
        </w:rPr>
        <w:t>READING MAP • NOT AN EXHAUSTIVE LITERATURE REVIEW</w:t>
      </w:r>
    </w:p>
    <w:p>
      <w:pPr>
        <w:pStyle w:val="Heading1"/>
      </w:pPr>
      <w:r>
        <w:t>Selected sources and document provenance</w:t>
      </w:r>
    </w:p>
    <w:p>
      <w:r>
        <w:t>The attached Pasted markdown.md supplies the project title, the market–learning feedback framing, the six organizing dimensions, and the global research ambition. It does not contain completed market experiments. The manuscript’s provenance appendix records the technical changes introduced while developing the draft.</w:t>
      </w:r>
    </w:p>
    <w:p>
      <w:r>
        <w:t>The sources below support the literature positioning and methods cautions in this roadmap. The manuscript contains the complete working bibliography of 15 entries. Publication years refer to the versions listed; 2026 preprints and consultation documents are labeled accordingly.</w:t>
      </w:r>
    </w:p>
    <w:p>
      <w:pPr>
        <w:spacing w:after="140"/>
      </w:pPr>
      <w:r>
        <w:rPr>
          <w:b/>
          <w:sz w:val="19"/>
        </w:rPr>
        <w:t>[1] Adaptive-agent finance</w:t>
      </w:r>
      <w:r>
        <w:rPr>
          <w:sz w:val="19"/>
        </w:rPr>
        <w:t xml:space="preserve"> — Arthur, Holland, LeBaron, Palmer, and Tayler (1996). Asset Pricing Under Endogenous Expectations in an Artificial Stock Market. Santa Fe Institute Working Paper 96-12-093. Brock and Hommes (1998). Heterogeneous beliefs and routes to chaos in a simple asset pricing model. Journal of Economic Dynamics and Control 22:1235–1274. DOI: 10.1016/S0165-1889(98)00011-6.</w:t>
      </w:r>
    </w:p>
    <w:p>
      <w:pPr>
        <w:spacing w:after="140"/>
      </w:pPr>
      <w:r>
        <w:rPr>
          <w:b/>
          <w:sz w:val="19"/>
        </w:rPr>
        <w:t>[2] Financial liquidity feedback</w:t>
      </w:r>
      <w:r>
        <w:rPr>
          <w:sz w:val="19"/>
        </w:rPr>
        <w:t xml:space="preserve"> — Brunnermeier and Pedersen (2009). Market Liquidity and Funding Liquidity. Review of Financial Studies 22:2201–2238. DOI: 10.1093/rfs/hhn098.</w:t>
      </w:r>
    </w:p>
    <w:p>
      <w:pPr>
        <w:spacing w:after="140"/>
      </w:pPr>
      <w:r>
        <w:rPr>
          <w:b/>
          <w:sz w:val="19"/>
        </w:rPr>
        <w:t>[3] Strategic algorithmic interaction</w:t>
      </w:r>
      <w:r>
        <w:rPr>
          <w:sz w:val="19"/>
        </w:rPr>
        <w:t xml:space="preserve"> — Calvano, Calzolari, Denicolò, and Pastorello (2020). Artificial Intelligence, Algorithmic Pricing, and Collusion. American Economic Review 110:3267–3297. DOI: 10.1257/aer.20190623.</w:t>
      </w:r>
    </w:p>
    <w:p>
      <w:pPr>
        <w:spacing w:after="140"/>
      </w:pPr>
      <w:r>
        <w:rPr>
          <w:b/>
          <w:sz w:val="19"/>
        </w:rPr>
        <w:t>[4] AI architecture and financial fragility</w:t>
      </w:r>
      <w:r>
        <w:rPr>
          <w:sz w:val="19"/>
        </w:rPr>
        <w:t xml:space="preserve"> — Anand, Kazinnik, Leonello, and Panetti (2026). Ex Machina: financial stability in the age of artificial intelligence. ECB Working Paper 3225. DOI: 10.2866/4103076. Colliard, Foucault, and Lovo (2026). Algorithmic Pricing and Liquidity in Securities Markets. Review of Financial Studies, hhag010. DOI: 10.1093/rfs/hhag010.</w:t>
      </w:r>
    </w:p>
    <w:p>
      <w:pPr>
        <w:spacing w:after="140"/>
      </w:pPr>
      <w:r>
        <w:rPr>
          <w:b/>
          <w:sz w:val="19"/>
        </w:rPr>
        <w:t>[5] Performative learning</w:t>
      </w:r>
      <w:r>
        <w:rPr>
          <w:sz w:val="19"/>
        </w:rPr>
        <w:t xml:space="preserve"> — Perdomo, Zrnic, Mendler-Dünner, and Hardt (2020). Performative Prediction. PMLR 119:7599–7609. Narang, Faulkner, Drusvyatskiy, Fazel, and Ratliff (2023). Multiplayer Performative Prediction: Learning in Decision-Dependent Games. JMLR 24(202):1–56.</w:t>
      </w:r>
    </w:p>
    <w:p>
      <w:pPr>
        <w:spacing w:after="140"/>
      </w:pPr>
      <w:r>
        <w:rPr>
          <w:b/>
          <w:sz w:val="19"/>
        </w:rPr>
        <w:t>[6] Recent stability literature</w:t>
      </w:r>
      <w:r>
        <w:rPr>
          <w:sz w:val="19"/>
        </w:rPr>
        <w:t xml:space="preserve"> — Farina and Perdomo (2026). The Stability of Online Algorithms in Performative Prediction. arXiv:2602.24207v2, 3 June 2026. Preprint; its equilibrium concept must not be conflated with every financial-risk guarantee.</w:t>
      </w:r>
    </w:p>
    <w:p>
      <w:pPr>
        <w:spacing w:after="140"/>
      </w:pPr>
      <w:r>
        <w:rPr>
          <w:b/>
          <w:sz w:val="19"/>
        </w:rPr>
        <w:t>[7] Mathematical tools</w:t>
      </w:r>
      <w:r>
        <w:rPr>
          <w:sz w:val="19"/>
        </w:rPr>
        <w:t xml:space="preserve"> — Boyd, El Ghaoui, Feron, and Balakrishnan (1994). Linear Matrix Inequalities in System and Control Theory. SIAM. Khalil (2002). Nonlinear Systems, third edition. Prentice Hall.</w:t>
      </w:r>
    </w:p>
    <w:p>
      <w:pPr>
        <w:spacing w:after="140"/>
      </w:pPr>
      <w:r>
        <w:rPr>
          <w:b/>
          <w:sz w:val="19"/>
        </w:rPr>
        <w:t>[8] Simulation infrastructure</w:t>
      </w:r>
      <w:r>
        <w:rPr>
          <w:sz w:val="19"/>
        </w:rPr>
        <w:t xml:space="preserve"> — Byrd, Hybinette, and Balch (2019). ABIDES: Towards High-Fidelity Market Simulation for AI Research. arXiv:1904.12066. Preprint version.</w:t>
      </w:r>
    </w:p>
    <w:p>
      <w:pPr>
        <w:spacing w:after="140"/>
      </w:pPr>
      <w:r>
        <w:rPr>
          <w:b/>
          <w:sz w:val="19"/>
        </w:rPr>
        <w:t>[9] Institutional context</w:t>
      </w:r>
      <w:r>
        <w:rPr>
          <w:sz w:val="19"/>
        </w:rPr>
        <w:t xml:space="preserve"> — Financial Stability Board (2024). The Financial Stability Implications of Artificial Intelligence, 14 November. Financial Stability Board (2025). Monitoring Adoption of Artificial Intelligence and Related Vulnerabilities in the Financial Sector, 10 October. Financial Stability Board (2026). Sound Practices for Responsible Adoption of Artificial Intelligence (AI), consultation report, 10 June; not a legal requirement.</w:t>
      </w:r>
    </w:p>
    <w:p>
      <w:r>
        <w:rPr>
          <w:b/>
        </w:rPr>
        <w:t>Scope note:</w:t>
      </w:r>
      <w:r>
        <w:t xml:space="preserve"> the roadmap’s gates, task sizes, pilot grid, and timing are proposed research-design judgments. They are not claims drawn from the cited studies. Theoretical correctness, empirical novelty, and publication readiness still require independent review.</w:t>
      </w:r>
    </w:p>
    <w:sectPr w:rsidR="00FC693F" w:rsidRPr="0006063C" w:rsidSect="00034616">
      <w:headerReference w:type="default" r:id="rId9"/>
      <w:footerReference w:type="default" r:id="rId10"/>
      <w:pgSz w:w="11909" w:h="16834"/>
      <w:pgMar w:top="1008" w:right="1123" w:bottom="965" w:left="1123"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18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spacing w:after="0"/>
    </w:pPr>
    <w:r>
      <w:t>MACHINE MARKETS  |  RESEARCH COMPLETION ROADMAP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4" w:lineRule="auto"/>
    </w:pPr>
    <w:rPr>
      <w:rFonts w:ascii="Calibri" w:hAnsi="Calibri"/>
      <w:sz w:val="21"/>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outlineLvl w:val="0"/>
    </w:pPr>
    <w:rPr>
      <w:rFonts w:asciiTheme="majorHAnsi" w:eastAsiaTheme="majorEastAsia" w:hAnsiTheme="majorHAnsi" w:cstheme="majorBidi" w:ascii="Calibri" w:hAnsi="Calibri"/>
      <w:b/>
      <w:bCs/>
      <w:color w:val="17324D"/>
      <w:sz w:val="38"/>
      <w:szCs w:val="28"/>
    </w:rPr>
  </w:style>
  <w:style w:type="paragraph" w:styleId="Heading2">
    <w:name w:val="heading 2"/>
    <w:basedOn w:val="Normal"/>
    <w:next w:val="Normal"/>
    <w:link w:val="Heading2Char"/>
    <w:uiPriority w:val="9"/>
    <w:unhideWhenUsed/>
    <w:qFormat/>
    <w:rsid w:val="00FC693F"/>
    <w:pPr>
      <w:keepNext/>
      <w:keepLines/>
      <w:widowControl/>
      <w:spacing w:before="200" w:after="120"/>
      <w:outlineLvl w:val="1"/>
    </w:pPr>
    <w:rPr>
      <w:rFonts w:asciiTheme="majorHAnsi" w:eastAsiaTheme="majorEastAsia" w:hAnsiTheme="majorHAnsi" w:cstheme="majorBidi" w:ascii="Calibri" w:hAnsi="Calibri"/>
      <w:b/>
      <w:bCs/>
      <w:color w:val="17324D"/>
      <w:sz w:val="25"/>
      <w:szCs w:val="26"/>
    </w:rPr>
  </w:style>
  <w:style w:type="paragraph" w:styleId="Heading3">
    <w:name w:val="heading 3"/>
    <w:basedOn w:val="Normal"/>
    <w:next w:val="Normal"/>
    <w:link w:val="Heading3Char"/>
    <w:uiPriority w:val="9"/>
    <w:unhideWhenUsed/>
    <w:qFormat/>
    <w:rsid w:val="00FC693F"/>
    <w:pPr>
      <w:keepNext/>
      <w:keepLines/>
      <w:widowControl/>
      <w:spacing w:before="200" w:after="120"/>
      <w:outlineLvl w:val="2"/>
    </w:pPr>
    <w:rPr>
      <w:rFonts w:asciiTheme="majorHAnsi" w:eastAsiaTheme="majorEastAsia" w:hAnsiTheme="majorHAnsi" w:cstheme="majorBidi" w:ascii="Calibri" w:hAnsi="Calibri"/>
      <w:b/>
      <w:bCs/>
      <w:color w:val="17324D"/>
      <w:sz w:val="22"/>
    </w:rPr>
  </w:style>
  <w:style w:type="paragraph" w:styleId="Heading4">
    <w:name w:val="heading 4"/>
    <w:basedOn w:val="Normal"/>
    <w:next w:val="Normal"/>
    <w:link w:val="Heading4Char"/>
    <w:uiPriority w:val="9"/>
    <w:semiHidden/>
    <w:unhideWhenUsed/>
    <w:qFormat/>
    <w:rsid w:val="00FC693F"/>
    <w:pPr>
      <w:keepNext/>
      <w:keepLines/>
      <w:widowControl/>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widowControl/>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widowControl/>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widowControl/>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widowControl/>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widowControl/>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widowControl/>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200" w:line="240" w:lineRule="auto"/>
      <w:contextualSpacing/>
    </w:pPr>
    <w:rPr>
      <w:rFonts w:asciiTheme="majorHAnsi" w:eastAsiaTheme="majorEastAsia" w:hAnsiTheme="majorHAnsi" w:cstheme="majorBidi" w:ascii="Calibri" w:hAnsi="Calibri"/>
      <w:color w:val="17324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Calibri" w:hAnsi="Calibri"/>
      <w:i/>
      <w:iCs/>
      <w:color w:val="4B647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widowControl/>
      <w:ind w:left="720"/>
      <w:contextualSpacing/>
    </w:pPr>
  </w:style>
  <w:style w:type="paragraph" w:styleId="BodyText">
    <w:name w:val="Body Text"/>
    <w:basedOn w:val="Normal"/>
    <w:link w:val="BodyTextChar"/>
    <w:uiPriority w:val="99"/>
    <w:unhideWhenUsed/>
    <w:rsid w:val="00AA1D8D"/>
    <w:pPr>
      <w:widowControl/>
      <w:spacing w:after="120" w:line="254" w:lineRule="auto"/>
    </w:pPr>
    <w:rPr>
      <w:rFonts w:ascii="Calibri" w:hAnsi="Calibri"/>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widowControl/>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widowControl/>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widowControl/>
      <w:ind w:left="360" w:hanging="360"/>
      <w:contextualSpacing/>
    </w:pPr>
  </w:style>
  <w:style w:type="paragraph" w:styleId="List2">
    <w:name w:val="List 2"/>
    <w:basedOn w:val="Normal"/>
    <w:uiPriority w:val="99"/>
    <w:unhideWhenUsed/>
    <w:rsid w:val="00326F90"/>
    <w:pPr>
      <w:widowControl/>
      <w:ind w:left="720" w:hanging="360"/>
      <w:contextualSpacing/>
    </w:pPr>
  </w:style>
  <w:style w:type="paragraph" w:styleId="List3">
    <w:name w:val="List 3"/>
    <w:basedOn w:val="Normal"/>
    <w:uiPriority w:val="99"/>
    <w:unhideWhenUsed/>
    <w:rsid w:val="00326F90"/>
    <w:pPr>
      <w:widowControl/>
      <w:ind w:left="1080" w:hanging="360"/>
      <w:contextualSpacing/>
    </w:pPr>
  </w:style>
  <w:style w:type="paragraph" w:styleId="ListBullet">
    <w:name w:val="List Bullet"/>
    <w:basedOn w:val="Normal"/>
    <w:uiPriority w:val="99"/>
    <w:unhideWhenUsed/>
    <w:rsid w:val="00326F90"/>
    <w:pPr>
      <w:widowControl/>
      <w:numPr>
        <w:numId w:val="1"/>
      </w:numPr>
      <w:spacing w:after="120" w:line="254" w:lineRule="auto"/>
      <w:contextualSpacing/>
    </w:pPr>
    <w:rPr>
      <w:rFonts w:ascii="Calibri" w:hAnsi="Calibri"/>
      <w:sz w:val="21"/>
    </w:rPr>
  </w:style>
  <w:style w:type="paragraph" w:styleId="ListBullet2">
    <w:name w:val="List Bullet 2"/>
    <w:basedOn w:val="Normal"/>
    <w:uiPriority w:val="99"/>
    <w:unhideWhenUsed/>
    <w:rsid w:val="00326F90"/>
    <w:pPr>
      <w:widowControl/>
      <w:numPr>
        <w:numId w:val="2"/>
      </w:numPr>
      <w:contextualSpacing/>
    </w:pPr>
  </w:style>
  <w:style w:type="paragraph" w:styleId="ListBullet3">
    <w:name w:val="List Bullet 3"/>
    <w:basedOn w:val="Normal"/>
    <w:uiPriority w:val="99"/>
    <w:unhideWhenUsed/>
    <w:rsid w:val="00326F90"/>
    <w:pPr>
      <w:widowControl/>
      <w:numPr>
        <w:numId w:val="3"/>
      </w:numPr>
      <w:contextualSpacing/>
    </w:pPr>
  </w:style>
  <w:style w:type="paragraph" w:styleId="ListNumber">
    <w:name w:val="List Number"/>
    <w:basedOn w:val="Normal"/>
    <w:uiPriority w:val="99"/>
    <w:unhideWhenUsed/>
    <w:rsid w:val="00326F90"/>
    <w:pPr>
      <w:widowControl/>
      <w:numPr>
        <w:numId w:val="5"/>
      </w:numPr>
      <w:spacing w:after="120" w:line="254" w:lineRule="auto"/>
      <w:contextualSpacing/>
    </w:pPr>
    <w:rPr>
      <w:rFonts w:ascii="Calibri" w:hAnsi="Calibri"/>
      <w:sz w:val="21"/>
    </w:rPr>
  </w:style>
  <w:style w:type="paragraph" w:styleId="ListNumber2">
    <w:name w:val="List Number 2"/>
    <w:basedOn w:val="Normal"/>
    <w:uiPriority w:val="99"/>
    <w:unhideWhenUsed/>
    <w:rsid w:val="0029639D"/>
    <w:pPr>
      <w:widowControl/>
      <w:numPr>
        <w:numId w:val="6"/>
      </w:numPr>
      <w:contextualSpacing/>
    </w:pPr>
  </w:style>
  <w:style w:type="paragraph" w:styleId="ListNumber3">
    <w:name w:val="List Number 3"/>
    <w:basedOn w:val="Normal"/>
    <w:uiPriority w:val="99"/>
    <w:unhideWhenUsed/>
    <w:rsid w:val="0029639D"/>
    <w:pPr>
      <w:widowControl/>
      <w:numPr>
        <w:numId w:val="7"/>
      </w:numPr>
      <w:contextualSpacing/>
    </w:pPr>
  </w:style>
  <w:style w:type="paragraph" w:styleId="ListContinue">
    <w:name w:val="List Continue"/>
    <w:basedOn w:val="Normal"/>
    <w:uiPriority w:val="99"/>
    <w:unhideWhenUsed/>
    <w:rsid w:val="0029639D"/>
    <w:pPr>
      <w:widowControl/>
      <w:spacing w:after="120"/>
      <w:ind w:left="360"/>
      <w:contextualSpacing/>
    </w:pPr>
  </w:style>
  <w:style w:type="paragraph" w:styleId="ListContinue2">
    <w:name w:val="List Continue 2"/>
    <w:basedOn w:val="Normal"/>
    <w:uiPriority w:val="99"/>
    <w:unhideWhenUsed/>
    <w:rsid w:val="0029639D"/>
    <w:pPr>
      <w:widowControl/>
      <w:spacing w:after="120"/>
      <w:ind w:left="720"/>
      <w:contextualSpacing/>
    </w:pPr>
  </w:style>
  <w:style w:type="paragraph" w:styleId="ListContinue3">
    <w:name w:val="List Continue 3"/>
    <w:basedOn w:val="Normal"/>
    <w:uiPriority w:val="99"/>
    <w:unhideWhenUsed/>
    <w:rsid w:val="0029639D"/>
    <w:pPr>
      <w:widowControl/>
      <w:spacing w:after="120"/>
      <w:ind w:left="1080"/>
      <w:contextualSpacing/>
    </w:pPr>
  </w:style>
  <w:style w:type="paragraph" w:styleId="MacroText">
    <w:name w:val="macro"/>
    <w:link w:val="MacroTextChar"/>
    <w:uiPriority w:val="99"/>
    <w:unhideWhenUsed/>
    <w:rsid w:val="0029639D"/>
    <w:pPr>
      <w:widowControl/>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widowControl/>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pPr>
    <w:rPr>
      <w:b/>
      <w:bCs/>
      <w:color w:val="4B647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widowControl/>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widowControl/>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Markets: Remaining Work and Evidence Roadmap</dc:title>
  <dc:subject>From a complete working manuscript to a defensible, potentially field-changing research contribution</dc:subject>
  <dc:creator/>
  <cp:keywords>finance; AI agents; systemic risk; research roadmap; evidence gates</cp:keywords>
  <dc:description>generated by python-docx</dc:description>
  <cp:lastModifiedBy/>
  <cp:revision>1</cp:revision>
  <dcterms:created xsi:type="dcterms:W3CDTF">2013-12-23T23:15:00Z</dcterms:created>
  <dcterms:modified xsi:type="dcterms:W3CDTF">2013-12-23T23:15:00Z</dcterms:modified>
  <cp:category/>
</cp:coreProperties>
</file>