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</w:pPr>
      <w:r>
        <w:rPr>
          <w:b/>
          <w:bCs/>
        </w:rPr>
        <w:t xml:space="preserve">K-Bound: When Is Label-Free Adaptation Knowable?</w:t>
      </w:r>
      <w:r>
        <w:br/>
      </w:r>
      <w:r>
        <w:t xml:space="preserve">Helpful, Harmful, and Unknowable Regimes Under Distribution Shift</w:t>
      </w:r>
    </w:p>
    <w:p>
      <w:pPr>
        <w:pStyle w:val="Author"/>
        <w:widowControl/>
      </w:pPr>
      <w:r>
        <w:t xml:space="preserve">Pratik Niroula</w:t>
      </w:r>
      <w:r>
        <w:br/>
      </w:r>
      <w:r>
        <w:t xml:space="preserve">Minnesota State University, Mankato</w:t>
      </w:r>
      <w:r>
        <w:br/>
      </w:r>
      <w:r>
        <w:rPr>
          <w:rStyle w:val="VerbatimChar"/>
        </w:rPr>
        <w:t xml:space="preserve">pratik.niroula@mnsu.edu</w:t>
      </w:r>
    </w:p>
    <w:p>
      <w:pPr>
        <w:pStyle w:val="AbstractTitle"/>
        <w:widowControl/>
      </w:pPr>
      <w:r>
        <w:t xml:space="preserve">Abstract</w:t>
      </w:r>
    </w:p>
    <w:p>
      <w:pPr>
        <w:pStyle w:val="Abstract"/>
        <w:widowControl/>
      </w:pPr>
      <w:r>
        <w:t xml:space="preserve">An unlabeled adaptation procedure can produce an update without establishing that deploying it</w:t>
      </w:r>
      <w:r>
        <w:t xml:space="preserve"> </w:t>
      </w:r>
      <w:r>
        <w:t xml:space="preserve">will help. We study when the available evidence supports ADAPT, FREEZE, or ABSTAIN for a fixed</w:t>
      </w:r>
      <w:r>
        <w:t xml:space="preserve"> </w:t>
      </w:r>
      <w:r>
        <w:t xml:space="preserve">model pair. For binary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 and positive disagreement mass, K-Bound characterizes the exact</w:t>
      </w:r>
      <w:r>
        <w:t xml:space="preserve"> </w:t>
      </w:r>
      <w:r>
        <w:t xml:space="preserve">compatible-benefit interval under a declared bound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on a hidden target calibration residual.</w:t>
      </w:r>
      <w:r>
        <w:t xml:space="preserve"> </w:t>
      </w:r>
      <w:r>
        <w:t xml:space="preserve">In the full label-kernel class, a strict direction is uniformly justified exactly when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β</m:t>
        </m:r>
      </m:oMath>
      <w:r>
        <w:t xml:space="preserve">, where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observable disagreement margin. A complementary evidence-fibre</w:t>
      </w:r>
      <w:r>
        <w:t xml:space="preserve"> </w:t>
      </w:r>
      <w:r>
        <w:t xml:space="preserve">theorem gives the smallest residual bound that any uniformly valid audit of the same information</w:t>
      </w:r>
      <w:r>
        <w:t xml:space="preserve"> </w:t>
      </w:r>
      <w:r>
        <w:t xml:space="preserve">must cover. Additional processing cannot remove ambiguity left by that information.</w:t>
      </w:r>
      <w:r>
        <w:t xml:space="preserve"> </w:t>
      </w:r>
      <w:r>
        <w:t xml:space="preserve">Knowability-Guided Adaptation (</w:t>
      </w:r>
      <w:r>
        <w:rPr>
          <w:smallCaps/>
        </w:rPr>
        <w:t xml:space="preserve">KGA</w:t>
      </w:r>
      <w:r>
        <w:t xml:space="preserve">) addresses a separate empirical target: the measured score</w:t>
      </w:r>
      <w:r>
        <w:t xml:space="preserve"> </w:t>
      </w:r>
      <w:r>
        <w:t xml:space="preserve">difference between a candidate and its frozen baseline on an evaluation cell. Labeled development</w:t>
      </w:r>
      <w:r>
        <w:t xml:space="preserve"> </w:t>
      </w:r>
      <w:r>
        <w:t xml:space="preserve">and disjoint residual-calibration cells fit its benefit predictor and error interval; the action</w:t>
      </w:r>
      <w:r>
        <w:t xml:space="preserve"> </w:t>
      </w:r>
      <w:r>
        <w:t xml:space="preserve">uses no scored-cell outcome. On the opened, dependent six-family CIFAR-10-C diagnostic, Tent and EATA have</w:t>
      </w:r>
      <w:r>
        <w:t xml:space="preserve"> </w:t>
      </w:r>
      <w:r>
        <w:t xml:space="preserve">lower point regret than both fixed policies. Tent makes 2 false ADAPT decisions among 1,091</w:t>
      </w:r>
      <w:r>
        <w:t xml:space="preserve"> </w:t>
      </w:r>
      <w:r>
        <w:t xml:space="preserve">ADAPT actions and 1 false FREEZE among 337 FREEZE actions; EATA makes neither error among</w:t>
      </w:r>
      <w:r>
        <w:t xml:space="preserve"> </w:t>
      </w:r>
      <w:r>
        <w:t xml:space="preserve">1,207 ADAPT and 105 FREEZE actions. SAR instead favors always-adapt. On CCT-20, all</w:t>
      </w:r>
      <w:r>
        <w:t xml:space="preserve"> </w:t>
      </w:r>
      <w:r>
        <w:t xml:space="preserve">45 cells retain the frozen model, including one false FREEZE; five-checkpoint</w:t>
      </w:r>
      <w:r>
        <w:t xml:space="preserve"> </w:t>
      </w:r>
      <w:r>
        <w:t xml:space="preserve">DomainNet development evaluation yields universal abstention. Thus these natural-shift studies</w:t>
      </w:r>
      <w:r>
        <w:t xml:space="preserve"> </w:t>
      </w:r>
      <w:r>
        <w:t xml:space="preserve">support conservative retention, not useful selective routing. The theory distinguishes structural</w:t>
      </w:r>
      <w:r>
        <w:t xml:space="preserve"> </w:t>
      </w:r>
      <w:r>
        <w:t xml:space="preserve">ambiguity from prediction uncertainty; the experiments do not establish coverage or population</w:t>
      </w:r>
      <w:r>
        <w:t xml:space="preserve"> </w:t>
      </w:r>
      <w:r>
        <w:t xml:space="preserve">protection on unseen shifts.</w:t>
      </w:r>
    </w:p>
    <w:p>
      <w:pPr>
        <w:pStyle w:val="FirstParagraph"/>
        <w:widowControl/>
      </w:pPr>
      <w:r>
        <w:rPr>
          <w:b/>
          <w:bCs/>
        </w:rPr>
        <w:t xml:space="preserve">Keywords:</w:t>
      </w:r>
      <w:r>
        <w:t xml:space="preserve"> </w:t>
      </w:r>
      <w:r>
        <w:t xml:space="preserve">test-time adaptation; adaptation gating; abstention; partial</w:t>
      </w:r>
      <w:r>
        <w:t xml:space="preserve"> </w:t>
      </w:r>
      <w:r>
        <w:t xml:space="preserve">identification; distribution shift; conformal calibration; selective decisions.</w:t>
      </w:r>
    </w:p>
    <w:p>
      <w:pPr>
        <w:widowControl/>
      </w:pPr>
      <w:r>
        <w:pict>
          <v:rect style="width:0;height:1.5pt" o:hralign="center" o:hrstd="t" o:hr="t"/>
        </w:pict>
      </w:r>
    </w:p>
    <w:p>
      <w:pPr>
        <w:pStyle w:val="FirstParagraph"/>
        <w:widowControl/>
      </w:pPr>
      <w:r>
        <w:rPr>
          <w:b/>
          <w:bCs/>
        </w:rPr>
        <w:t xml:space="preserve">Revision ID:</w:t>
      </w:r>
      <w:r>
        <w:t xml:space="preserve"> </w:t>
      </w:r>
      <w:r>
        <w:t xml:space="preserve">KBOUND-REVISION-2026-09-08</w:t>
      </w:r>
      <w:r>
        <w:t xml:space="preserve"> </w:t>
      </w:r>
      <w:r>
        <w:rPr>
          <w:b/>
          <w:bCs/>
        </w:rPr>
        <w:t xml:space="preserve">Revision date:</w:t>
      </w:r>
      <w:r>
        <w:t xml:space="preserve"> </w:t>
      </w:r>
      <w:r>
        <w:t xml:space="preserve">September 8, 2026</w:t>
      </w:r>
      <w:r>
        <w:br/>
      </w:r>
      <w:r>
        <w:rPr>
          <w:b/>
          <w:bCs/>
        </w:rPr>
        <w:t xml:space="preserve">Document role:</w:t>
      </w:r>
      <w:r>
        <w:t xml:space="preserve"> </w:t>
      </w:r>
      <w:r>
        <w:t xml:space="preserve">Main paper with integrated appendices</w:t>
      </w:r>
      <w:r>
        <w:br/>
      </w:r>
      <w:r>
        <w:rPr>
          <w:b/>
          <w:bCs/>
        </w:rPr>
        <w:t xml:space="preserve">Canonical panel SHA-256:</w:t>
      </w:r>
      <w:r>
        <w:t xml:space="preserve"> </w:t>
      </w:r>
      <w:r>
        <w:t xml:space="preserve">35d4c165843de1ece3cb35ffb4ac50dbfcbfa33b646754e2b6d133fbdfa78c6e</w:t>
      </w:r>
      <w:r>
        <w:br/>
      </w:r>
      <w:r>
        <w:rPr>
          <w:b/>
          <w:bCs/>
        </w:rPr>
        <w:t xml:space="preserve">Historical evidence-manifest SHA-256:</w:t>
      </w:r>
      <w:r>
        <w:t xml:space="preserve"> </w:t>
      </w:r>
      <w:r>
        <w:t xml:space="preserve">03b1d2b1e9e5ed1cf835126f871ed83eb8497a1ac81727b3955af0d69eb89742</w:t>
      </w:r>
      <w:r>
        <w:br/>
      </w:r>
      <w:r>
        <w:rPr>
          <w:b/>
          <w:bCs/>
        </w:rPr>
        <w:t xml:space="preserve">Base commit (with subsequent manuscript edits):</w:t>
      </w:r>
      <w:r>
        <w:t xml:space="preserve"> </w:t>
      </w:r>
      <w:r>
        <w:rPr>
          <w:rStyle w:val="VerbatimChar"/>
        </w:rPr>
        <w:t xml:space="preserve">b1899ea20567</w:t>
      </w:r>
    </w:p>
    <w:p>
      <w:pPr>
        <w:widowControl/>
      </w:pPr>
      <w:r>
        <w:pict>
          <v:rect style="width:0;height:1.5pt" o:hralign="center" o:hrstd="t" o:hr="t"/>
        </w:pict>
      </w:r>
    </w:p>
    <w:bookmarkStart w:id="13" w:name="introduction"/>
    <w:p>
      <w:pPr>
        <w:pStyle w:val="Heading1"/>
        <w:widowControl/>
      </w:pPr>
      <w:r>
        <w:t xml:space="preserve">1 Introduction</w:t>
      </w:r>
    </w:p>
    <w:p>
      <w:pPr>
        <w:pStyle w:val="FirstParagraph"/>
        <w:widowControl/>
      </w:pPr>
      <w:r>
        <w:t xml:space="preserve">Test-time adaptation changes a model using unlabeled deployment data. Entropy minimization,</w:t>
      </w:r>
      <w:r>
        <w:t xml:space="preserve"> </w:t>
      </w:r>
      <w:r>
        <w:t xml:space="preserve">filtering, regularization, and related methods can recover accuracy under shift. The same update can</w:t>
      </w:r>
      <w:r>
        <w:t xml:space="preserve"> </w:t>
      </w:r>
      <w:r>
        <w:t xml:space="preserve">also make predictions worse under unfavorable shifts</w:t>
      </w:r>
      <w:r>
        <w:t xml:space="preserve"> </w:t>
      </w:r>
      <w:r>
        <w:t xml:space="preserve">[1, 4–6]. The central</w:t>
      </w:r>
      <w:r>
        <w:t xml:space="preserve"> </w:t>
      </w:r>
      <w:r>
        <w:t xml:space="preserve">deployment question is therefore directional action correctness: an adapter supplies a candidate,</w:t>
      </w:r>
      <w:r>
        <w:t xml:space="preserve"> </w:t>
      </w:r>
      <w:r>
        <w:t xml:space="preserve">not a reason to deploy it.</w:t>
      </w:r>
    </w:p>
    <w:p>
      <w:pPr>
        <w:pStyle w:val="BodyText"/>
        <w:widowControl/>
      </w:pPr>
      <w:r>
        <w:t xml:space="preserve">Our primary research question is:</w:t>
      </w:r>
      <w:r>
        <w:t xml:space="preserve"> </w:t>
      </w:r>
      <w:r>
        <w:rPr>
          <w:i/>
          <w:iCs/>
        </w:rPr>
        <w:t xml:space="preserve">When can evidence available without new target labels justify replacing a frozen predictor</w:t>
      </w:r>
      <w:r>
        <w:rPr>
          <w:i/>
          <w:iCs/>
        </w:rPr>
        <w:t xml:space="preserve"> </w:t>
      </w:r>
      <w:r>
        <w:rPr>
          <w:i/>
          <w:iCs/>
        </w:rPr>
        <w:t xml:space="preserve">with a fixed adapted candidate?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frozen predictor and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the candidate. Their population benefit is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(1)</m:t>
          </m:r>
        </m:oMath>
      </m:oMathPara>
    </w:p>
    <w:p>
      <w:pPr>
        <w:pStyle w:val="FirstParagraph"/>
        <w:widowControl/>
      </w:pPr>
      <w:r>
        <w:t xml:space="preserve">A positive value favors the update; a negative value favors the frozen model. We use three</w:t>
      </w:r>
      <w:r>
        <w:t xml:space="preserve"> </w:t>
      </w:r>
      <w:r>
        <w:t xml:space="preserve">decisions. ADAPT asserts positive benefit, FREEZE asserts negative benefit, and ABSTAIN asserts</w:t>
      </w:r>
      <w:r>
        <w:t xml:space="preserve"> </w:t>
      </w:r>
      <w:r>
        <w:t xml:space="preserve">neither. Both non-adapt decisions serve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but only FREEZE makes a directional claim.</w:t>
      </w:r>
    </w:p>
    <w:p>
      <w:pPr>
        <w:pStyle w:val="BodyText"/>
        <w:widowControl/>
      </w:pPr>
      <w:r>
        <w:t xml:space="preserve">K-Bound treats this as partial identification. In a binary model under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loss, we fix the input</w:t>
      </w:r>
      <w:r>
        <w:t xml:space="preserve"> </w:t>
      </w:r>
      <w:r>
        <w:t xml:space="preserve">law, the predictors, and every label-free observable. We then vary the target label kernel within a</w:t>
      </w:r>
      <w:r>
        <w:t xml:space="preserve"> </w:t>
      </w:r>
      <w:r>
        <w:t xml:space="preserve">declared class. The compatible benefits give an exact frontier for uniform strict decisions. The</w:t>
      </w:r>
      <w:r>
        <w:t xml:space="preserve"> </w:t>
      </w:r>
      <w:r>
        <w:t xml:space="preserve">class is indexed by a bound on a hidden target calibration residual. That bound is an assumption,</w:t>
      </w:r>
      <w:r>
        <w:t xml:space="preserve"> </w:t>
      </w:r>
      <w:r>
        <w:t xml:space="preserve">not a quantity supplied by an unlabeled batch. A second theorem shows that an audit using the same</w:t>
      </w:r>
      <w:r>
        <w:t xml:space="preserve"> </w:t>
      </w:r>
      <w:r>
        <w:t xml:space="preserve">evidence must cover the residual range that the evidence leaves unresolved.</w:t>
      </w:r>
    </w:p>
    <w:p>
      <w:pPr>
        <w:pStyle w:val="BodyText"/>
        <w:widowControl/>
      </w:pPr>
      <w:r>
        <w:t xml:space="preserve">Knowability-Guided Adaptation (KGA) is the empirical companion. It predicts a model pair’s measured</w:t>
      </w:r>
      <w:r>
        <w:t xml:space="preserve"> </w:t>
      </w:r>
      <w:r>
        <w:t xml:space="preserve">benefit on an evaluation cell. It acts only when a residual-calibrated interval excludes zero. KGA</w:t>
      </w:r>
      <w:r>
        <w:t xml:space="preserve"> </w:t>
      </w:r>
      <w:r>
        <w:t xml:space="preserve">is label-free at the scored decision, not during development and calibration: labeled development</w:t>
      </w:r>
      <w:r>
        <w:t xml:space="preserve"> </w:t>
      </w:r>
      <w:r>
        <w:t xml:space="preserve">cells train the predictor, and disjoint residual-calibration cells calibrate its errors. The</w:t>
      </w:r>
      <w:r>
        <w:t xml:space="preserve"> </w:t>
      </w:r>
      <w:r>
        <w:t xml:space="preserve">specified cross-fit excludes each scored cell’s outcome from its own prediction, radius, and</w:t>
      </w:r>
      <w:r>
        <w:t xml:space="preserve"> </w:t>
      </w:r>
      <w:r>
        <w:t xml:space="preserve">decision. This computational separation does not make an already opened retrospective panel</w:t>
      </w:r>
      <w:r>
        <w:t xml:space="preserve"> </w:t>
      </w:r>
      <w:r>
        <w:t xml:space="preserve">prospective; outcome access is reported separately for each study.</w:t>
      </w:r>
      <w:r>
        <w:t xml:space="preserve"> </w:t>
      </w:r>
      <w:r>
        <w:t xml:space="preserve">K-Bound is the population partial-identification framework; KGA is the empirical cell-benefit</w:t>
      </w:r>
      <w:r>
        <w:t xml:space="preserve"> </w:t>
      </w:r>
      <w:r>
        <w:t xml:space="preserve">interval gate. They share three-action decision logic, but not a target or guarantee: K-Bound reasons</w:t>
      </w:r>
      <w:r>
        <w:t xml:space="preserve"> </w:t>
      </w:r>
      <w:r>
        <w:t xml:space="preserve">about population benefit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whereas KGA predicts measured cell</w:t>
      </w:r>
      <w:r>
        <w:t xml:space="preserve"> </w:t>
      </w:r>
      <w:r>
        <w:t xml:space="preserve">benefit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,</m:t>
        </m:r>
        <m:r>
          <m:t>ε</m:t>
        </m:r>
        <m:r>
          <m:rPr>
            <m:sty m:val="p"/>
          </m:rPr>
          <m:t>)</m:t>
        </m:r>
      </m:oMath>
      <w:r>
        <w:t xml:space="preserve">.</w:t>
      </w:r>
    </w:p>
    <w:bookmarkStart w:id="12" w:name="three-scientific-contributions"/>
    <w:p>
      <w:pPr>
        <w:pStyle w:val="Heading2"/>
        <w:widowControl/>
      </w:pPr>
      <w:r>
        <w:t xml:space="preserve">1.1 Three Scientific Contributions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Exact population frontier.</w:t>
      </w:r>
      <w:r>
        <w:t xml:space="preserve"> </w:t>
      </w:r>
      <w:r>
        <w:t xml:space="preserve">We construct target label laws with identical label-free evidence, derive their feasible benefit</w:t>
      </w:r>
      <w:r>
        <w:t xml:space="preserve"> </w:t>
      </w:r>
      <w:r>
        <w:t xml:space="preserve">interval, and characterize its strict positive, strict negative, and unresolved regions,</w:t>
      </w:r>
      <w:r>
        <w:t xml:space="preserve"> </w:t>
      </w:r>
      <w:r>
        <w:t xml:space="preserve">including the zero-benefit boundary.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Evidence-fibre audit limit.</w:t>
      </w:r>
      <w:r>
        <w:t xml:space="preserve"> </w:t>
      </w:r>
      <w:r>
        <w:t xml:space="preserve">We identify the least residual bound that the same observable law can support uniformly,</w:t>
      </w:r>
      <w:r>
        <w:t xml:space="preserve"> </w:t>
      </w:r>
      <w:r>
        <w:t xml:space="preserve">explaining why historical labels help only through a stated link to the deployment domain.</w:t>
      </w:r>
    </w:p>
    <w:p>
      <w:pPr>
        <w:widowControl/>
        <w:numPr>
          <w:ilvl w:val="0"/>
          <w:numId w:val="1001"/>
        </w:numPr>
      </w:pPr>
      <w:r>
        <w:rPr>
          <w:b/>
          <w:bCs/>
        </w:rPr>
        <w:t xml:space="preserve">Empirical paired-benefit gate.</w:t>
      </w:r>
      <w:r>
        <w:t xml:space="preserve"> </w:t>
      </w:r>
      <w:r>
        <w:t xml:space="preserve">We give a cell-outcome-disjoint three-way cross-fit for the controlled grids and evaluate its</w:t>
      </w:r>
      <w:r>
        <w:t xml:space="preserve"> </w:t>
      </w:r>
      <w:r>
        <w:t xml:space="preserve">ADAPT/FREEZE/ABSTAIN behavior on constructed shifts and its retention behavior on natural shifts.</w:t>
      </w:r>
      <w:r>
        <w:t xml:space="preserve"> </w:t>
      </w:r>
      <w:r>
        <w:t xml:space="preserve">We report action exposure and false-action denominators before secondary accuracy and regret consequences.</w:t>
      </w:r>
      <w:r>
        <w:t xml:space="preserve"> </w:t>
      </w:r>
      <w:r>
        <w:t xml:space="preserve">The standard coverage-to-action implication states exactly what follows if the interval covers</w:t>
      </w:r>
      <w:r>
        <w:t xml:space="preserve"> </w:t>
      </w:r>
      <w:r>
        <w:t xml:space="preserve">its declared target.</w:t>
      </w:r>
    </w:p>
    <w:p>
      <w:pPr>
        <w:pStyle w:val="FirstParagraph"/>
        <w:widowControl/>
      </w:pPr>
      <w:r>
        <w:t xml:space="preserve">The opened CIFAR-10-C diagnostic first asks whether each committed direction was correct and reports</w:t>
      </w:r>
      <w:r>
        <w:t xml:space="preserve"> </w:t>
      </w:r>
      <w:r>
        <w:t xml:space="preserve">the corresponding action exposure. Tent makes two false ADAPT actions and one false FREEZE; EATA</w:t>
      </w:r>
      <w:r>
        <w:t xml:space="preserve"> </w:t>
      </w:r>
      <w:r>
        <w:t xml:space="preserve">makes neither; SAR makes no FREEZE decisions. The secondary utility result is candidate-specific:</w:t>
      </w:r>
      <w:r>
        <w:t xml:space="preserve"> </w:t>
      </w:r>
      <w:r>
        <w:t xml:space="preserve">Tent and EATA have lower point regret than either fixed policy, whereas SAR favors always-adapt.</w:t>
      </w:r>
      <w:r>
        <w:t xml:space="preserve"> </w:t>
      </w:r>
      <w:r>
        <w:t xml:space="preserve">CCT-20 instead preserves frozen-model utility in all 45 cells with no ADAPT exposure. This is</w:t>
      </w:r>
      <w:r>
        <w:t xml:space="preserve"> </w:t>
      </w:r>
      <w:r>
        <w:t xml:space="preserve">conservative frozen-model retention, not selective routing on an unseen natural shift. The appendices</w:t>
      </w:r>
      <w:r>
        <w:t xml:space="preserve"> </w:t>
      </w:r>
      <w:r>
        <w:t xml:space="preserve">retain adverse, incomplete, and withheld studies so that this boundary does not depend on removing</w:t>
      </w:r>
      <w:r>
        <w:t xml:space="preserve"> </w:t>
      </w:r>
      <w:r>
        <w:t xml:space="preserve">unfavorable evidence.</w:t>
      </w:r>
    </w:p>
    <w:p>
      <w:pPr>
        <w:pStyle w:val="BodyText"/>
        <w:widowControl/>
      </w:pPr>
      <w:r>
        <w:t xml:space="preserve">Newer painting-development evaluations retain the same limitation: the five-checkpoint cohort and</w:t>
      </w:r>
      <w:r>
        <w:t xml:space="preserve"> </w:t>
      </w:r>
      <w:r>
        <w:t xml:space="preserve">separate reference-source candidates yielded universal abstention, with adverse queue and</w:t>
      </w:r>
      <w:r>
        <w:t xml:space="preserve"> </w:t>
      </w:r>
      <w:r>
        <w:t xml:space="preserve">normalization-state diagnostics preserved as development evidence.</w:t>
      </w:r>
    </w:p>
    <w:p>
      <w:pPr>
        <w:pStyle w:val="BodyText"/>
        <w:widowControl/>
      </w:pPr>
      <w:r>
        <w:t xml:space="preserve">Sections 3–5 define the population target, derive the</w:t>
      </w:r>
      <w:r>
        <w:t xml:space="preserve"> </w:t>
      </w:r>
      <w:r>
        <w:t xml:space="preserve">strict-commitment frontier, and establish the evidence-fibre audit floor. Section 6</w:t>
      </w:r>
      <w:r>
        <w:t xml:space="preserve"> </w:t>
      </w:r>
      <w:r>
        <w:t xml:space="preserve">introduces the separate empirical gate. Sections 7–8</w:t>
      </w:r>
      <w:r>
        <w:t xml:space="preserve"> </w:t>
      </w:r>
      <w:r>
        <w:t xml:space="preserve">report the controlled CIFAR diagnostic and CCT-20 retention result. Section 9</w:t>
      </w:r>
      <w:r>
        <w:t xml:space="preserve"> </w:t>
      </w:r>
      <w:r>
        <w:t xml:space="preserve">states the assumptions, missing evidence, and deployment limits.</w:t>
      </w:r>
    </w:p>
    <w:p>
      <w:pPr>
        <w:pStyle w:val="CaptionedFigure"/>
        <w:widowControl/>
        <w:jc w:val="center"/>
      </w:pPr>
      <w:r>
        <w:drawing>
          <wp:inline>
            <wp:extent cx="5227320" cy="1168302"/>
            <wp:effectExtent b="0" l="0" r="0" t="0"/>
            <wp:docPr descr="K-Bound decision flow from shadow candidate generation to adapt, freeze, or abstain." title="K-Bound decision flow from shadow candidate generation to adapt, freeze, or abstain" id="10" name="Picture"/>
            <a:graphic>
              <a:graphicData uri="http://schemas.openxmlformats.org/drawingml/2006/picture">
                <pic:pic>
                  <pic:nvPicPr>
                    <pic:cNvPr descr="K-Bound decision flow from shadow candidate generation to adapt, freeze, or abstain.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1168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Figure 1. KGA’s empirical decision flow for one evaluation cell. A shadow adapter creates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from frozen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. Labeled development cells fit the benefit predictor, and disjoint</w:t>
      </w:r>
      <w:r>
        <w:t xml:space="preserve"> </w:t>
      </w:r>
      <w:r>
        <w:t xml:space="preserve">residual-calibration cells determine its error radius. The scored cell contributes label-free</w:t>
      </w:r>
      <w:r>
        <w:t xml:space="preserve"> </w:t>
      </w:r>
      <w:r>
        <w:t xml:space="preserve">evidence only. An interval above zero selects ADAPT, one below zero selects FREEZE, and an</w:t>
      </w:r>
      <w:r>
        <w:t xml:space="preserve"> </w:t>
      </w:r>
      <w:r>
        <w:t xml:space="preserve">interval crossing zero selects ABSTAIN. The figure defines the action rule; it does not establish</w:t>
      </w:r>
      <w:r>
        <w:t xml:space="preserve"> </w:t>
      </w:r>
      <w:r>
        <w:t xml:space="preserve">interval coverage.</w:t>
      </w:r>
    </w:p>
    <w:bookmarkEnd w:id="12"/>
    <w:bookmarkEnd w:id="13"/>
    <w:bookmarkStart w:id="19" w:name="related-work"/>
    <w:p>
      <w:pPr>
        <w:pStyle w:val="Heading1"/>
        <w:widowControl/>
      </w:pPr>
      <w:r>
        <w:t xml:space="preserve">2 Related Work</w:t>
      </w:r>
    </w:p>
    <w:bookmarkStart w:id="14" w:name="Xe3233113a464a716d77631b873bcd6b6c123a4f"/>
    <w:p>
      <w:pPr>
        <w:pStyle w:val="Heading2"/>
        <w:widowControl/>
      </w:pPr>
      <w:r>
        <w:t xml:space="preserve">2.1 Candidate Adaptation and Update Selection</w:t>
      </w:r>
    </w:p>
    <w:p>
      <w:pPr>
        <w:pStyle w:val="FirstParagraph"/>
        <w:widowControl/>
      </w:pPr>
      <w:r>
        <w:t xml:space="preserve">Tent, EATA, SAR, CoTTA, MEMO, SHOT, and test-time training construct candidates through entropy</w:t>
      </w:r>
      <w:r>
        <w:t xml:space="preserve"> </w:t>
      </w:r>
      <w:r>
        <w:t xml:space="preserve">objectives, filtering, regularization, temporal stabilization, augmentation, or auxiliary tasks</w:t>
      </w:r>
      <w:r>
        <w:t xml:space="preserve"> </w:t>
      </w:r>
      <w:r>
        <w:t xml:space="preserve">[1–7].</w:t>
      </w:r>
      <w:r>
        <w:t xml:space="preserve"> </w:t>
      </w:r>
      <w:r>
        <w:t xml:space="preserve">Other methods decide where or when to update. TTSA selects modality-specific adapters</w:t>
      </w:r>
      <w:r>
        <w:t xml:space="preserve"> </w:t>
      </w:r>
      <w:r>
        <w:t xml:space="preserve">[10]. GALA selects layers and filters samples by gradient alignment</w:t>
      </w:r>
      <w:r>
        <w:t xml:space="preserve"> </w:t>
      </w:r>
      <w:r>
        <w:t xml:space="preserve">[11]. Informed Adaptation learns topological features associated with useful</w:t>
      </w:r>
      <w:r>
        <w:t xml:space="preserve"> </w:t>
      </w:r>
      <w:r>
        <w:t xml:space="preserve">updates [9]. KGA starts later in this pipeline: it compares one realized</w:t>
      </w:r>
      <w:r>
        <w:t xml:space="preserve"> </w:t>
      </w:r>
      <w:r>
        <w:t xml:space="preserve">candidate with its frozen baseline. Learned routing and rollback are established ideas, not our</w:t>
      </w:r>
      <w:r>
        <w:t xml:space="preserve"> </w:t>
      </w:r>
      <w:r>
        <w:t xml:space="preserve">novelty claim.</w:t>
      </w:r>
    </w:p>
    <w:bookmarkEnd w:id="14"/>
    <w:bookmarkStart w:id="15" w:name="X1030d02695436a1493f14699f89215fcba7f21b"/>
    <w:p>
      <w:pPr>
        <w:pStyle w:val="Heading2"/>
        <w:widowControl/>
      </w:pPr>
      <w:r>
        <w:t xml:space="preserve">2.2 Label-Free Performance and Strategy Estimation</w:t>
      </w:r>
    </w:p>
    <w:p>
      <w:pPr>
        <w:pStyle w:val="FirstParagraph"/>
        <w:widowControl/>
      </w:pPr>
      <w:r>
        <w:t xml:space="preserve">ATC, agreement-on-the-line, AETTA, and prediction-matrix statistics estimate performance from</w:t>
      </w:r>
      <w:r>
        <w:t xml:space="preserve"> </w:t>
      </w:r>
      <w:r>
        <w:t xml:space="preserve">unlabeled outputs and suitable development information</w:t>
      </w:r>
      <w:r>
        <w:t xml:space="preserve"> </w:t>
      </w:r>
      <w:r>
        <w:t xml:space="preserve">[15–18, 34, 35].</w:t>
      </w:r>
      <w:r>
        <w:t xml:space="preserve"> </w:t>
      </w:r>
      <w:r>
        <w:t xml:space="preserve">The closest empirical comparator is [51], whose TTA/ALine method uses</w:t>
      </w:r>
      <w:r>
        <w:t xml:space="preserve"> </w:t>
      </w:r>
      <w:r>
        <w:t xml:space="preserve">agreement-based estimators after adaptation, supports</w:t>
      </w:r>
      <w:r>
        <w:t xml:space="preserve"> </w:t>
      </w:r>
      <w:r>
        <w:t xml:space="preserve">hyperparameter selection, and compares adaptation strategies without labeled OOD data.</w:t>
      </w:r>
    </w:p>
    <w:p>
      <w:pPr>
        <w:pStyle w:val="BodyText"/>
        <w:widowControl/>
      </w:pPr>
      <w:r>
        <w:t xml:space="preserve">KGA directly fits the paired score difference for one frozen/candidate pair and converts its</w:t>
      </w:r>
      <w:r>
        <w:t xml:space="preserve"> </w:t>
      </w:r>
      <w:r>
        <w:t xml:space="preserve">prediction interval into a three-way action. Separate adapted- and frozen-model accuracy estimates</w:t>
      </w:r>
      <w:r>
        <w:t xml:space="preserve"> </w:t>
      </w:r>
      <w:r>
        <w:t xml:space="preserve">can also be differenced; a synchronized current-policy comparison with official TTA/ALine and AETTA</w:t>
      </w:r>
      <w:r>
        <w:t xml:space="preserve"> </w:t>
      </w:r>
      <w:r>
        <w:t xml:space="preserve">implementations remains missing.</w:t>
      </w:r>
    </w:p>
    <w:bookmarkEnd w:id="15"/>
    <w:bookmarkStart w:id="16" w:name="monitoring-and-adaptation-controllers"/>
    <w:p>
      <w:pPr>
        <w:pStyle w:val="Heading2"/>
        <w:widowControl/>
      </w:pPr>
      <w:r>
        <w:t xml:space="preserve">2.3 Monitoring and Adaptation Controllers</w:t>
      </w:r>
    </w:p>
    <w:p>
      <w:pPr>
        <w:pStyle w:val="FirstParagraph"/>
        <w:widowControl/>
      </w:pPr>
      <w:r>
        <w:t xml:space="preserve">POEM protects adaptation through entropy matching and online betting [14].</w:t>
      </w:r>
      <w:r>
        <w:t xml:space="preserve"> </w:t>
      </w:r>
      <w:r>
        <w:t xml:space="preserve">[8] monitor an adapting model’s running risk against a source-risk</w:t>
      </w:r>
      <w:r>
        <w:t xml:space="preserve"> </w:t>
      </w:r>
      <w:r>
        <w:t xml:space="preserve">reference under a proxy-informativeness condition; a supervised precursor uses a labeled test</w:t>
      </w:r>
      <w:r>
        <w:t xml:space="preserve"> </w:t>
      </w:r>
      <w:r>
        <w:t xml:space="preserve">stream [13]. Drift-to-Action Controllers use delayed labels and sequential</w:t>
      </w:r>
      <w:r>
        <w:t xml:space="preserve"> </w:t>
      </w:r>
      <w:r>
        <w:t xml:space="preserve">evidence to gate adaptation, abstention, rollback, and retraining [50].</w:t>
      </w:r>
      <w:r>
        <w:t xml:space="preserve"> </w:t>
      </w:r>
      <w:r>
        <w:t xml:space="preserve">These methods act during an evolving stream. KGA instead decides whether one proposed candidate</w:t>
      </w:r>
      <w:r>
        <w:t xml:space="preserve"> </w:t>
      </w:r>
      <w:r>
        <w:t xml:space="preserve">should be committed before it replaces the frozen state; it makes no anytime-valid risk claim.</w:t>
      </w:r>
    </w:p>
    <w:bookmarkEnd w:id="16"/>
    <w:bookmarkStart w:id="17" w:name="Xa555f176177cb620b5e39cf47838ab49ff0ec0c"/>
    <w:p>
      <w:pPr>
        <w:pStyle w:val="Heading2"/>
        <w:widowControl/>
      </w:pPr>
      <w:r>
        <w:t xml:space="preserve">2.4 Partial Identification and Robust Decisions</w:t>
      </w:r>
    </w:p>
    <w:p>
      <w:pPr>
        <w:pStyle w:val="FirstParagraph"/>
        <w:widowControl/>
      </w:pPr>
      <w:r>
        <w:t xml:space="preserve">An identified set contains the values compatible with the observations and assumptions. Decision</w:t>
      </w:r>
      <w:r>
        <w:t xml:space="preserve"> </w:t>
      </w:r>
      <w:r>
        <w:t xml:space="preserve">theory under partial identification studies actions when that set leaves payoffs ambiguous.</w:t>
      </w:r>
      <w:r>
        <w:t xml:space="preserve"> </w:t>
      </w:r>
      <w:r>
        <w:t xml:space="preserve">[54], for example, combine worst-case payoff uncertainty with statistical</w:t>
      </w:r>
      <w:r>
        <w:t xml:space="preserve"> </w:t>
      </w:r>
      <w:r>
        <w:t xml:space="preserve">learning of identified parameters. K-Bound asks the narrower question of whether</w:t>
      </w:r>
      <w:r>
        <w:t xml:space="preserve"> </w:t>
      </w:r>
      <w:r>
        <w:t xml:space="preserve">one strict benefit sign is uniform over the set. It neither solves the general optimal-decision</w:t>
      </w:r>
      <w:r>
        <w:t xml:space="preserve"> </w:t>
      </w:r>
      <w:r>
        <w:t xml:space="preserve">problem nor claims interval thresholding as a new idea.</w:t>
      </w:r>
    </w:p>
    <w:p>
      <w:pPr>
        <w:pStyle w:val="BodyText"/>
        <w:widowControl/>
      </w:pPr>
      <w:r>
        <w:t xml:space="preserve">Indistinguishable problems are already central to domain-adaptation impossibility</w:t>
      </w:r>
      <w:r>
        <w:t xml:space="preserve"> </w:t>
      </w:r>
      <w:r>
        <w:t xml:space="preserve">[20, 49]. Our contribution is a</w:t>
      </w:r>
      <w:r>
        <w:t xml:space="preserve"> </w:t>
      </w:r>
      <w:r>
        <w:t xml:space="preserve">disagreement-conditional label-kernel construction, the resulting clipped benefit set, and its</w:t>
      </w:r>
      <w:r>
        <w:t xml:space="preserve"> </w:t>
      </w:r>
      <w:r>
        <w:t xml:space="preserve">residual-audit floor. The proof does not introduce label-free impossibility.</w:t>
      </w:r>
      <w:r>
        <w:t xml:space="preserve"> </w:t>
      </w:r>
      <w:r>
        <w:t xml:space="preserve">Risk-estimation assumptions based on conditional independence [19], label shift</w:t>
      </w:r>
      <w:r>
        <w:t xml:space="preserve"> </w:t>
      </w:r>
      <w:r>
        <w:t xml:space="preserve">[44, 45], or disagreement discrepancy [21]</w:t>
      </w:r>
      <w:r>
        <w:t xml:space="preserve"> </w:t>
      </w:r>
      <w:r>
        <w:t xml:space="preserve">restrict the compatible laws. Likewise, MMD-credal risk intervals impose RKHS and covariate-shift</w:t>
      </w:r>
      <w:r>
        <w:t xml:space="preserve"> </w:t>
      </w:r>
      <w:r>
        <w:t xml:space="preserve">structure [12]. Each restriction can shrink the identified set. A converse theorem</w:t>
      </w:r>
      <w:r>
        <w:t xml:space="preserve"> </w:t>
      </w:r>
      <w:r>
        <w:t xml:space="preserve">for a richer class does not contradict those results.</w:t>
      </w:r>
    </w:p>
    <w:bookmarkEnd w:id="17"/>
    <w:bookmarkStart w:id="18" w:name="marginal-and-conditional-coverage"/>
    <w:p>
      <w:pPr>
        <w:pStyle w:val="Heading2"/>
        <w:widowControl/>
      </w:pPr>
      <w:r>
        <w:t xml:space="preserve">2.5 Marginal and Conditional Coverage</w:t>
      </w:r>
    </w:p>
    <w:p>
      <w:pPr>
        <w:pStyle w:val="FirstParagraph"/>
        <w:widowControl/>
      </w:pPr>
      <w:r>
        <w:t xml:space="preserve">Selective classification and reject-option learning abstain on individual predictions</w:t>
      </w:r>
      <w:r>
        <w:t xml:space="preserve"> </w:t>
      </w:r>
      <w:r>
        <w:t xml:space="preserve">[22, 46, 47]. KGA instead abstains on an update.</w:t>
      </w:r>
      <w:r>
        <w:t xml:space="preserve"> </w:t>
      </w:r>
      <w:r>
        <w:t xml:space="preserve">Its coverage-to-action proposition uses standard interval logic</w:t>
      </w:r>
      <w:r>
        <w:t xml:space="preserve"> </w:t>
      </w:r>
      <w:r>
        <w:t xml:space="preserve">[36, 37, 40, 41]. The statistical</w:t>
      </w:r>
      <w:r>
        <w:t xml:space="preserve"> </w:t>
      </w:r>
      <w:r>
        <w:t xml:space="preserve">burden is to justify coverage for the intended unit, especially after selection or under shift.</w:t>
      </w:r>
    </w:p>
    <w:p>
      <w:pPr>
        <w:pStyle w:val="BodyText"/>
        <w:widowControl/>
      </w:pPr>
      <w:r>
        <w:t xml:space="preserve">[52]’s JOMI procedure targets coverage conditional on selection, assuming</w:t>
      </w:r>
      <w:r>
        <w:t xml:space="preserve"> </w:t>
      </w:r>
      <w:r>
        <w:t xml:space="preserve">exchangeability and a compatible selection rule. [53] obtain conditional</w:t>
      </w:r>
      <w:r>
        <w:t xml:space="preserve"> </w:t>
      </w:r>
      <w:r>
        <w:t xml:space="preserve">guarantees over specified shift classes through a different calibration construction. KGA’s</w:t>
      </w:r>
      <w:r>
        <w:t xml:space="preserve"> </w:t>
      </w:r>
      <w:r>
        <w:t xml:space="preserve">ordinary residual interval implements neither method. Its</w:t>
      </w:r>
      <w:r>
        <w:t xml:space="preserve"> </w:t>
      </w:r>
      <w:r>
        <w:t xml:space="preserve">marginal false-adapt implication must therefore remain separate from error conditional on ADAPT and</w:t>
      </w:r>
      <w:r>
        <w:t xml:space="preserve"> </w:t>
      </w:r>
      <w:r>
        <w:t xml:space="preserve">from coverage within each target environment. Learn Then Test addresses the separate problem of</w:t>
      </w:r>
      <w:r>
        <w:t xml:space="preserve"> </w:t>
      </w:r>
      <w:r>
        <w:t xml:space="preserve">configuration selection and multiplicity [41].</w:t>
      </w:r>
    </w:p>
    <w:p>
      <w:pPr>
        <w:pStyle w:val="TableCaption"/>
        <w:widowControl/>
      </w:pPr>
      <w:r>
        <w:t xml:space="preserve">Table 1. Neighboring approaches differ in inferential target, decision timing, and guarantee. The</w:t>
      </w:r>
      <w:r>
        <w:t xml:space="preserve"> </w:t>
      </w:r>
      <w:r>
        <w:t xml:space="preserve">comparison is conceptual; the archived empirical ports are not an official synchronized benchmark.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1. Neighboring approaches differ in inferential target, decision timing, and guarantee. The comparison is conceptual; the archived empirical ports are not an official synchronized benchmark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33"/>
        <w:gridCol w:w="2888"/>
        <w:gridCol w:w="2085"/>
        <w:gridCol w:w="3054"/>
      </w:tblGrid>
      <w:tr>
        <w:trPr>
          <w:tblHeader w:val="true"/>
          <w:cantSplit w:val="true"/>
        </w:trPr>
        <w:tc>
          <w:tcPr>
            <w:tcW w:w="19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Approach</w:t>
            </w:r>
          </w:p>
        </w:tc>
        <w:tc>
          <w:tcPr>
            <w:tcW w:w="28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Target</w:t>
            </w:r>
          </w:p>
        </w:tc>
        <w:tc>
          <w:tcPr>
            <w:tcW w:w="208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Decision timing</w:t>
            </w:r>
          </w:p>
        </w:tc>
        <w:tc>
          <w:tcPr>
            <w:tcW w:w="305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Guarantee relevant here</w:t>
            </w:r>
          </w:p>
        </w:tc>
      </w:tr>
      <w:tr>
        <w:trPr>
          <w:cantSplit w:val="true"/>
        </w:trPr>
        <w:tc>
          <w:tcPr>
            <w:tcW w:w="19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TTA/ALine; AETTA</w:t>
            </w:r>
          </w:p>
        </w:tc>
        <w:tc>
          <w:tcPr>
            <w:tcW w:w="28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adapted-model performance</w:t>
            </w:r>
          </w:p>
        </w:tc>
        <w:tc>
          <w:tcPr>
            <w:tcW w:w="208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after candidate evaluation</w:t>
            </w:r>
          </w:p>
        </w:tc>
        <w:tc>
          <w:tcPr>
            <w:tcW w:w="305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performance estimate</w:t>
            </w:r>
          </w:p>
        </w:tc>
      </w:tr>
      <w:tr>
        <w:trPr>
          <w:cantSplit w:val="true"/>
        </w:trPr>
        <w:tc>
          <w:tcPr>
            <w:tcW w:w="19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POEM; risk monitors</w:t>
            </w:r>
          </w:p>
        </w:tc>
        <w:tc>
          <w:tcPr>
            <w:tcW w:w="28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running adaptation risk</w:t>
            </w:r>
          </w:p>
        </w:tc>
        <w:tc>
          <w:tcPr>
            <w:tcW w:w="208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during or after adaptation</w:t>
            </w:r>
          </w:p>
        </w:tc>
        <w:tc>
          <w:tcPr>
            <w:tcW w:w="305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sequential monitoring under named assumptions</w:t>
            </w:r>
          </w:p>
        </w:tc>
      </w:tr>
      <w:tr>
        <w:trPr>
          <w:cantSplit w:val="true"/>
        </w:trPr>
        <w:tc>
          <w:tcPr>
            <w:tcW w:w="19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Partial-identification decisions</w:t>
            </w:r>
          </w:p>
        </w:tc>
        <w:tc>
          <w:tcPr>
            <w:tcW w:w="28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payoff set across compatible laws</w:t>
            </w:r>
          </w:p>
        </w:tc>
        <w:tc>
          <w:tcPr>
            <w:tcW w:w="208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decision under ambiguity</w:t>
            </w:r>
          </w:p>
        </w:tc>
        <w:tc>
          <w:tcPr>
            <w:tcW w:w="305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robust-decision context</w:t>
            </w:r>
          </w:p>
        </w:tc>
      </w:tr>
      <w:tr>
        <w:trPr>
          <w:cantSplit w:val="true"/>
        </w:trPr>
        <w:tc>
          <w:tcPr>
            <w:tcW w:w="19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K-Bound / KGA</w:t>
            </w:r>
          </w:p>
        </w:tc>
        <w:tc>
          <w:tcPr>
            <w:tcW w:w="28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population benefit set / predicted cell benefit</w:t>
            </w:r>
          </w:p>
        </w:tc>
        <w:tc>
          <w:tcPr>
            <w:tcW w:w="208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before candidate commitment</w:t>
            </w:r>
          </w:p>
        </w:tc>
        <w:tc>
          <w:tcPr>
            <w:tcW w:w="305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strict frontier / coverage-conditional action</w:t>
            </w:r>
          </w:p>
        </w:tc>
      </w:tr>
    </w:tbl>
    <w:bookmarkEnd w:id="18"/>
    <w:bookmarkEnd w:id="19"/>
    <w:bookmarkStart w:id="24" w:name="setup-notation-and-claim-levels"/>
    <w:p>
      <w:pPr>
        <w:pStyle w:val="Heading1"/>
        <w:widowControl/>
      </w:pPr>
      <w:r>
        <w:t xml:space="preserve">3 Setup, Notation, and Claim Levels</w:t>
      </w:r>
    </w:p>
    <w:p>
      <w:pPr>
        <w:pStyle w:val="FirstParagraph"/>
        <w:widowControl/>
      </w:pPr>
      <w:r>
        <w:t xml:space="preserve">This section fixes the probability target, evaluation unit, model pair, and gate before defining</w:t>
      </w:r>
      <w:r>
        <w:t xml:space="preserve"> </w:t>
      </w:r>
      <w:r>
        <w:t xml:space="preserve">actions or error events. Table 2 separates the population and empirical</w:t>
      </w:r>
      <w:r>
        <w:t xml:space="preserve"> </w:t>
      </w:r>
      <w:r>
        <w:t xml:space="preserve">symbols used throughout.</w:t>
      </w:r>
    </w:p>
    <w:p>
      <w:pPr>
        <w:pStyle w:val="TableCaption"/>
        <w:widowControl/>
      </w:pPr>
      <w:r>
        <w:t xml:space="preserve">Table 2. Population and empirical quantities.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bounds a population residual by assumption;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an empirical prediction-error radius. They are not interchangeable.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2. Population and empirical quantities. \beta bounds a population residual by assumption; \varepsilon is an empirical prediction-error radius. They are not interchangeabl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37"/>
        <w:gridCol w:w="1380"/>
        <w:gridCol w:w="6643"/>
      </w:tblGrid>
      <w:tr>
        <w:trPr>
          <w:tblHeader w:val="true"/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Quantity</w:t>
            </w:r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Level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Meaning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both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frozen predictor and realized shadow candidate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rPr>
                  <m:sty m:val="p"/>
                </m:rPr>
                <m:t>Δ</m:t>
              </m:r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population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expected risk reduction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population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disagreement region and its target probability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t>M</m:t>
              </m:r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population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label-free mean correctness-score margin on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m:oMath>
              <m:r>
                <m:t>D</m:t>
              </m:r>
            </m:oMath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t>γ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β</m:t>
              </m:r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population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hidden calibration residual and its externally declared absolute bound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p>
              </m:sSup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observed score difference on one predeclared evaluation unit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ε</m:t>
              </m:r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predicted cell benefit and residual-based interval radius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probability of ADAPT and a nonpositive cell benefit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probability of nonpositive cell benefit conditional on ADAPT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probability of FREEZE and a nonnegative cell benefit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c</m:t>
                  </m:r>
                </m:sub>
              </m:sSub>
            </m:oMath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probability of nonnegative cell benefit conditional on FREEZE</w:t>
            </w:r>
          </w:p>
        </w:tc>
      </w:tr>
      <w:tr>
        <w:trPr>
          <w:cantSplit w:val="true"/>
        </w:trPr>
        <w:tc>
          <w:tcPr>
            <w:tcW w:w="19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Commitment rate</w:t>
            </w:r>
          </w:p>
        </w:tc>
        <w:tc>
          <w:tcPr>
            <w:tcW w:w="138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empirical</w:t>
            </w:r>
          </w:p>
        </w:tc>
        <w:tc>
          <w:tcPr>
            <w:tcW w:w="66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fraction of ADAPT or FREEZE decisions; not interval coverage</w:t>
            </w:r>
          </w:p>
        </w:tc>
      </w:tr>
    </w:tbl>
    <w:bookmarkStart w:id="21" w:name="model-pair-evidence-and-evaluation-unit"/>
    <w:p>
      <w:pPr>
        <w:pStyle w:val="Heading2"/>
        <w:widowControl/>
      </w:pPr>
      <w:r>
        <w:t xml:space="preserve">3.1 Model Pair, Evidence, and Evaluation Unit</w:t>
      </w:r>
    </w:p>
    <w:p>
      <w:pPr>
        <w:pStyle w:val="FirstParagraph"/>
        <w:widowControl/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support a target draw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denote the source law.</w:t>
      </w:r>
      <w:r>
        <w:t xml:space="preserve"> </w:t>
      </w:r>
      <w:r>
        <w:t xml:space="preserve">For loss</w:t>
      </w:r>
      <w:r>
        <w:t xml:space="preserve"> </w:t>
      </w:r>
      <m:oMath>
        <m:r>
          <m:t>ℓ</m:t>
        </m:r>
      </m:oMath>
      <w:r>
        <w:t xml:space="preserve">, define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sub>
          </m:sSub>
          <m:r>
            <m:rPr>
              <m:sty m:val="p"/>
            </m:rPr>
            <m:t>[</m:t>
          </m:r>
          <m:r>
            <m:t>ℓ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We fix a realized pair of measurable predictors for the population comparison. The frozen predictor is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; an</w:t>
      </w:r>
      <w:r>
        <w:t xml:space="preserve"> </w:t>
      </w:r>
      <w:r>
        <w:t xml:space="preserve">adapter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uses an unlabeled batch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</m:sub>
        </m:sSub>
      </m:oMath>
      <w:r>
        <w:t xml:space="preserve"> </w:t>
      </w:r>
      <w:r>
        <w:t xml:space="preserve">to construct the fixed candidate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. Population risk then integrates a fresh target draw while holding</w:t>
      </w:r>
      <w:r>
        <w:t xml:space="preserve"> </w:t>
      </w:r>
      <w:r>
        <w:t xml:space="preserve">this pair fixed.</w:t>
      </w:r>
    </w:p>
    <w:p>
      <w:pPr>
        <w:pStyle w:val="BodyText"/>
        <w:widowControl/>
      </w:pPr>
      <w:r>
        <w:t xml:space="preserve">The gate may read label-free evidence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ϕ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  <m:r>
                <m:rPr>
                  <m:sty m:val="p"/>
                </m:rPr>
                <m:t>:</m:t>
              </m:r>
              <m:r>
                <m:t>m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t xml:space="preserve">such as predictions, logits, and update statistics. It may not read the outcome of the cell it is</w:t>
      </w:r>
      <w:r>
        <w:t xml:space="preserve"> </w:t>
      </w:r>
      <w:r>
        <w:t xml:space="preserve">about to score.</w:t>
      </w:r>
    </w:p>
    <w:bookmarkStart w:id="20" w:name="X32a0e85b6e5ccd93c6836549f87f7add2078bda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Scope of the matched-world observation experiment.</w:t>
      </w:r>
    </w:p>
    <w:p>
      <w:pPr>
        <w:pStyle w:val="FirstParagraph"/>
        <w:widowControl/>
      </w:pPr>
      <w:r>
        <w:t xml:space="preserve">The population evidence-law and randomized-decision statements use the same fixed observation</w:t>
      </w:r>
      <w:r>
        <w:t xml:space="preserve"> </w:t>
      </w:r>
      <w:r>
        <w:t xml:space="preserve">experiment in each compatible world and the same fixed decision kernel. The observation law</w:t>
      </w:r>
      <w:r>
        <w:t xml:space="preserve"> </w:t>
      </w:r>
      <w:r>
        <w:t xml:space="preserve">factors through the fixed input marginal; finite iid input sampling is one proved realization.</w:t>
      </w:r>
      <w:r>
        <w:t xml:space="preserve"> </w:t>
      </w:r>
      <w:r>
        <w:t xml:space="preserve">Other dependent sampling designs require their own common-law premise. Randomized decisions</w:t>
      </w:r>
      <w:r>
        <w:t xml:space="preserve"> </w:t>
      </w:r>
      <w:r>
        <w:t xml:space="preserve">require a common joint law of observation and random seed; an independent common seed is one</w:t>
      </w:r>
      <w:r>
        <w:t xml:space="preserve"> </w:t>
      </w:r>
      <w:r>
        <w:t xml:space="preserve">sufficient construction, whereas equal seed marginals alone do not establish that joint law.</w:t>
      </w:r>
      <w:r>
        <w:t xml:space="preserve"> </w:t>
      </w:r>
      <w:r>
        <w:t xml:space="preserve">Equality of one-input marginals does not imply equality for arbitrary world-dependent batch</w:t>
      </w:r>
      <w:r>
        <w:t xml:space="preserve"> </w:t>
      </w:r>
      <w:r>
        <w:t xml:space="preserve">couplings. These are the formal model’s premises, not conclusions about the reported data.</w:t>
      </w:r>
      <w:r>
        <w:t xml:space="preserve"> </w:t>
      </w:r>
      <w:r>
        <w:t xml:space="preserve">Holding the model pair fixed in this experiment does not justify conditioning on a pair adapted</w:t>
      </w:r>
      <w:r>
        <w:t xml:space="preserve"> </w:t>
      </w:r>
      <w:r>
        <w:t xml:space="preserve">on that same batch. We do not establish that the transductive benchmark satisfies this observation</w:t>
      </w:r>
      <w:r>
        <w:t xml:space="preserve"> </w:t>
      </w:r>
      <w:r>
        <w:t xml:space="preserve">model: outcome blindness alone supplies neither that conditioning argument nor iid evaluation.</w:t>
      </w:r>
    </w:p>
    <w:p>
      <w:pPr>
        <w:pStyle w:val="BodyText"/>
        <w:widowControl/>
      </w:pPr>
      <w:r>
        <w:t xml:space="preserve">An</w:t>
      </w:r>
      <w:r>
        <w:t xml:space="preserve"> </w:t>
      </w:r>
      <w:r>
        <w:rPr>
          <w:i/>
          <w:iCs/>
        </w:rPr>
        <w:t xml:space="preserve">evaluation cell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predeclared collection of records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on which both</w:t>
      </w:r>
      <w:r>
        <w:t xml:space="preserve"> </w:t>
      </w:r>
      <w:r>
        <w:t xml:space="preserve">models are scored. For a fixed higher-is-better score</w:t>
      </w:r>
      <w:r>
        <w:t xml:space="preserve"> </w:t>
      </w:r>
      <m:oMath>
        <m:r>
          <m:t>S</m:t>
        </m:r>
      </m:oMath>
      <w:r>
        <w:t xml:space="preserve">, its measured benefit is</w:t>
      </w:r>
    </w:p>
    <w:p>
      <w:pPr>
        <w:pStyle w:val="BodyText"/>
        <w:widowControl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Δ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;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;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This is not the population benefit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 For accuracy it is an average of paired correctness</w:t>
      </w:r>
      <w:r>
        <w:t xml:space="preserve"> </w:t>
      </w:r>
      <w:r>
        <w:t xml:space="preserve">differences. For macro-F1 it is a difference between two cell-level scores, not an average of</w:t>
      </w:r>
      <w:r>
        <w:t xml:space="preserve"> </w:t>
      </w:r>
      <w:r>
        <w:t xml:space="preserve">per-example losses. We therefore report metric scales separately.</w:t>
      </w:r>
    </w:p>
    <w:bookmarkEnd w:id="20"/>
    <w:bookmarkEnd w:id="21"/>
    <w:bookmarkStart w:id="22" w:name="actions-and-their-operational-meaning"/>
    <w:p>
      <w:pPr>
        <w:pStyle w:val="Heading2"/>
        <w:widowControl/>
      </w:pPr>
      <w:r>
        <w:t xml:space="preserve">3.2 Actions and Their Operational Meaning</w:t>
      </w:r>
    </w:p>
    <w:p>
      <w:pPr>
        <w:pStyle w:val="FirstParagraph"/>
        <w:widowControl/>
      </w:pPr>
      <w:r>
        <w:rPr>
          <w:b/>
          <w:bCs/>
        </w:rPr>
        <w:t xml:space="preserve">Definition 1</w:t>
      </w:r>
      <w:r>
        <w:t xml:space="preserve"> </w:t>
      </w:r>
      <w:r>
        <w:t xml:space="preserve">(Decision semantics).</w:t>
      </w:r>
      <w:r>
        <w:t xml:space="preserve"> </w:t>
      </w:r>
      <w:r>
        <w:t xml:space="preserve"> </w:t>
      </w:r>
      <w:r>
        <w:t xml:space="preserve">The gate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maps its permitted evidence and frozen calibration artifacts to</w:t>
      </w:r>
      <w:r>
        <w:t xml:space="preserve"> </w:t>
      </w:r>
      <m:oMath>
        <m:r>
          <m:rPr>
            <m:sty m:val="p"/>
          </m:rPr>
          <m:t>{</m:t>
        </m:r>
        <m:r>
          <m:rPr>
            <m:nor/>
            <m:sty m:val="p"/>
          </m:rPr>
          <m:t>adapt</m:t>
        </m:r>
        <m:r>
          <m:rPr>
            <m:sty m:val="p"/>
          </m:rPr>
          <m:t>,</m:t>
        </m:r>
        <m:r>
          <m:rPr>
            <m:nor/>
            <m:sty m:val="p"/>
          </m:rPr>
          <m:t>freeze</m:t>
        </m:r>
        <m:r>
          <m:rPr>
            <m:sty m:val="p"/>
          </m:rPr>
          <m:t>,</m:t>
        </m:r>
        <m:r>
          <m:rPr>
            <m:nor/>
            <m:sty m:val="p"/>
          </m:rPr>
          <m:t>abstain</m:t>
        </m:r>
        <m:r>
          <m:rPr>
            <m:sty m:val="p"/>
          </m:rPr>
          <m:t>}</m:t>
        </m:r>
      </m:oMath>
      <w:r>
        <w:t xml:space="preserve">. ADAPT commits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when an interval supports positive benefit.</w:t>
      </w:r>
      <w:r>
        <w:t xml:space="preserve"> </w:t>
      </w:r>
      <w:r>
        <w:t xml:space="preserve">FREEZE rejects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when an interval supports negative benefit. ABSTAIN retains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w:r>
        <w:t xml:space="preserve">neither strict direction is supported or the assessment is unavailable.</w:t>
      </w:r>
    </w:p>
    <w:p>
      <w:pPr>
        <w:pStyle w:val="BodyText"/>
        <w:widowControl/>
      </w:pPr>
      <w:r>
        <w:t xml:space="preserve">Freeze is a supported rejection; abstention is an unresolved assessment. An operator may attach</w:t>
      </w:r>
      <w:r>
        <w:t xml:space="preserve"> </w:t>
      </w:r>
      <w:r>
        <w:t xml:space="preserve">monitoring, label acquisition, or review to an abstention. The experiments here evaluate only the</w:t>
      </w:r>
      <w:r>
        <w:t xml:space="preserve"> </w:t>
      </w:r>
      <w:r>
        <w:t xml:space="preserve">frozen fallback and uncertainty record, not those additional interventions. If evidence is missing,</w:t>
      </w:r>
      <w:r>
        <w:t xml:space="preserve"> </w:t>
      </w:r>
      <w:r>
        <w:t xml:space="preserve">retaining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must be logged as ABSTAIN when the interface returns an unresolved assessment.</w:t>
      </w:r>
      <w:r>
        <w:t xml:space="preserve"> </w:t>
      </w:r>
      <w:r>
        <w:t xml:space="preserve">An integrity failure may instead raise an exception; the caller must preserve the frozen service</w:t>
      </w:r>
      <w:r>
        <w:t xml:space="preserve"> </w:t>
      </w:r>
      <w:r>
        <w:t xml:space="preserve">and record the failure, not a certified FREEZE. Algorithm 1 describes the</w:t>
      </w:r>
      <w:r>
        <w:t xml:space="preserve"> </w:t>
      </w:r>
      <w:r>
        <w:t xml:space="preserve">decision semantics after this integrity boundary has been handled.</w:t>
      </w:r>
    </w:p>
    <w:p>
      <w:pPr>
        <w:pStyle w:val="BodyText"/>
        <w:widowControl/>
      </w:pPr>
      <w:r>
        <w:t xml:space="preserve">The observed-cell oracle chooses the model with the larger score. Regret is the policy’s score</w:t>
      </w:r>
      <w:r>
        <w:t xml:space="preserve"> </w:t>
      </w:r>
      <w:r>
        <w:t xml:space="preserve">shortfall from that oracle, averaged over the named cells with the stated weights. Always-freeze</w:t>
      </w:r>
      <w:r>
        <w:t xml:space="preserve"> </w:t>
      </w:r>
      <w:r>
        <w:t xml:space="preserve">regret is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Δ</m:t>
            </m:r>
          </m:e>
          <m:sub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; always-adapt regret is</w:t>
      </w:r>
      <w: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(</m:t>
        </m:r>
        <m:r>
          <m:rPr>
            <m:sty m:val="p"/>
          </m:rPr>
          <m:t>−</m:t>
        </m:r>
        <m:sSubSup>
          <m:e>
            <m:r>
              <m:rPr>
                <m:sty m:val="p"/>
              </m:rPr>
              <m:t>Δ</m:t>
            </m:r>
          </m:e>
          <m:sub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 KGA serves the candidate only after ADAPT. Lower regret is</w:t>
      </w:r>
      <w:r>
        <w:t xml:space="preserve"> </w:t>
      </w:r>
      <w:r>
        <w:t xml:space="preserve">better. A zero-benefit tie has zero regret for either model but supports neither strict sign.</w:t>
      </w:r>
    </w:p>
    <w:bookmarkEnd w:id="22"/>
    <w:bookmarkStart w:id="23" w:name="commitment-interval-coverage-and-error"/>
    <w:p>
      <w:pPr>
        <w:pStyle w:val="Heading2"/>
        <w:widowControl/>
      </w:pPr>
      <w:r>
        <w:t xml:space="preserve">3.3 Commitment, Interval Coverage, and Error</w:t>
      </w:r>
    </w:p>
    <w:p>
      <w:pPr>
        <w:pStyle w:val="FirstParagraph"/>
        <w:widowControl/>
      </w:pP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a random evaluation unit drawn from a predeclared deployment-unit distribution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common probability space includes fitting and calibration randomness, candidate construction,</w:t>
      </w:r>
      <w:r>
        <w:t xml:space="preserve"> </w:t>
      </w:r>
      <m:oMath>
        <m:r>
          <m:t>J</m:t>
        </m:r>
      </m:oMath>
      <w:r>
        <w:t xml:space="preserve">, and the records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J</m:t>
            </m:r>
          </m:sub>
        </m:sSub>
      </m:oMath>
      <w:r>
        <w:t xml:space="preserve">. Write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Δ</m:t>
            </m:r>
          </m:e>
          <m:sub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. The probabilities below are</w:t>
      </w:r>
      <w:r>
        <w:t xml:space="preserve"> </w:t>
      </w:r>
      <w:r>
        <w:t xml:space="preserve">prospective marginal quantities under that joint law. When we instead summarize a finite recorded</w:t>
      </w:r>
      <w:r>
        <w:t xml:space="preserve"> </w:t>
      </w:r>
      <w:r>
        <w:t xml:space="preserve">grid, we use the equal-weight empirical measure over its cells and call the result descriptive. It</w:t>
      </w:r>
      <w:r>
        <w:t xml:space="preserve"> </w:t>
      </w:r>
      <w:r>
        <w:t xml:space="preserve">does not estimate the prospective law without an additional sampling design.</w:t>
      </w:r>
    </w:p>
    <w:p>
      <w:pPr>
        <w:pStyle w:val="BodyText"/>
        <w:widowControl/>
      </w:pPr>
      <w:r>
        <w:t xml:space="preserve">With this law and the gate fixed, we distinguish three measurements: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t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nor/>
              <m:sty m:val="p"/>
            </m:rPr>
            <m:t>adapt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freeze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(2)</m:t>
          </m:r>
        </m:oMath>
      </m:oMathPara>
    </w:p>
    <w:p>
      <w:pPr>
        <w:pStyle w:val="FirstParagraph"/>
        <w:widowControl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v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rPr>
                  <m:sty m:val="p"/>
                </m:rPr>
                <m:t>Δ</m:t>
              </m:r>
            </m:e>
          </m:acc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(3)</m:t>
          </m:r>
        </m:oMath>
      </m:oMathPara>
    </w:p>
    <w:p>
      <w:pPr>
        <w:pStyle w:val="FirstParagraph"/>
        <w:widowControl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u</m:t>
              </m:r>
            </m:sub>
          </m:sSub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adapt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p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(4)</m:t>
          </m:r>
        </m:oMath>
      </m:oMathPara>
    </w:p>
    <w:p>
      <w:pPr>
        <w:pStyle w:val="FirstParagraph"/>
        <w:widowControl/>
      </w:pPr>
      <w:r>
        <w:t xml:space="preserve">Conditional false adaptation is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≤</m:t>
        </m:r>
        <m:r>
          <m:t>0</m:t>
        </m:r>
        <m:r>
          <m:rPr>
            <m:sty m:val="p"/>
          </m:rPr>
          <m:t>∣</m:t>
        </m:r>
        <m:r>
          <m:t>g</m:t>
        </m:r>
        <m:r>
          <m:rPr>
            <m:sty m:val="p"/>
          </m:rPr>
          <m:t>=</m:t>
        </m:r>
        <m:r>
          <m:rPr>
            <m:nor/>
            <m:sty m:val="p"/>
          </m:rPr>
          <m:t>adapt</m:t>
        </m:r>
        <m:r>
          <m:rPr>
            <m:sty m:val="p"/>
          </m:rPr>
          <m:t>)</m:t>
        </m:r>
      </m:oMath>
      <w:r>
        <w:t xml:space="preserve">, defined only when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=</m:t>
        </m:r>
        <m:r>
          <m:rPr>
            <m:nor/>
            <m:sty m:val="p"/>
          </m:rPr>
          <m:t>adapt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The operational proposition below bounds only the marginal error, and only when</w:t>
      </w:r>
      <w:r>
        <w:t xml:space="preserve"> </w:t>
      </w:r>
      <w:r>
        <w:t xml:space="preserve">the stated interval coverage premise holds. It does not bound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. A gate that</w:t>
      </w:r>
      <w:r>
        <w:t xml:space="preserve"> </w:t>
      </w:r>
      <w:r>
        <w:t xml:space="preserve">never adapts has zero false adaptations mechanically, so every error report includes action</w:t>
      </w:r>
      <w:r>
        <w:t xml:space="preserve"> </w:t>
      </w:r>
      <w:r>
        <w:t xml:space="preserve">exposure. A false FREEZE is defined analogously by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nor/>
            <m:sty m:val="p"/>
          </m:rPr>
          <m:t>freeze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 Its conditional rate is undefined when no FREEZE action occurs.</w:t>
      </w:r>
    </w:p>
    <w:p>
      <w:pPr>
        <w:pStyle w:val="TableCaption"/>
        <w:widowControl/>
      </w:pPr>
      <w:r>
        <w:t xml:space="preserve">Table 3. Validity obligations for the paper’s three claim levels. Each row states its target,</w:t>
      </w:r>
      <w:r>
        <w:t xml:space="preserve"> </w:t>
      </w:r>
      <w:r>
        <w:t xml:space="preserve">required premise, supported conclusion, and excluded inference.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3. Validity obligations for the paper’s three claim levels. Each row states its target, required premise, supported conclusion, and excluded inferenc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375"/>
        <w:gridCol w:w="3016"/>
        <w:gridCol w:w="3016"/>
        <w:gridCol w:w="2553"/>
      </w:tblGrid>
      <w:tr>
        <w:trPr>
          <w:tblHeader w:val="true"/>
          <w:cantSplit w:val="true"/>
        </w:trPr>
        <w:tc>
          <w:tcPr>
            <w:tcW w:w="137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Claim level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Required premise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Supported conclusion</w:t>
            </w:r>
          </w:p>
        </w:tc>
        <w:tc>
          <w:tcPr>
            <w:tcW w:w="255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Not implied</w:t>
            </w:r>
          </w:p>
        </w:tc>
      </w:tr>
      <w:tr>
        <w:trPr>
          <w:cantSplit w:val="true"/>
        </w:trPr>
        <w:tc>
          <w:tcPr>
            <w:tcW w:w="137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Population frontier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binary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1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loss, fixed augmented evidence, declared residual class; richness for necessity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exact strict-sign frontier within that class</w:t>
            </w:r>
          </w:p>
        </w:tc>
        <w:tc>
          <w:tcPr>
            <w:tcW w:w="255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learning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from unlabeled data</w:t>
            </w:r>
          </w:p>
        </w:tc>
      </w:tr>
      <w:tr>
        <w:trPr>
          <w:cantSplit w:val="true"/>
        </w:trPr>
        <w:tc>
          <w:tcPr>
            <w:tcW w:w="137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Operational proposition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marginal interval coverage for a named scalar target and unit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marginal false commitment for that target</w:t>
            </w:r>
          </w:p>
        </w:tc>
        <w:tc>
          <w:tcPr>
            <w:tcW w:w="255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conditional, group, or anytime control</w:t>
            </w:r>
          </w:p>
        </w:tc>
      </w:tr>
      <w:tr>
        <w:trPr>
          <w:cantSplit w:val="true"/>
        </w:trPr>
        <w:tc>
          <w:tcPr>
            <w:tcW w:w="137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Empirical evaluation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fixed candidates, splits, metric, and action rule</w:t>
            </w:r>
          </w:p>
        </w:tc>
        <w:tc>
          <w:tcPr>
            <w:tcW w:w="30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measured cell regret, inclusion, and action exposure</w:t>
            </w:r>
          </w:p>
        </w:tc>
        <w:tc>
          <w:tcPr>
            <w:tcW w:w="255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population transfer or prospective confirmation</w:t>
            </w:r>
          </w:p>
        </w:tc>
      </w:tr>
    </w:tbl>
    <w:p>
      <w:pPr>
        <w:pStyle w:val="BodyText"/>
        <w:widowControl/>
      </w:pPr>
      <w:r>
        <w:t xml:space="preserve">The population theorem uses binary labels and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loss. The empirical gate can target a</w:t>
      </w:r>
      <w:r>
        <w:t xml:space="preserve"> </w:t>
      </w:r>
      <w:r>
        <w:t xml:space="preserve">predeclared scalar score difference, including a multiclass metric, but that interface does not</w:t>
      </w:r>
      <w:r>
        <w:t xml:space="preserve"> </w:t>
      </w:r>
      <w:r>
        <w:t xml:space="preserve">extend the binary theorem. The</w:t>
      </w:r>
      <w:r>
        <w:t xml:space="preserve"> </w:t>
      </w:r>
      <w:r>
        <w:t xml:space="preserve">reviewer guide in Appendix L</w:t>
      </w:r>
      <w:r>
        <w:t xml:space="preserve"> </w:t>
      </w:r>
      <w:r>
        <w:t xml:space="preserve">records the multiclass identity.</w:t>
      </w:r>
    </w:p>
    <w:p>
      <w:pPr>
        <w:pStyle w:val="BodyText"/>
        <w:widowControl/>
      </w:pPr>
      <w:r>
        <w:rPr>
          <w:b/>
          <w:bCs/>
        </w:rPr>
        <w:t xml:space="preserve">Six-symbol guide.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observable population-side disagreement margin;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 hidden target</w:t>
      </w:r>
      <w:r>
        <w:t xml:space="preserve"> </w:t>
      </w:r>
      <w:r>
        <w:t xml:space="preserve">calibration residual; 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is an externally declared bound on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</m:oMath>
      <w:r>
        <w:t xml:space="preserve">. These quantities</w:t>
      </w:r>
      <w:r>
        <w:t xml:space="preserve"> </w:t>
      </w:r>
      <w:r>
        <w:t xml:space="preserve">bracket population benefit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 At the empirical level,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t xml:space="preserve">measured cell benefit,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</m:oMath>
      <w:r>
        <w:t xml:space="preserve"> </w:t>
      </w:r>
      <w:r>
        <w:t xml:space="preserve">is its prediction, 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the calibrated</w:t>
      </w:r>
      <w:r>
        <w:t xml:space="preserve"> </w:t>
      </w:r>
      <w:r>
        <w:t xml:space="preserve">prediction-error radius. Thus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γ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supports population reasoning, whereas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,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brackets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; the two uncertainty objects are not</w:t>
      </w:r>
      <w:r>
        <w:t xml:space="preserve"> </w:t>
      </w:r>
      <w:r>
        <w:t xml:space="preserve">interchangeable.</w:t>
      </w:r>
    </w:p>
    <w:bookmarkEnd w:id="23"/>
    <w:bookmarkEnd w:id="24"/>
    <w:bookmarkStart w:id="34" w:name="Xfc94c8393ca270c794bc42a7c5597c9c1907546"/>
    <w:p>
      <w:pPr>
        <w:pStyle w:val="Heading1"/>
        <w:widowControl/>
      </w:pPr>
      <w:r>
        <w:t xml:space="preserve">4 Population Partial-Identification Frontier</w:t>
      </w:r>
    </w:p>
    <w:p>
      <w:pPr>
        <w:pStyle w:val="FirstParagraph"/>
        <w:widowControl/>
      </w:pPr>
      <w:r>
        <w:t xml:space="preserve">The decision depends on one unknown sign: the sign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 Target labels hide that sign.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supplies the visible direction,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records what labels still hide, 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limits how</w:t>
      </w:r>
      <w:r>
        <w:t xml:space="preserve"> </w:t>
      </w:r>
      <w:r>
        <w:t xml:space="preserve">large that hidden term may be. Together they yield the exact three-action frontier.</w:t>
      </w:r>
    </w:p>
    <w:bookmarkStart w:id="25" w:name="disagreement-region-model"/>
    <w:p>
      <w:pPr>
        <w:pStyle w:val="Heading2"/>
        <w:widowControl/>
      </w:pPr>
      <w:r>
        <w:t xml:space="preserve">4.1 Disagreement-Region Model</w:t>
      </w:r>
    </w:p>
    <w:p>
      <w:pPr>
        <w:pStyle w:val="FirstParagraph"/>
        <w:widowControl/>
      </w:pPr>
      <w:r>
        <w:t xml:space="preserve">The two predictors can differ in risk only where they disagree. We therefore isolate that region</w:t>
      </w:r>
      <w:r>
        <w:t xml:space="preserve"> </w:t>
      </w:r>
      <w:r>
        <w:t xml:space="preserve">before introducing the score and its hidden residual.</w:t>
      </w:r>
    </w:p>
    <w:p>
      <w:pPr>
        <w:pStyle w:val="BodyText"/>
        <w:widowControl/>
      </w:pPr>
      <w:r>
        <w:rPr>
          <w:b/>
          <w:bCs/>
        </w:rPr>
        <w:t xml:space="preserve">Assumption 1</w:t>
      </w:r>
      <w:r>
        <w:t xml:space="preserve"> </w:t>
      </w:r>
      <w:r>
        <w:t xml:space="preserve">(Deployment setup).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 use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loss. Fix measurable binary predictors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.</w:t>
      </w:r>
      <w:r>
        <w:t xml:space="preserve"> </w:t>
      </w:r>
      <w:r>
        <w:t xml:space="preserve">Their disagreement region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: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; assume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  <w:widowControl/>
      </w:pP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:</m:t>
        </m:r>
        <m:r>
          <m:rPr>
            <m:scr m:val="script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be a fixed measurable candidate-correctness score fitted from source</w:t>
      </w:r>
      <w:r>
        <w:t xml:space="preserve"> </w:t>
      </w:r>
      <w:r>
        <w:t xml:space="preserve">information. The target law has the measurable correctness kernel</w:t>
      </w:r>
      <w:r>
        <w:t xml:space="preserve"> </w:t>
      </w:r>
      <m:oMath>
        <m:sSub>
          <m:e>
            <m:r>
              <m:t>η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 Conditional on</w:t>
      </w:r>
      <w:r>
        <w:t xml:space="preserve"> </w:t>
      </w:r>
      <m:oMath>
        <m:r>
          <m:t>D</m:t>
        </m:r>
      </m:oMath>
      <w:r>
        <w:t xml:space="preserve">, define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γ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b>
            <m:e>
              <m:r>
                <m:t>η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(5)</m:t>
          </m:r>
        </m:oMath>
      </m:oMathPara>
    </w:p>
    <w:p>
      <w:pPr>
        <w:pStyle w:val="FirstParagraph"/>
        <w:widowControl/>
      </w:pPr>
      <w:r>
        <w:t xml:space="preserve">The class radius</w:t>
      </w:r>
      <w:r>
        <w:t xml:space="preserve"> </w:t>
      </w:r>
      <m:oMath>
        <m:r>
          <m:t>β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supplied externally. It defines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|</m:t>
        </m:r>
        <m:r>
          <m:t>γ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}</m:t>
        </m:r>
      </m:oMath>
      <w:r>
        <w:t xml:space="preserve">. Because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the feasible margin is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. The identities below do not assume that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source-calibrated.</w:t>
      </w:r>
    </w:p>
    <w:p>
      <w:pPr>
        <w:pStyle w:val="BodyText"/>
        <w:widowControl/>
      </w:pPr>
      <w:r>
        <w:rPr>
          <w:i/>
          <w:iCs/>
        </w:rPr>
        <w:t xml:space="preserve">Remark 1</w:t>
      </w:r>
      <w:r>
        <w:t xml:space="preserve"> </w:t>
      </w:r>
      <w:r>
        <w:t xml:space="preserve">(Residual identity).</w:t>
      </w:r>
      <w:r>
        <w:t xml:space="preserve"> </w:t>
      </w:r>
      <w:r>
        <w:t xml:space="preserve"> </w:t>
      </w:r>
      <w:r>
        <w:t xml:space="preserve">By definition,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η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 This is an algebraic decomposition, not</w:t>
      </w:r>
      <w:r>
        <w:t xml:space="preserve"> </w:t>
      </w:r>
      <w:r>
        <w:t xml:space="preserve">evidence that calibration transfers. We call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the target disagreement-conditional</w:t>
      </w:r>
      <w:r>
        <w:t xml:space="preserve"> </w:t>
      </w:r>
      <w:r>
        <w:t xml:space="preserve">calibration residual; conditioning can make it nonzero even without distribution shift. The</w:t>
      </w:r>
      <w:r>
        <w:t xml:space="preserve"> </w:t>
      </w:r>
      <w:r>
        <w:t xml:space="preserve">reviewer guide in Appendix L</w:t>
      </w:r>
      <w:r>
        <w:t xml:space="preserve"> </w:t>
      </w:r>
      <w:r>
        <w:t xml:space="preserve">gives the full counterexample and calibration qualification.</w:t>
      </w:r>
    </w:p>
    <w:p>
      <w:pPr>
        <w:pStyle w:val="BodyText"/>
        <w:widowControl/>
      </w:pPr>
      <w:r>
        <w:rPr>
          <w:b/>
          <w:bCs/>
        </w:rPr>
        <w:t xml:space="preserve">Definition 2</w:t>
      </w:r>
      <w:r>
        <w:t xml:space="preserve"> </w:t>
      </w:r>
      <w:r>
        <w:t xml:space="preserve">(Risk alignment).</w:t>
      </w:r>
      <w:r>
        <w:t xml:space="preserve"> </w:t>
      </w:r>
      <w:r>
        <w:t xml:space="preserve"> </w:t>
      </w:r>
      <w:r>
        <w:t xml:space="preserve">Evidence is risk-aligned when evidence-identical laws cannot have opposite nonzero benefit signs.</w:t>
      </w:r>
      <w:r>
        <w:t xml:space="preserve"> </w:t>
      </w:r>
      <w:r>
        <w:t xml:space="preserve">This is weaker than uniform strict-sign identification: a fibre may still contain zero and</w:t>
      </w:r>
      <w:r>
        <w:t xml:space="preserve"> </w:t>
      </w:r>
      <w:r>
        <w:t xml:space="preserve">positive benefit. We use the augmented evidence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Definition 3</w:t>
      </w:r>
      <w:r>
        <w:t xml:space="preserve"> </w:t>
      </w:r>
      <w:r>
        <w:t xml:space="preserve">(Strict directional soundness).</w:t>
      </w:r>
      <w:r>
        <w:t xml:space="preserve"> </w:t>
      </w:r>
      <w:r>
        <w:t xml:space="preserve"> </w:t>
      </w:r>
      <w:r>
        <w:t xml:space="preserve">At a fixed augmented-evidence law, ADAPT is sound when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compatible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t xml:space="preserve">, and FREEZE is sound when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throughout the fibre. A pointwise</w:t>
      </w:r>
      <w:r>
        <w:t xml:space="preserve"> </w:t>
      </w:r>
      <w:r>
        <w:t xml:space="preserve">maximal rule commits exactly when one strict action is sound and abstains otherwise;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supports neither strict claim.</w:t>
      </w:r>
    </w:p>
    <w:bookmarkEnd w:id="25"/>
    <w:bookmarkStart w:id="26" w:name="X3370041a962c3ca405ac6cc1e832569788357ba"/>
    <w:p>
      <w:pPr>
        <w:pStyle w:val="Heading2"/>
        <w:widowControl/>
      </w:pPr>
      <w:r>
        <w:t xml:space="preserve">4.2 Label-Kernel Freedom on the Disagreement Region</w:t>
      </w:r>
    </w:p>
    <w:p>
      <w:pPr>
        <w:pStyle w:val="FirstParagraph"/>
        <w:widowControl/>
      </w:pPr>
      <w:r>
        <w:t xml:space="preserve">The central obstacle is now visible. Labels can change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while the input distribution and all</w:t>
      </w:r>
      <w:r>
        <w:t xml:space="preserve"> </w:t>
      </w:r>
      <w:r>
        <w:t xml:space="preserve">model outputs stay fixed. The next lemma isolates that freedom.</w:t>
      </w:r>
    </w:p>
    <w:p>
      <w:pPr>
        <w:pStyle w:val="BodyText"/>
        <w:widowControl/>
      </w:pPr>
      <w:r>
        <w:rPr>
          <w:b/>
          <w:bCs/>
        </w:rPr>
        <w:t xml:space="preserve">Lemma 1</w:t>
      </w:r>
      <w:r>
        <w:t xml:space="preserve"> </w:t>
      </w:r>
      <w:r>
        <w:t xml:space="preserve">(Label-kernel freedom on disagreement).</w:t>
      </w:r>
      <w:r>
        <w:t xml:space="preserve"> </w:t>
      </w:r>
      <w:r>
        <w:t xml:space="preserve"> </w:t>
      </w:r>
      <w:r>
        <w:rPr>
          <w:i/>
          <w:iCs/>
        </w:rPr>
        <w:t xml:space="preserve">Fix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rPr>
          <w:i/>
          <w:iCs/>
        </w:rPr>
        <w:t xml:space="preserve">, and therefore fix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. Also fix the conditional label law</w:t>
      </w:r>
      <w:r>
        <w:rPr>
          <w:i/>
          <w:iCs/>
        </w:rPr>
        <w:t xml:space="preserve"> </w:t>
      </w:r>
      <w:r>
        <w:rPr>
          <w:i/>
          <w:iCs/>
        </w:rPr>
        <w:t xml:space="preserve">outside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. For every measurable</w:t>
      </w:r>
      <w:r>
        <w:rPr>
          <w:i/>
          <w:iCs/>
        </w:rPr>
        <w:t xml:space="preserve"> </w:t>
      </w:r>
      <m:oMath>
        <m:r>
          <m:t>η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i/>
          <w:iCs/>
        </w:rPr>
        <w:t xml:space="preserve">, there is a target law with input marginal</w:t>
      </w:r>
      <w:r>
        <w:rPr>
          <w:i/>
          <w:iCs/>
        </w:rP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</w:t>
      </w:r>
      <w:r>
        <w:rPr>
          <w:i/>
          <w:iCs/>
        </w:rPr>
        <w:t xml:space="preserve"> </w:t>
      </w:r>
      <m:oMath>
        <m:r>
          <m:t>D</m:t>
        </m:r>
      </m:oMath>
      <w:r>
        <w:rPr>
          <w:i/>
          <w:iCs/>
        </w:rPr>
        <w:t xml:space="preserve">. Across these laws, every label-free observable</w:t>
      </w:r>
      <w:r>
        <w:rPr>
          <w:i/>
          <w:iCs/>
        </w:rPr>
        <w:t xml:space="preserve"> </w:t>
      </w:r>
      <w:r>
        <w:rPr>
          <w:i/>
          <w:iCs/>
        </w:rPr>
        <w:t xml:space="preserve">formed from the input batch, fixed models, and model outputs under the declared common observation</w:t>
      </w:r>
      <w:r>
        <w:rPr>
          <w:i/>
          <w:iCs/>
        </w:rPr>
        <w:t xml:space="preserve"> </w:t>
      </w:r>
      <w:r>
        <w:rPr>
          <w:i/>
          <w:iCs/>
        </w:rPr>
        <w:t xml:space="preserve">experiment has the same distribution. Meanwhile,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γ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r>
            <m:t>η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On</w:t>
      </w:r>
      <w:r>
        <w:t xml:space="preserve"> </w:t>
      </w:r>
      <m:oMath>
        <m:r>
          <m:t>D</m:t>
        </m:r>
      </m:oMath>
      <w:r>
        <w:t xml:space="preserve">, one binary predictor outputs 0 and the other outputs 1. Assign conditional probability</w:t>
      </w:r>
      <w:r>
        <w:t xml:space="preserve"> </w:t>
      </w:r>
      <m:oMath>
        <m:r>
          <m:t>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η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Retain the fixed label kernel outside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This construction changes neither the input marginal nor any model output. The declared</w:t>
      </w:r>
      <w:r>
        <w:t xml:space="preserve"> </w:t>
      </w:r>
      <w:r>
        <w:t xml:space="preserve">observation law factors through that fixed marginal, so its label-free evidence laws are preserved.</w:t>
      </w:r>
      <w:r>
        <w:t xml:space="preserve"> </w:t>
      </w:r>
      <w:r>
        <w:t xml:space="preserve">Equation (5) gives the displayed expression</w:t>
      </w:r>
      <w:r>
        <w:t xml:space="preserve"> </w:t>
      </w:r>
      <w:r>
        <w:t xml:space="preserve">for</w:t>
      </w:r>
      <w:r>
        <w:t xml:space="preserve"> </w:t>
      </w:r>
      <m:oMath>
        <m:r>
          <m:t>γ</m:t>
        </m:r>
      </m:oMath>
      <w:r>
        <w:t xml:space="preserve">. ◻</w:t>
      </w:r>
    </w:p>
    <w:p>
      <w:pPr>
        <w:pStyle w:val="BodyText"/>
        <w:widowControl/>
      </w:pPr>
      <w:r>
        <w:t xml:space="preserve">Consequently, every statistic formed from target inputs and fixed model outputs under this</w:t>
      </w:r>
      <w:r>
        <w:t xml:space="preserve"> </w:t>
      </w:r>
      <w:r>
        <w:t xml:space="preserve">observation experiment has unchanged law, although the models’ relative correctness can change.</w:t>
      </w:r>
    </w:p>
    <w:bookmarkEnd w:id="26"/>
    <w:bookmarkStart w:id="27" w:name="X5a94b9d48aaf3ec4957b807ccd5ee82da1e9c20"/>
    <w:p>
      <w:pPr>
        <w:pStyle w:val="Heading2"/>
        <w:widowControl/>
      </w:pPr>
      <w:r>
        <w:t xml:space="preserve">4.3 Benefit Reduction and Matched-Evidence Impossibility</w:t>
      </w:r>
    </w:p>
    <w:p>
      <w:pPr>
        <w:pStyle w:val="FirstParagraph"/>
        <w:widowControl/>
      </w:pPr>
      <w:r>
        <w:t xml:space="preserve">The first result connects the decision target to the three population symbols. Because the models</w:t>
      </w:r>
      <w:r>
        <w:t xml:space="preserve"> </w:t>
      </w:r>
      <w:r>
        <w:t xml:space="preserve">agree off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and binary correctness is complementary on</w:t>
      </w:r>
      <w:r>
        <w:t xml:space="preserve"> </w:t>
      </w:r>
      <m:oMath>
        <m:r>
          <m:t>D</m:t>
        </m:r>
      </m:oMath>
      <w:r>
        <w:t xml:space="preserve">, benefit depends only on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γ</m:t>
        </m:r>
      </m:oMath>
      <w:r>
        <w:t xml:space="preserve">.</w:t>
      </w:r>
    </w:p>
    <w:p>
      <w:pPr>
        <w:pStyle w:val="BodyText"/>
        <w:widowControl/>
      </w:pPr>
      <w:r>
        <w:rPr>
          <w:b/>
          <w:bCs/>
        </w:rPr>
        <w:t xml:space="preserve">Lemma 2</w:t>
      </w:r>
      <w:r>
        <w:t xml:space="preserve"> </w:t>
      </w:r>
      <w:r>
        <w:t xml:space="preserve">(Disagreement-region reduction).</w:t>
      </w:r>
      <w:r>
        <w:t xml:space="preserve"> </w:t>
      </w:r>
      <w:r>
        <w:t xml:space="preserve"> </w:t>
      </w:r>
      <w:r>
        <w:rPr>
          <w:i/>
          <w:iCs/>
        </w:rPr>
        <w:t xml:space="preserve">Under Assumption 1, with</w:t>
      </w:r>
      <w:r>
        <w:rPr>
          <w:i/>
          <w:iCs/>
        </w:rP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t>2</m:t>
          </m:r>
          <m:r>
            <m:t> </m:t>
          </m:r>
          <m:sSub>
            <m:e>
              <m:r>
                <m:t>μ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d>
            <m:dPr>
              <m:begChr m:val="("/>
              <m:sepChr m:val=""/>
              <m:endChr m:val=")"/>
              <m:grow/>
            </m:dPr>
            <m:e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ty m:val="p"/>
            </m:rPr>
            <m:t>sign</m:t>
          </m:r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bar>
            <m:barPr>
              <m:pos m:val="top"/>
            </m:barPr>
            <m:e>
              <m:r>
                <m:t>a</m:t>
              </m:r>
            </m:e>
          </m:ba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sign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 identity</w:t>
      </w:r>
      <w:r>
        <w:rPr>
          <w:i/>
          <w:iCs/>
        </w:rPr>
        <w:t xml:space="preserve"> </w:t>
      </w:r>
      <m:oMath>
        <m:r>
          <m:rPr>
            <m:sty m:val="p"/>
          </m:rPr>
          <m:t>sign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holds for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every</w:t>
      </w:r>
      <w:r>
        <w:rPr>
          <w:i/>
          <w:iCs/>
        </w:rPr>
        <w:t xml:space="preserve"> </w:t>
      </w:r>
      <w:r>
        <w:rPr>
          <w:i/>
          <w:iCs/>
        </w:rPr>
        <w:t xml:space="preserve">target law; it does not</w:t>
      </w:r>
      <w:r>
        <w:rPr>
          <w:i/>
          <w:iCs/>
        </w:rPr>
        <w:t xml:space="preserve"> </w:t>
      </w:r>
      <w:r>
        <w:rPr>
          <w:i/>
          <w:iCs/>
        </w:rPr>
        <w:t xml:space="preserve">assume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</m:oMath>
      <w:r>
        <w:rPr>
          <w:i/>
          <w:iCs/>
        </w:rPr>
        <w:t xml:space="preserve">.</w:t>
      </w:r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Outside</w:t>
      </w:r>
      <w:r>
        <w:t xml:space="preserve"> </w:t>
      </w:r>
      <m:oMath>
        <m:r>
          <m:t>D</m:t>
        </m:r>
      </m:oMath>
      <w:r>
        <w:t xml:space="preserve">, the two predictors agree and incur the same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loss. On</w:t>
      </w:r>
      <w:r>
        <w:t xml:space="preserve"> </w:t>
      </w:r>
      <m:oMath>
        <m:r>
          <m:t>D</m:t>
        </m:r>
      </m:oMath>
      <w:r>
        <w:t xml:space="preserve">, exactly one is</w:t>
      </w:r>
      <w:r>
        <w:t xml:space="preserve"> </w:t>
      </w:r>
      <w:r>
        <w:t xml:space="preserve">correct. The adapted and frozen accuracies conditional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therefore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bar>
          <m:barPr>
            <m:pos m:val="top"/>
          </m:barPr>
          <m:e>
            <m:r>
              <m:t>a</m:t>
            </m:r>
          </m:e>
        </m:bar>
      </m:oMath>
      <w:r>
        <w:t xml:space="preserve">. Hence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2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(</m:t>
        </m:r>
        <m:bar>
          <m:barPr>
            <m:pos m:val="top"/>
          </m:barPr>
          <m:e>
            <m:r>
              <m:t>a</m:t>
            </m:r>
          </m:e>
        </m:ba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. The definitions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give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μ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[</m:t>
              </m:r>
              <m:r>
                <m:t>s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D</m:t>
              </m:r>
            </m:sub>
          </m:sSub>
          <m:r>
            <m:rPr>
              <m:sty m:val="p"/>
            </m:rPr>
            <m:t>[</m:t>
          </m:r>
          <m:sSub>
            <m:e>
              <m:r>
                <m:t>η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  <w:widowControl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D</m:t>
              </m:r>
            </m:sub>
          </m:sSub>
          <m:r>
            <m:rPr>
              <m:sty m:val="p"/>
            </m:rPr>
            <m:t>[</m:t>
          </m:r>
          <m:sSub>
            <m:e>
              <m:r>
                <m:t>η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</m:e>
          </m:bar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Because</w:t>
      </w:r>
      <w:r>
        <w:t xml:space="preserve"> </w:t>
      </w:r>
      <m:oMath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three quantities have the same sign. ◻</w:t>
      </w:r>
    </w:p>
    <w:p>
      <w:pPr>
        <w:pStyle w:val="BodyText"/>
        <w:widowControl/>
      </w:pPr>
      <w:r>
        <w:t xml:space="preserve">The reduction tells us which hidden quantity controls the sign. The harder question is</w:t>
      </w:r>
      <w:r>
        <w:t xml:space="preserve"> </w:t>
      </w:r>
      <w:r>
        <w:t xml:space="preserve">identification. Can two target worlds agree on every permitted observation while assigning</w:t>
      </w:r>
      <w:r>
        <w:t xml:space="preserve"> </w:t>
      </w:r>
      <w:r>
        <w:t xml:space="preserve">opposite signs to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? Inside the declared band, the answer is yes.</w:t>
      </w:r>
    </w:p>
    <w:p>
      <w:pPr>
        <w:pStyle w:val="BodyText"/>
        <w:widowControl/>
      </w:pPr>
      <w:r>
        <w:rPr>
          <w:b/>
          <w:bCs/>
        </w:rPr>
        <w:t xml:space="preserve">Theorem 1</w:t>
      </w:r>
      <w:r>
        <w:t xml:space="preserve"> </w:t>
      </w:r>
      <w:r>
        <w:t xml:space="preserve">(Interior matched-evidence impossibility).</w:t>
      </w:r>
      <w:r>
        <w:t xml:space="preserve"> </w:t>
      </w:r>
      <w:r>
        <w:t xml:space="preserve"> </w:t>
      </w:r>
      <w:r>
        <w:rPr>
          <w:i/>
          <w:iCs/>
        </w:rPr>
        <w:t xml:space="preserve">Fix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 For any feasible margin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β</m:t>
        </m:r>
      </m:oMath>
      <w:r>
        <w:rPr>
          <w:i/>
          <w:iCs/>
        </w:rPr>
        <w:t xml:space="preserve">, there exist</w:t>
      </w:r>
      <w:r>
        <w:rPr>
          <w:i/>
          <w:iCs/>
        </w:rP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with the following properties: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center"/>
                    <m:count m:val="1"/>
                  </m:mcPr>
                </m:mc>
              </m:mcs>
            </m:mPr>
            <m:mr>
              <m:e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∣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Z</m:t>
                    </m:r>
                  </m:e>
                </m:acc>
                <m:r>
                  <m:rPr>
                    <m:sty m:val="p"/>
                  </m:rPr>
                  <m:t>∣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t>M</m:t>
                </m:r>
                <m:r>
                  <m:rPr>
                    <m:sty m:val="p"/>
                  </m:rPr>
                  <m:t>(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(</m:t>
                </m:r>
                <m:sSubSup>
                  <m:e>
                    <m:r>
                      <m:t>P</m:t>
                    </m:r>
                  </m:e>
                  <m:sub>
                    <m:r>
                      <m:t>T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r>
                  <m:rPr>
                    <m:sty m:val="p"/>
                  </m:rPr>
                  <m:t>sign</m:t>
                </m:r>
                <m:sSub>
                  <m:e>
                    <m:r>
                      <m:rPr>
                        <m:sty m:val="p"/>
                      </m:rPr>
                      <m:t>Δ</m:t>
                    </m:r>
                  </m:e>
                  <m:sub>
                    <m:r>
                      <m:rPr>
                        <m:sty m:val="p"/>
                      </m:rPr>
                      <m:t>+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sign</m:t>
                </m:r>
                <m:sSub>
                  <m:e>
                    <m:r>
                      <m:rPr>
                        <m:sty m:val="p"/>
                      </m:rPr>
                      <m:t>Δ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</m:sub>
                </m:sSub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</m:mr>
          </m:m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where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rPr>
          <w:i/>
          <w:iCs/>
        </w:rPr>
        <w:t xml:space="preserve">. If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forces</w:t>
      </w:r>
      <w:r>
        <w:rPr>
          <w:i/>
          <w:iCs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rPr>
            <m:sty m:val="p"/>
          </m:rPr>
          <m:t>sign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t>M</m:t>
        </m:r>
      </m:oMath>
      <w:r>
        <w:rPr>
          <w:i/>
          <w:iCs/>
        </w:rPr>
        <w:t xml:space="preserve">; matched-evidence ambiguity therefore requires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.</w:t>
      </w:r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Choose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&lt;</m:t>
        </m:r>
        <m:r>
          <m:rPr>
            <m:sty m:val="p"/>
          </m:rPr>
          <m:t>min</m:t>
        </m:r>
        <m:r>
          <m:rPr>
            <m:sty m:val="p"/>
          </m:rPr>
          <m:t>{</m:t>
        </m:r>
        <m:r>
          <m:t>β</m:t>
        </m:r>
        <m:r>
          <m:rPr>
            <m:sty m:val="p"/>
          </m:rPr>
          <m:t>−</m:t>
        </m:r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t xml:space="preserve">. 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 apply Lemma 1 with the constant correctness kernel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θ</m:t>
          </m:r>
          <m:r>
            <m:t>δ</m:t>
          </m:r>
          <m:r>
            <m:rPr>
              <m:sty m:val="p"/>
            </m:rPr>
            <m:t>,</m:t>
          </m:r>
          <m:r>
            <m:t>  </m:t>
          </m:r>
          <m:r>
            <m:t>x</m:t>
          </m:r>
          <m:r>
            <m:rPr>
              <m:sty m:val="p"/>
            </m:rPr>
            <m:t>∈</m:t>
          </m:r>
          <m:r>
            <m:t>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t xml:space="preserve">and use the same fixed label kernel outside</w:t>
      </w:r>
      <w:r>
        <w:t xml:space="preserve"> </w:t>
      </w:r>
      <m:oMath>
        <m:r>
          <m:t>D</m:t>
        </m:r>
      </m:oMath>
      <w:r>
        <w:t xml:space="preserve">. Denote the resulting target law by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θ</m:t>
            </m:r>
          </m:sup>
        </m:sSubSup>
      </m:oMath>
      <w:r>
        <w:t xml:space="preserve">. The input marginal, predictors, score, and source law are fixed, 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same under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. Lemma 1 also gives the same law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in the two</w:t>
      </w:r>
      <w:r>
        <w:t xml:space="preserve"> </w:t>
      </w:r>
      <w:r>
        <w:t xml:space="preserve">worlds. Consequently,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∣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w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∣</m:t>
        </m:r>
        <m:sSubSup>
          <m:e>
            <m:r>
              <m:t>P</m:t>
            </m:r>
          </m:e>
          <m:sub>
            <m:r>
              <m:t>T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  <w:widowControl/>
      </w:pPr>
      <w:r>
        <w:t xml:space="preserve">It remains to verify class membership and the benefit signs. Under</w:t>
      </w:r>
      <w:r>
        <w:t xml:space="preserve"> </w:t>
      </w:r>
      <m:oMath>
        <m:sSubSup>
          <m:e>
            <m:r>
              <m:t>P</m:t>
            </m:r>
          </m:e>
          <m:sub>
            <m:r>
              <m:t>T</m:t>
            </m:r>
          </m:sub>
          <m:sup>
            <m:r>
              <m:t>θ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a</m:t>
                </m:r>
              </m:e>
            </m:bar>
          </m:e>
          <m:sub>
            <m:r>
              <m:t>θ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θ</m:t>
        </m:r>
        <m:r>
          <m:t>δ</m:t>
        </m:r>
      </m:oMath>
      <w:r>
        <w:t xml:space="preserve"> </w:t>
      </w:r>
      <w:r>
        <w:t xml:space="preserve">and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>
            <m:t>θ</m:t>
          </m:r>
          <m:r>
            <m:t>δ</m:t>
          </m:r>
          <m:r>
            <m:rPr>
              <m:sty m:val="p"/>
            </m:rPr>
            <m:t>−</m:t>
          </m:r>
          <m:r>
            <m:t>M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|</m:t>
          </m:r>
          <m:sSub>
            <m:e>
              <m:r>
                <m:t>γ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δ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M</m:t>
          </m:r>
          <m:r>
            <m:rPr>
              <m:sty m:val="p"/>
            </m:rPr>
            <m:t>|</m:t>
          </m:r>
          <m:r>
            <m:rPr>
              <m:sty m:val="p"/>
            </m:rPr>
            <m:t>&lt;</m:t>
          </m:r>
          <m:r>
            <m:t>β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Thus both laws belong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t xml:space="preserve">. Lemma 2 yields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t>θ</m:t>
        </m:r>
        <m:r>
          <m:t>δ</m:t>
        </m:r>
      </m:oMath>
      <w:r>
        <w:t xml:space="preserve">. The two benefits are nonzero and have opposite signs. ◻</w:t>
      </w:r>
    </w:p>
    <w:p>
      <w:pPr>
        <w:pStyle w:val="BodyText"/>
        <w:widowControl/>
      </w:pPr>
      <w:r>
        <w:t xml:space="preserve">The evidence laws coincide exactly—their total-variation distance is zero—so this is</w:t>
      </w:r>
      <w:r>
        <w:t xml:space="preserve"> </w:t>
      </w:r>
      <w:r>
        <w:t xml:space="preserve">exact non-identifiability, not a rate-dependent testing bound. Randomization cannot resolve two</w:t>
      </w:r>
      <w:r>
        <w:t xml:space="preserve"> </w:t>
      </w:r>
      <w:r>
        <w:t xml:space="preserve">worlds that induce exactly the same evidence law. Controlling both directional errors therefore</w:t>
      </w:r>
      <w:r>
        <w:t xml:space="preserve"> </w:t>
      </w:r>
      <w:r>
        <w:t xml:space="preserve">requires abstention.</w:t>
      </w:r>
    </w:p>
    <w:p>
      <w:pPr>
        <w:pStyle w:val="BodyText"/>
        <w:widowControl/>
      </w:pPr>
      <w:r>
        <w:rPr>
          <w:b/>
          <w:bCs/>
        </w:rPr>
        <w:t xml:space="preserve">Corollary 1</w:t>
      </w:r>
      <w:r>
        <w:t xml:space="preserve"> </w:t>
      </w:r>
      <w:r>
        <w:t xml:space="preserve">(Matched-evidence abstention lower bound).</w:t>
      </w:r>
      <w:r>
        <w:t xml:space="preserve"> </w:t>
      </w:r>
      <w:r>
        <w:t xml:space="preserve"> </w:t>
      </w:r>
      <w:r>
        <w:rPr>
          <w:i/>
          <w:iCs/>
        </w:rPr>
        <w:t xml:space="preserve">Fix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the shared evidence law from Theorem 1. Let</w:t>
      </w:r>
      <w:r>
        <w:rPr>
          <w:i/>
          <w:iCs/>
        </w:rPr>
        <w:t xml:space="preserve"> </w:t>
      </w:r>
      <m:oMath>
        <m:r>
          <m:t>g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</w:t>
      </w:r>
      <w:r>
        <w:rPr>
          <w:i/>
          <w:iCs/>
        </w:rPr>
        <w:t xml:space="preserve"> </w:t>
      </w:r>
      <w:r>
        <w:rPr>
          <w:i/>
          <w:iCs/>
        </w:rPr>
        <w:t xml:space="preserve">any possibly randomized label-free rule. If, in every admissible world,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adapt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[</m:t>
          </m:r>
          <m:r>
            <m:t>g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freeze</m:t>
          </m:r>
          <m:r>
            <m:rPr>
              <m:sty m:val="p"/>
            </m:rPr>
            <m:t>,</m:t>
          </m:r>
          <m:r>
            <m:rPr>
              <m:sty m:val="p"/>
            </m:rPr>
            <m:t>Δ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then</w:t>
      </w:r>
      <w:r>
        <w:rPr>
          <w:i/>
          <w:iCs/>
        </w:rP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=</m:t>
        </m:r>
        <m:r>
          <m:rPr>
            <m:nor/>
            <m:sty m:val="p"/>
          </m:rPr>
          <m:t>abstain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2</m:t>
        </m:r>
        <m:r>
          <m:t>α</m:t>
        </m:r>
      </m:oMath>
      <w:r>
        <w:rPr>
          <w:i/>
          <w:iCs/>
        </w:rPr>
        <w:t xml:space="preserve">.</w:t>
      </w:r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The rule has the same action probabilities in both worlds. Its ADAPT probability is at most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 the negative world. Its FREEZE probability is at most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in the positive world.</w:t>
      </w:r>
      <w:r>
        <w:t xml:space="preserve"> </w:t>
      </w:r>
      <w:r>
        <w:t xml:space="preserve">The three action probabilities sum to one. ◻</w:t>
      </w:r>
    </w:p>
    <w:bookmarkEnd w:id="27"/>
    <w:bookmarkStart w:id="28" w:name="boundary-case"/>
    <w:p>
      <w:pPr>
        <w:pStyle w:val="Heading2"/>
        <w:widowControl/>
      </w:pPr>
      <w:r>
        <w:t xml:space="preserve">4.4 Boundary Case</w:t>
      </w:r>
    </w:p>
    <w:p>
      <w:pPr>
        <w:pStyle w:val="FirstParagraph"/>
        <w:widowControl/>
      </w:pPr>
      <w:r>
        <w:t xml:space="preserve">Inside the band, both strict signs may be feasible. At the boundary, zero benefit is feasible.</w:t>
      </w:r>
      <w:r>
        <w:t xml:space="preserve"> </w:t>
      </w:r>
      <w:r>
        <w:t xml:space="preserve">These constructions differ, but both prevent a uniform strict direction.</w:t>
      </w:r>
    </w:p>
    <w:p>
      <w:pPr>
        <w:pStyle w:val="BodyText"/>
        <w:widowControl/>
      </w:pPr>
      <w:r>
        <w:rPr>
          <w:b/>
          <w:bCs/>
        </w:rPr>
        <w:t xml:space="preserve">Proposition 1</w:t>
      </w:r>
      <w:r>
        <w:t xml:space="preserve"> </w:t>
      </w:r>
      <w:r>
        <w:t xml:space="preserve">(Boundary case and closed-band abstention).</w:t>
      </w:r>
      <w:r>
        <w:t xml:space="preserve"> </w:t>
      </w:r>
      <w:r>
        <w:t xml:space="preserve"> </w:t>
      </w:r>
      <w:r>
        <w:rPr>
          <w:i/>
          <w:iCs/>
        </w:rPr>
        <w:t xml:space="preserve">Fix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rPr>
          <w:i/>
          <w:iCs/>
        </w:rPr>
        <w:t xml:space="preserve">. Under Definition 3, abstention is the pointwise</w:t>
      </w:r>
      <w:r>
        <w:rPr>
          <w:i/>
          <w:iCs/>
        </w:rPr>
        <w:t xml:space="preserve"> </w:t>
      </w:r>
      <w:r>
        <w:rPr>
          <w:i/>
          <w:iCs/>
        </w:rPr>
        <w:t xml:space="preserve">maximal sound action throughout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</m:oMath>
      <w:r>
        <w:rPr>
          <w:i/>
          <w:iCs/>
        </w:rPr>
        <w:t xml:space="preserve">. Any label-free rule that controls both marginal</w:t>
      </w:r>
      <w:r>
        <w:rPr>
          <w:i/>
          <w:iCs/>
        </w:rPr>
        <w:t xml:space="preserve"> </w:t>
      </w:r>
      <w:r>
        <w:rPr>
          <w:i/>
          <w:iCs/>
        </w:rPr>
        <w:t xml:space="preserve">directional errors at level</w:t>
      </w:r>
      <w:r>
        <w:rPr>
          <w:i/>
          <w:iCs/>
        </w:rPr>
        <w:t xml:space="preserve"> </w:t>
      </w:r>
      <m:oMath>
        <m:r>
          <m:t>α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must abstain there with probability at least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α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Opposite nonzero benefit signs are asserted only when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β</m:t>
        </m:r>
      </m:oMath>
      <w:r>
        <w:rPr>
          <w:i/>
          <w:iCs/>
        </w:rPr>
        <w:t xml:space="preserve">.</w:t>
      </w:r>
    </w:p>
    <w:p>
      <w:pPr>
        <w:pStyle w:val="BodyText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β</m:t>
        </m:r>
      </m:oMath>
      <w:r>
        <w:t xml:space="preserve">, apply Theorem 1 and</w:t>
      </w:r>
      <w:r>
        <w:t xml:space="preserve"> </w:t>
      </w:r>
      <w:r>
        <w:t xml:space="preserve">Corollary 1.</w:t>
      </w:r>
    </w:p>
    <w:p>
      <w:pPr>
        <w:pStyle w:val="BodyText"/>
        <w:widowControl/>
      </w:pPr>
      <w:r>
        <w:t xml:space="preserve">Now suppose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. The declared class contains a zero-benefit world with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a strict-benefit world with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. These worlds have the same augmented-evidence law. In the</w:t>
      </w:r>
      <w:r>
        <w:t xml:space="preserve"> </w:t>
      </w:r>
      <w:r>
        <w:t xml:space="preserve">zero-benefit world, both directional error events occur whenever the rule commits. Dual error</w:t>
      </w:r>
      <w:r>
        <w:t xml:space="preserve"> </w:t>
      </w:r>
      <w:r>
        <w:t xml:space="preserve">control therefore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[</m:t>
        </m:r>
        <m:r>
          <m:rPr>
            <m:nor/>
            <m:sty m:val="p"/>
          </m:rPr>
          <m:t>adapt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[</m:t>
        </m:r>
        <m:r>
          <m:rPr>
            <m:nor/>
            <m:sty m:val="p"/>
          </m:rPr>
          <m:t>freeze</m:t>
        </m:r>
        <m:r>
          <m:rPr>
            <m:sty m:val="p"/>
          </m:rPr>
          <m:t>]</m:t>
        </m:r>
        <m:r>
          <m:rPr>
            <m:sty m:val="p"/>
          </m:rPr>
          <m:t>≤</m:t>
        </m:r>
        <m:r>
          <m:t>α</m:t>
        </m:r>
      </m:oMath>
      <w:r>
        <w:t xml:space="preserve">. It follows that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[</m:t>
        </m:r>
        <m:r>
          <m:rPr>
            <m:nor/>
            <m:sty m:val="p"/>
          </m:rPr>
          <m:t>abstain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2</m:t>
        </m:r>
        <m:r>
          <m:t>α</m:t>
        </m:r>
      </m:oMath>
      <w:r>
        <w:t xml:space="preserve">, and neither strict action is uniformly sound.</w:t>
      </w:r>
    </w:p>
    <w:p>
      <w:pPr>
        <w:pStyle w:val="BodyText"/>
        <w:widowControl/>
      </w:pPr>
      <w:r>
        <w:t xml:space="preserve">Finally, if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≡</m:t>
        </m:r>
        <m:r>
          <m:t>0</m:t>
        </m:r>
      </m:oMath>
      <w:r>
        <w:t xml:space="preserve">. The same</w:t>
      </w:r>
      <w:r>
        <w:t xml:space="preserve"> </w:t>
      </w:r>
      <w:r>
        <w:t xml:space="preserve">conclusion follows directly. ◻</w:t>
      </w:r>
    </w:p>
    <w:p>
      <w:pPr>
        <w:pStyle w:val="BodyText"/>
        <w:widowControl/>
      </w:pPr>
      <w:r>
        <w:t xml:space="preserve">This convention is stricter than task regret. When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t xml:space="preserve">, adapt and freeze are</w:t>
      </w:r>
      <w:r>
        <w:t xml:space="preserve"> </w:t>
      </w:r>
      <w:r>
        <w:t xml:space="preserve">risk-equivalent, but neither certifies a strict sign.</w:t>
      </w:r>
    </w:p>
    <w:bookmarkEnd w:id="28"/>
    <w:bookmarkStart w:id="32" w:name="exact-strict-commitment-frontier"/>
    <w:p>
      <w:pPr>
        <w:pStyle w:val="Heading2"/>
        <w:widowControl/>
      </w:pPr>
      <w:r>
        <w:t xml:space="preserve">4.5 Exact Strict-Commitment Frontier</w:t>
      </w:r>
    </w:p>
    <w:p>
      <w:pPr>
        <w:pStyle w:val="FirstParagraph"/>
        <w:widowControl/>
      </w:pPr>
      <w:r>
        <w:t xml:space="preserve">We can now answer the population question completely. The theorem separates four jobs: reduction,</w:t>
      </w:r>
      <w:r>
        <w:t xml:space="preserve"> </w:t>
      </w:r>
      <w:r>
        <w:t xml:space="preserve">sufficiency outside the band, necessity inside the band, and maximality of the resulting rule.</w:t>
      </w:r>
    </w:p>
    <w:p>
      <w:pPr>
        <w:pStyle w:val="BodyText"/>
        <w:widowControl/>
      </w:pPr>
      <w:r>
        <w:rPr>
          <w:b/>
          <w:bCs/>
        </w:rPr>
        <w:t xml:space="preserve">Theorem 2</w:t>
      </w:r>
      <w:r>
        <w:t xml:space="preserve"> </w:t>
      </w:r>
      <w:r>
        <w:t xml:space="preserve">(Exact strict-commitment frontier).</w:t>
      </w:r>
      <w:r>
        <w:t xml:space="preserve"> </w:t>
      </w:r>
      <w:r>
        <w:t xml:space="preserve"> </w:t>
      </w:r>
      <w:r>
        <w:rPr>
          <w:i/>
          <w:iCs/>
        </w:rPr>
        <w:t xml:space="preserve">Under Assumption 1, fix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S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let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≥</m:t>
        </m:r>
        <m:r>
          <m:t>0</m:t>
        </m:r>
      </m:oMath>
      <w:r>
        <w:rPr>
          <w:i/>
          <w:iCs/>
        </w:rPr>
        <w:t xml:space="preserve">. Necessity and</w:t>
      </w:r>
      <w:r>
        <w:rPr>
          <w:i/>
          <w:iCs/>
        </w:rPr>
        <w:t xml:space="preserve"> </w:t>
      </w:r>
      <w:r>
        <w:rPr>
          <w:i/>
          <w:iCs/>
        </w:rPr>
        <w:t xml:space="preserve">maximality hold for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rPr>
          <w:i/>
          <w:iCs/>
        </w:rPr>
        <w:t xml:space="preserve">, or for a subclass closed under the constructions in</w:t>
      </w:r>
      <w:r>
        <w:rPr>
          <w:i/>
          <w:iCs/>
        </w:rPr>
        <w:t xml:space="preserve"> </w:t>
      </w:r>
      <w:r>
        <w:rPr>
          <w:i/>
          <w:iCs/>
        </w:rPr>
        <w:t xml:space="preserve">Theorem 1 and Proposition 1; otherwise only sufficiency follows</w:t>
      </w:r>
      <w:r>
        <w:rPr>
          <w:i/>
          <w:iCs/>
        </w:rPr>
        <w:t xml:space="preserve"> </w:t>
      </w:r>
      <w:r>
        <w:rPr>
          <w:i/>
          <w:iCs/>
        </w:rPr>
        <w:t xml:space="preserve">without an additional richness assumption.</w:t>
      </w:r>
    </w:p>
    <w:p>
      <w:pPr>
        <w:widowControl/>
        <w:numPr>
          <w:ilvl w:val="0"/>
          <w:numId w:val="1002"/>
        </w:numPr>
      </w:pPr>
      <w:r>
        <w:rPr>
          <w:b/>
          <w:bCs/>
          <w:i/>
          <w:iCs/>
        </w:rPr>
        <w:t xml:space="preserve">Reduction.</w:t>
      </w:r>
      <w:r>
        <w:rPr>
          <w:i/>
          <w:iCs/>
        </w:rPr>
        <w:t xml:space="preserve"> </w:t>
      </w: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</m:rPr>
          <m:t>sign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(Lemma 2).</w:t>
      </w:r>
    </w:p>
    <w:p>
      <w:pPr>
        <w:widowControl/>
        <w:numPr>
          <w:ilvl w:val="0"/>
          <w:numId w:val="1002"/>
        </w:numPr>
      </w:pPr>
      <w:r>
        <w:rPr>
          <w:b/>
          <w:bCs/>
          <w:i/>
          <w:iCs/>
        </w:rPr>
        <w:t xml:space="preserve">Sufficiency.</w:t>
      </w:r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m:oMath>
        <m:r>
          <m:rPr>
            <m:sty m:val="p"/>
          </m:rPr>
          <m:t>sign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sign</m:t>
        </m:r>
        <m:r>
          <m:t>M</m:t>
        </m:r>
      </m:oMath>
      <w:r>
        <w:rPr>
          <w:i/>
          <w:iCs/>
        </w:rPr>
        <w:t xml:space="preserve">.</w:t>
      </w:r>
    </w:p>
    <w:p>
      <w:pPr>
        <w:widowControl/>
        <w:numPr>
          <w:ilvl w:val="0"/>
          <w:numId w:val="1002"/>
        </w:numPr>
      </w:pPr>
      <w:r>
        <w:rPr>
          <w:b/>
          <w:bCs/>
          <w:i/>
          <w:iCs/>
        </w:rPr>
        <w:t xml:space="preserve">Necessity.</w:t>
      </w:r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β</m:t>
        </m:r>
      </m:oMath>
      <w:r>
        <w:rPr>
          <w:i/>
          <w:iCs/>
        </w:rPr>
        <w:t xml:space="preserve">, two laws in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have</w:t>
      </w:r>
      <w:r>
        <w:rPr>
          <w:i/>
          <w:iCs/>
        </w:rPr>
        <w:t xml:space="preserve"> </w:t>
      </w:r>
      <w:r>
        <w:rPr>
          <w:i/>
          <w:iCs/>
        </w:rPr>
        <w:t xml:space="preserve">the same augmented-evidence law and opposite nonzero benefit signs. If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rPr>
          <w:i/>
          <w:iCs/>
        </w:rPr>
        <w:t xml:space="preserve">, the</w:t>
      </w:r>
      <w:r>
        <w:rPr>
          <w:i/>
          <w:iCs/>
        </w:rPr>
        <w:t xml:space="preserve"> </w:t>
      </w:r>
      <w:r>
        <w:rPr>
          <w:i/>
          <w:iCs/>
        </w:rPr>
        <w:t xml:space="preserve">admissible residual</w:t>
      </w:r>
      <w:r>
        <w:rPr>
          <w:i/>
          <w:iCs/>
        </w:rP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sign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gives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 If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, then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≡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throughout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0</m:t>
            </m:r>
          </m:sub>
        </m:sSub>
      </m:oMath>
      <w:r>
        <w:rPr>
          <w:i/>
          <w:iCs/>
        </w:rPr>
        <w:t xml:space="preserve">. Thus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supports no uniform strict direction.</w:t>
      </w:r>
    </w:p>
    <w:p>
      <w:pPr>
        <w:widowControl/>
        <w:numPr>
          <w:ilvl w:val="0"/>
          <w:numId w:val="1002"/>
        </w:numPr>
      </w:pPr>
      <w:r>
        <w:rPr>
          <w:b/>
          <w:bCs/>
          <w:i/>
          <w:iCs/>
        </w:rPr>
        <w:t xml:space="preserve">Strict-commitment iff.</w:t>
      </w:r>
      <w:r>
        <w:rPr>
          <w:i/>
          <w:iCs/>
        </w:rPr>
        <w:t xml:space="preserve"> </w:t>
      </w:r>
      <w:r>
        <w:rPr>
          <w:i/>
          <w:iCs/>
        </w:rPr>
        <w:t xml:space="preserve">At the fixed augmented-evidence law, a</w:t>
      </w:r>
      <w:r>
        <w:rPr>
          <w:i/>
          <w:iCs/>
        </w:rPr>
        <w:t xml:space="preserve"> </w:t>
      </w:r>
      <w:r>
        <w:rPr>
          <w:i/>
          <w:iCs/>
        </w:rPr>
        <w:t xml:space="preserve">strict action is uniformly directionally sound if and only if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β</m:t>
        </m:r>
      </m:oMath>
      <w:r>
        <w:rPr>
          <w:i/>
          <w:iCs/>
        </w:rPr>
        <w:t xml:space="preserve">. On the closed band,</w:t>
      </w:r>
      <w:r>
        <w:rPr>
          <w:i/>
          <w:iCs/>
        </w:rPr>
        <w:t xml:space="preserve"> </w:t>
      </w:r>
      <w:r>
        <w:rPr>
          <w:i/>
          <w:iCs/>
        </w:rPr>
        <w:t xml:space="preserve">abstention is the pointwise maximal sound action in the sense of</w:t>
      </w:r>
      <w:r>
        <w:rPr>
          <w:i/>
          <w:iCs/>
        </w:rPr>
        <w:t xml:space="preserve"> </w:t>
      </w:r>
      <w:r>
        <w:rPr>
          <w:i/>
          <w:iCs/>
        </w:rPr>
        <w:t xml:space="preserve">Definition 3.</w:t>
      </w:r>
    </w:p>
    <w:p>
      <w:pPr>
        <w:pStyle w:val="FirstParagraph"/>
        <w:widowControl/>
      </w:pPr>
      <w:r>
        <w:rPr>
          <w:i/>
          <w:iCs/>
        </w:rPr>
        <w:t xml:space="preserve">The population rule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&gt;</m:t>
        </m:r>
        <m:r>
          <m:t>β</m:t>
        </m:r>
        <m:r>
          <m:rPr>
            <m:sty m:val="p"/>
          </m:rPr>
          <m:t>⇒</m:t>
        </m:r>
        <m:r>
          <m:rPr>
            <m:nor/>
            <m:sty m:val="p"/>
          </m:rPr>
          <m:t>adapt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⇒</m:t>
        </m:r>
        <m:r>
          <m:rPr>
            <m:nor/>
            <m:sty m:val="p"/>
          </m:rPr>
          <m:t>freeze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⇒</m:t>
        </m:r>
        <m:r>
          <m:rPr>
            <m:nor/>
            <m:sty m:val="p"/>
          </m:rPr>
          <m:t>abstain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the pointwise maximal sound rule on</w:t>
      </w:r>
      <w:r>
        <w:rPr>
          <w:i/>
          <w:i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rPr>
          <w:i/>
          <w:iCs/>
        </w:rPr>
        <w:t xml:space="preserve">.</w:t>
      </w:r>
    </w:p>
    <w:p>
      <w:pPr>
        <w:pStyle w:val="BodyText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Part (i) is Lemma 2. For (ii), suppose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β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</m:oMath>
      <w:r>
        <w:t xml:space="preserve">. Then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&gt;</m:t>
        </m:r>
        <m:r>
          <m:t>0</m:t>
        </m:r>
      </m:oMath>
      <w:r>
        <w:t xml:space="preserve">, so Lemma 2 gives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 The negative</w:t>
      </w:r>
      <w:r>
        <w:t xml:space="preserve"> </w:t>
      </w:r>
      <w:r>
        <w:t xml:space="preserve">case is symmetric.</w:t>
      </w:r>
    </w:p>
    <w:p>
      <w:pPr>
        <w:pStyle w:val="BodyText"/>
        <w:widowControl/>
      </w:pPr>
      <w:r>
        <w:t xml:space="preserve">For (iii), Theorem 1 supplies opposite nonzero signs when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β</m:t>
        </m:r>
      </m:oMath>
      <w:r>
        <w:t xml:space="preserve">. At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, the boundary law with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sign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  <m:r>
          <m:t>β</m:t>
        </m:r>
      </m:oMath>
      <w:r>
        <w:t xml:space="preserve"> </w:t>
      </w:r>
      <w:r>
        <w:t xml:space="preserve">has zero benefit. 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every law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zero benefit. These cases preclude a uniform strict</w:t>
      </w:r>
      <w:r>
        <w:t xml:space="preserve"> </w:t>
      </w:r>
      <w:r>
        <w:t xml:space="preserve">direction throughout the closed band.</w:t>
      </w:r>
    </w:p>
    <w:p>
      <w:pPr>
        <w:pStyle w:val="BodyText"/>
        <w:widowControl/>
      </w:pPr>
      <w:r>
        <w:t xml:space="preserve">Part (iv) combines (ii), (iii), and Proposition 1. For a nonempty compatible</w:t>
      </w:r>
      <w:r>
        <w:t xml:space="preserve"> </w:t>
      </w:r>
      <w:r>
        <w:t xml:space="preserve">subclass, sufficiency gives the unique sound strict direction outside the band. This individual</w:t>
      </w:r>
      <w:r>
        <w:t xml:space="preserve"> </w:t>
      </w:r>
      <w:r>
        <w:t xml:space="preserve">directional uniqueness requires a realized member: on an empty subclass, both universal directional</w:t>
      </w:r>
      <w:r>
        <w:t xml:space="preserve"> </w:t>
      </w:r>
      <w:r>
        <w:t xml:space="preserve">statements are vacuous. The full compatible class is nonempty. The impossibility and boundary results rule out both</w:t>
      </w:r>
      <w:r>
        <w:t xml:space="preserve"> </w:t>
      </w:r>
      <w:r>
        <w:t xml:space="preserve">strict directions on the band. ◻</w:t>
      </w:r>
    </w:p>
    <w:p>
      <w:pPr>
        <w:pStyle w:val="BodyText"/>
        <w:widowControl/>
      </w:pPr>
      <w:r>
        <w:t xml:space="preserve">Outside the band, the residual cannot reverse</w:t>
      </w:r>
      <w:r>
        <w:t xml:space="preserve"> </w:t>
      </w:r>
      <m:oMath>
        <m:r>
          <m:t>M</m:t>
        </m:r>
      </m:oMath>
      <w:r>
        <w:t xml:space="preserve">; on the band, the same evidence admits</w:t>
      </w:r>
      <w:r>
        <w:t xml:space="preserve"> </w:t>
      </w:r>
      <w:r>
        <w:t xml:space="preserve">a failed strict claim, so abstention is part of the identified answer. 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The</w:t>
      </w:r>
      <w:r>
        <w:t xml:space="preserve"> </w:t>
      </w:r>
      <w:r>
        <w:t xml:space="preserve">full class identifies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t>d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β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  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{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The bracket equals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∩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]</m:t>
        </m:r>
      </m:oMath>
      <w:r>
        <w:t xml:space="preserve">, and constant correctness kernels</w:t>
      </w:r>
      <w:r>
        <w:t xml:space="preserve"> </w:t>
      </w:r>
      <w:r>
        <w:t xml:space="preserve">attain every point. A strict direction exists exactly when this interval excludes zero.</w:t>
      </w:r>
    </w:p>
    <w:p>
      <w:pPr>
        <w:pStyle w:val="CaptionedFigure"/>
        <w:widowControl/>
        <w:jc w:val="center"/>
      </w:pPr>
      <w:r>
        <w:drawing>
          <wp:inline>
            <wp:extent cx="4267200" cy="1666875"/>
            <wp:effectExtent b="0" l="0" r="0" t="0"/>
            <wp:docPr descr="Population strict-commitment frontier over observable margin M and declared calibration-residual bound beta." title="Population strict-commitment frontier over observable margin M and declared calibration-residual bound beta" id="30" name="Picture"/>
            <a:graphic>
              <a:graphicData uri="http://schemas.openxmlformats.org/drawingml/2006/picture">
                <pic:pic>
                  <pic:nvPicPr>
                    <pic:cNvPr descr="Population strict-commitment frontier over observable margin M and declared calibration-residual bound beta.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widowControl/>
      </w:pPr>
      <w:r>
        <w:t xml:space="preserve">Figure 2. Population strict-commitment frontier for a fixed binary model pair under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loss.</w:t>
      </w:r>
      <w:r>
        <w:t xml:space="preserve"> </w:t>
      </w:r>
      <w:r>
        <w:t xml:space="preserve">ADAPT is uniformly supported when</w:t>
      </w:r>
      <w:r>
        <w:t xml:space="preserve"> </w:t>
      </w:r>
      <m:oMath>
        <m:r>
          <m:t>M</m:t>
        </m:r>
        <m:r>
          <m:rPr>
            <m:sty m:val="p"/>
          </m:rPr>
          <m:t>&gt;</m:t>
        </m:r>
        <m:r>
          <m:t>β</m:t>
        </m:r>
      </m:oMath>
      <w:r>
        <w:t xml:space="preserve">, FREEZE when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β</m:t>
        </m:r>
      </m:oMath>
      <w:r>
        <w:t xml:space="preserve">, and neither strict direction</w:t>
      </w:r>
      <w:r>
        <w:t xml:space="preserve"> </w:t>
      </w:r>
      <w:r>
        <w:t xml:space="preserve">is supported on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</m:oMath>
      <w:r>
        <w:t xml:space="preserve">. This population result is not KGA’s numerical cell-level rule.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758"/>
        <w:gridCol w:w="6444"/>
        <w:gridCol w:w="1758"/>
      </w:tblGrid>
      <w:tr>
        <w:trPr>
          <w:tblHeader w:val="true"/>
          <w:cantSplit w:val="true"/>
        </w:trPr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Region</w:t>
            </w:r>
          </w:p>
        </w:tc>
        <w:tc>
          <w:tcPr>
            <w:tcW w:w="644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Meaning</w:t>
            </w:r>
          </w:p>
        </w:tc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Action</w:t>
            </w:r>
          </w:p>
        </w:tc>
      </w:tr>
      <w:tr>
        <w:trPr>
          <w:cantSplit w:val="true"/>
        </w:trPr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β</m:t>
              </m:r>
            </m:oMath>
          </w:p>
        </w:tc>
        <w:tc>
          <w:tcPr>
            <w:tcW w:w="644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strictly positive benefit</w:t>
            </w:r>
          </w:p>
        </w:tc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ADAPT</w:t>
            </w:r>
          </w:p>
        </w:tc>
      </w:tr>
      <w:tr>
        <w:trPr>
          <w:cantSplit w:val="true"/>
        </w:trPr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β</m:t>
              </m:r>
            </m:oMath>
          </w:p>
        </w:tc>
        <w:tc>
          <w:tcPr>
            <w:tcW w:w="644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strictly negative benefit</w:t>
            </w:r>
          </w:p>
        </w:tc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FREEZE</w:t>
            </w:r>
          </w:p>
        </w:tc>
      </w:tr>
      <w:tr>
        <w:trPr>
          <w:cantSplit w:val="true"/>
        </w:trPr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β</m:t>
              </m:r>
            </m:oMath>
          </w:p>
        </w:tc>
        <w:tc>
          <w:tcPr>
            <w:tcW w:w="644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both strict signs are feasible</w:t>
            </w:r>
          </w:p>
        </w:tc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ABSTAIN</w:t>
            </w:r>
          </w:p>
        </w:tc>
      </w:tr>
      <w:tr>
        <w:trPr>
          <w:cantSplit w:val="true"/>
        </w:trPr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>
            <w:tcW w:w="644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zero benefit is feasible</w:t>
            </w:r>
          </w:p>
        </w:tc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ABSTAIN</w:t>
            </w:r>
          </w:p>
        </w:tc>
      </w:tr>
      <w:tr>
        <w:trPr>
          <w:cantSplit w:val="true"/>
        </w:trPr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  <w:tc>
          <w:tcPr>
            <w:tcW w:w="644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benefit is identically zero</w:t>
            </w:r>
          </w:p>
        </w:tc>
        <w:tc>
          <w:tcPr>
            <w:tcW w:w="17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ABSTAIN</w:t>
            </w:r>
          </w:p>
        </w:tc>
      </w:tr>
    </w:tbl>
    <w:bookmarkEnd w:id="32"/>
    <w:bookmarkStart w:id="33" w:name="X414fa8246b475e897b5be35e04e142d593bdcdf"/>
    <w:p>
      <w:pPr>
        <w:pStyle w:val="Heading2"/>
        <w:widowControl/>
      </w:pPr>
      <w:r>
        <w:t xml:space="preserve">4.6 Interpretation and Limits of the Frontier</w:t>
      </w:r>
    </w:p>
    <w:p>
      <w:pPr>
        <w:pStyle w:val="FirstParagraph"/>
        <w:widowControl/>
      </w:pPr>
      <w:r>
        <w:t xml:space="preserve">The theorem is exact only for the declared class. Choosing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assumes a zero target</w:t>
      </w:r>
      <w:r>
        <w:t xml:space="preserve"> </w:t>
      </w:r>
      <w:r>
        <w:t xml:space="preserve">disagreement-conditional residual. It is not a conservative default. Without a credible upper</w:t>
      </w:r>
      <w:r>
        <w:t xml:space="preserve"> </w:t>
      </w:r>
      <w:r>
        <w:t xml:space="preserve">bound on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</m:oMath>
      <w:r>
        <w:t xml:space="preserve">, the frontier cannot support a robust strict action. More unlabeled samples do</w:t>
      </w:r>
      <w:r>
        <w:t xml:space="preserve"> </w:t>
      </w:r>
      <w:r>
        <w:t xml:space="preserve">not close this gap because the missing information lies in the target label kernel.</w:t>
      </w:r>
    </w:p>
    <w:p>
      <w:pPr>
        <w:pStyle w:val="BodyText"/>
        <w:widowControl/>
      </w:pPr>
      <w:r>
        <w:t xml:space="preserve">Empirical abstention does not prove structural unknowability. A finite-sample interval may be wide</w:t>
      </w:r>
      <w:r>
        <w:t xml:space="preserve"> </w:t>
      </w:r>
      <w:r>
        <w:t xml:space="preserve">because calibration data are scarce, prediction is poor, or transfer fails. This distinction leads</w:t>
      </w:r>
      <w:r>
        <w:t xml:space="preserve"> </w:t>
      </w:r>
      <w:r>
        <w:t xml:space="preserve">to the next question: can the required population residual bound be learned from the same</w:t>
      </w:r>
      <w:r>
        <w:t xml:space="preserve"> </w:t>
      </w:r>
      <w:r>
        <w:t xml:space="preserve">label-free evidence?</w:t>
      </w:r>
    </w:p>
    <w:bookmarkEnd w:id="33"/>
    <w:bookmarkEnd w:id="34"/>
    <w:bookmarkStart w:id="41" w:name="what-label-free-evidence-cannot-learn"/>
    <w:p>
      <w:pPr>
        <w:pStyle w:val="Heading1"/>
        <w:widowControl/>
      </w:pPr>
      <w:r>
        <w:t xml:space="preserve">5 What Label-Free Evidence Cannot Learn</w:t>
      </w:r>
    </w:p>
    <w:p>
      <w:pPr>
        <w:pStyle w:val="FirstParagraph"/>
        <w:widowControl/>
      </w:pPr>
      <w:r>
        <w:t xml:space="preserve">The population frontier becomes usable only after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has been declared. Can the same</w:t>
      </w:r>
      <w:r>
        <w:t xml:space="preserve"> </w:t>
      </w:r>
      <w:r>
        <w:t xml:space="preserve">label-free evidence learn a smaller valid budget? An audit must cover every residual value left</w:t>
      </w:r>
      <w:r>
        <w:t xml:space="preserve"> </w:t>
      </w:r>
      <w:r>
        <w:t xml:space="preserve">unresolved on its evidence fibre.</w:t>
      </w:r>
    </w:p>
    <w:bookmarkStart w:id="35" w:name="audit-setup-and-evidence-fibres"/>
    <w:p>
      <w:pPr>
        <w:pStyle w:val="Heading2"/>
        <w:widowControl/>
      </w:pPr>
      <w:r>
        <w:t xml:space="preserve">5.1 Audit Setup and Evidence Fibres</w:t>
      </w:r>
    </w:p>
    <w:p>
      <w:pPr>
        <w:pStyle w:val="FirstParagraph"/>
        <w:widowControl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collect everything a deployment-time audit may read: the unlabeled target batch, fixed</w:t>
      </w:r>
      <w:r>
        <w:t xml:space="preserve"> </w:t>
      </w:r>
      <w:r>
        <w:t xml:space="preserve">models, score function, and derived label-free statistics. It may also contain a source or</w:t>
      </w:r>
      <w:r>
        <w:t xml:space="preserve"> </w:t>
      </w:r>
      <w:r>
        <w:t xml:space="preserve">calibration sample whose law does not depend on the target label kernel. A randomized procedure</w:t>
      </w:r>
      <w:r>
        <w:t xml:space="preserve"> </w:t>
      </w:r>
      <w:r>
        <w:t xml:space="preserve">returns a measurable real-valued audit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where the seed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the same</w:t>
      </w:r>
      <w:r>
        <w:t xml:space="preserve"> </w:t>
      </w:r>
      <w:r>
        <w:t xml:space="preserve">distribution in every world and is independent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every world.</w:t>
      </w:r>
    </w:p>
    <w:p>
      <w:pPr>
        <w:pStyle w:val="BodyText"/>
        <w:widowControl/>
      </w:pPr>
      <w:r>
        <w:t xml:space="preserve">For a declared class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and an observable-law value</w:t>
      </w:r>
      <w:r>
        <w:t xml:space="preserve"> </w:t>
      </w:r>
      <m:oMath>
        <m:r>
          <m:t>z</m:t>
        </m:r>
      </m:oMath>
      <w:r>
        <w:t xml:space="preserve">, define the evidence fibre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: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w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  <w:widowControl/>
      </w:pPr>
      <w:r>
        <w:t xml:space="preserve">and its unresolved residual radius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r>
            <m:rPr>
              <m:scr m:val="script"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sup</m:t>
              </m:r>
            </m:e>
            <m:lim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|</m:t>
          </m:r>
          <m:r>
            <m:t>γ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 </m:t>
          </m:r>
          <m:r>
            <m:rPr>
              <m:nor/>
              <m:sty m:val="p"/>
            </m:rPr>
            <m:t>(6)</m:t>
          </m:r>
        </m:oMath>
      </m:oMathPara>
    </w:p>
    <w:p>
      <w:pPr>
        <w:pStyle w:val="FirstParagraph"/>
        <w:widowControl/>
      </w:pPr>
      <w:r>
        <w:t xml:space="preserve">The fibre contains target laws that the audit cannot distinguish. Its radius is the smallest</w:t>
      </w:r>
      <w:r>
        <w:t xml:space="preserve"> </w:t>
      </w:r>
      <w:r>
        <w:t xml:space="preserve">uniform bound on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|</m:t>
        </m:r>
      </m:oMath>
      <w:r>
        <w:t xml:space="preserve"> </w:t>
      </w:r>
      <w:r>
        <w:t xml:space="preserve">that this observable law can support.</w:t>
      </w:r>
    </w:p>
    <w:bookmarkEnd w:id="35"/>
    <w:bookmarkStart w:id="39" w:name="exact-fibre-wise-audit-floor"/>
    <w:p>
      <w:pPr>
        <w:pStyle w:val="Heading2"/>
        <w:widowControl/>
      </w:pPr>
      <w:r>
        <w:t xml:space="preserve">5.2 Exact Fibre-Wise Audit Floor</w:t>
      </w:r>
    </w:p>
    <w:p>
      <w:pPr>
        <w:pStyle w:val="FirstParagraph"/>
        <w:widowControl/>
      </w:pPr>
      <w:r>
        <w:t xml:space="preserve">The answer is a floor, not an estimator. Any audit that is valid throughout one evidence fibre must</w:t>
      </w:r>
      <w:r>
        <w:t xml:space="preserve"> </w:t>
      </w:r>
      <w:r>
        <w:t xml:space="preserve">cover the largest residual that remains possible in that fibre.</w:t>
      </w:r>
    </w:p>
    <w:p>
      <w:pPr>
        <w:pStyle w:val="BodyText"/>
        <w:widowControl/>
      </w:pPr>
      <w:r>
        <w:rPr>
          <w:b/>
          <w:bCs/>
        </w:rPr>
        <w:t xml:space="preserve">Theorem 3</w:t>
      </w:r>
      <w:r>
        <w:t xml:space="preserve"> </w:t>
      </w:r>
      <w:r>
        <w:t xml:space="preserve">(Exact label-free audit floor).</w:t>
      </w:r>
      <w:r>
        <w:t xml:space="preserve"> </w:t>
      </w:r>
      <w:r>
        <w:t xml:space="preserve"> </w:t>
      </w:r>
      <w:r>
        <w:rPr>
          <w:i/>
          <w:iCs/>
        </w:rPr>
        <w:t xml:space="preserve">Fix a nonempty fibre</w:t>
      </w:r>
      <w:r>
        <w:rPr>
          <w:i/>
          <w:i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 bounded attainable residuals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r>
          <m:t>γ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z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denote the common joint law of</w:t>
      </w:r>
      <w:r>
        <w:rPr>
          <w:i/>
          <w:iCs/>
        </w:rP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 this fibre.</w:t>
      </w:r>
      <w:r>
        <w:rPr>
          <w:i/>
          <w:iCs/>
        </w:rPr>
        <w:t xml:space="preserve"> </w:t>
      </w:r>
      <w:r>
        <w:rPr>
          <w:i/>
          <w:iCs/>
        </w:rPr>
        <w:t xml:space="preserve">Suppose the measurable nonnegative audit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satisfies</w:t>
      </w:r>
      <w:r>
        <w:rPr>
          <w:i/>
          <w:iCs/>
        </w:rP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|</m:t>
        </m:r>
        <m:r>
          <m:t>γ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r>
          <m:t>δ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for every</w:t>
      </w:r>
      <w:r>
        <w:rPr>
          <w:i/>
          <w:iCs/>
        </w:rP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rPr>
          <w:i/>
          <w:iCs/>
        </w:rPr>
        <w:t xml:space="preserve">. Then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P</m:t>
              </m:r>
            </m:e>
            <m:sub>
              <m:r>
                <m:t>z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 constant audit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≡</m:t>
        </m:r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C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valid with</w:t>
      </w:r>
      <w:r>
        <w:rPr>
          <w:i/>
          <w:iCs/>
        </w:rPr>
        <w:t xml:space="preserve">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Consequently, on the displayed high-probability event, an audited frontier can commit only where</w:t>
      </w:r>
      <w:r>
        <w:rPr>
          <w:i/>
          <w:iCs/>
        </w:rPr>
        <w:t xml:space="preserve"> </w:t>
      </w:r>
      <w:r>
        <w:rPr>
          <w:i/>
          <w:iCs/>
        </w:rPr>
        <w:t xml:space="preserve">the frontier with radius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C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already commits.</w:t>
      </w:r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The common joint law of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induces the same law for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in every world. Choose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|</m:t>
        </m:r>
        <m:r>
          <m:t>γ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↑</m:t>
        </m:r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C</m:t>
        </m:r>
        <m:r>
          <m:rPr>
            <m:sty m:val="p"/>
          </m:rPr>
          <m:t>)</m:t>
        </m:r>
      </m:oMath>
      <w:r>
        <w:t xml:space="preserve">. Under the common law,</w:t>
      </w:r>
      <w:r>
        <w:t xml:space="preserve"> </w:t>
      </w:r>
      <w:r>
        <w:t xml:space="preserve">each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≥</m:t>
        </m:r>
        <m:r>
          <m:rPr>
            <m:sty m:val="p"/>
          </m:rPr>
          <m:t>|</m:t>
        </m:r>
        <m:r>
          <m:t>γ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}</m:t>
        </m:r>
      </m:oMath>
      <w:r>
        <w:t xml:space="preserve"> </w:t>
      </w:r>
      <w:r>
        <w:t xml:space="preserve">has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δ</m:t>
        </m:r>
      </m:oMath>
      <w:r>
        <w:t xml:space="preserve">. These events</w:t>
      </w:r>
      <w:r>
        <w:t xml:space="preserve"> </w:t>
      </w:r>
      <w:r>
        <w:t xml:space="preserve">decrease to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≥</m:t>
        </m:r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, so continuity from above proves the bound.</w:t>
      </w:r>
      <w:r>
        <w:t xml:space="preserve"> </w:t>
      </w:r>
      <w:r>
        <w:t xml:space="preserve">The constant audit is valid by the definition of the supremum. Finally,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≥</m:t>
        </m:r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&gt;</m:t>
        </m:r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imply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</m:oMath>
      <w:r>
        <w:t xml:space="preserve">. ◻</w:t>
      </w:r>
    </w:p>
    <w:p>
      <w:pPr>
        <w:pStyle w:val="BodyText"/>
        <w:widowControl/>
      </w:pPr>
      <w:r>
        <w:t xml:space="preserve">The theorem does not prohibit useful budgets. An audit using the same observable law must cover</w:t>
      </w:r>
      <w:r>
        <w:t xml:space="preserve"> </w:t>
      </w:r>
      <w:r>
        <w:t xml:space="preserve">every residual left possible on that fibre. A smaller bound requires labels or structure that</w:t>
      </w:r>
      <w:r>
        <w:t xml:space="preserve"> </w:t>
      </w:r>
      <w:r>
        <w:t xml:space="preserve">genuinely refines the compatible set;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rPr>
            <m:scr m:val="script"/>
            <m:sty m:val="p"/>
          </m:rP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oracle fibre benchmark, not a</w:t>
      </w:r>
      <w:r>
        <w:t xml:space="preserve"> </w:t>
      </w:r>
      <w:r>
        <w:t xml:space="preserve">general finite-batch estimator.</w:t>
      </w:r>
    </w:p>
    <w:bookmarkStart w:id="36" w:name="declared-budget-and-abstention-radius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Declared budget and abstention radius.</w:t>
      </w:r>
    </w:p>
    <w:p>
      <w:pPr>
        <w:pStyle w:val="FirstParagraph"/>
        <w:widowControl/>
      </w:pPr>
      <w:r>
        <w:t xml:space="preserve">For the full declared class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:</m:t>
        </m:r>
        <m:r>
          <m:rPr>
            <m:sty m:val="p"/>
          </m:rPr>
          <m:t>|</m:t>
        </m:r>
        <m:r>
          <m:t>γ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feasible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 and positive disagreement mass,</w:t>
      </w:r>
      <w:r>
        <w:t xml:space="preserve"> </w:t>
      </w:r>
      <w:r>
        <w:t xml:space="preserve">the label-kernel construction in</w:t>
      </w:r>
      <w:r>
        <w:t xml:space="preserve"> </w:t>
      </w:r>
      <w:r>
        <w:t xml:space="preserve">Lemma 1 gives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C</m:t>
              </m:r>
            </m:e>
            <m:sub>
              <m:r>
                <m:t>β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t> </m:t>
          </m:r>
          <m:r>
            <m:rPr>
              <m:nor/>
              <m:sty m:val="p"/>
            </m:rPr>
            <m:t>(7)</m:t>
          </m:r>
        </m:oMath>
      </m:oMathPara>
    </w:p>
    <w:p>
      <w:pPr>
        <w:pStyle w:val="FirstParagraph"/>
        <w:widowControl/>
      </w:pPr>
      <w:r>
        <w:t xml:space="preserve">Thus the least valid fibre-wide residual bound equals the population abstention radius,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This connection does not turn the declared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into an estimate.</w:t>
      </w:r>
    </w:p>
    <w:bookmarkEnd w:id="36"/>
    <w:bookmarkStart w:id="37" w:name="X5fbe1f9ea2fbeaee35df54d8ca181fc84020b8d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When calibration labels do not shrink the target fibre.</w:t>
      </w:r>
    </w:p>
    <w:p>
      <w:pPr>
        <w:pStyle w:val="FirstParagraph"/>
        <w:widowControl/>
      </w:pPr>
      <w:r>
        <w:t xml:space="preserve">A labeled calibration domain does not reduce the target fibre unless the declared class links its</w:t>
      </w:r>
      <w:r>
        <w:t xml:space="preserve"> </w:t>
      </w:r>
      <w:r>
        <w:t xml:space="preserve">label kernel to deployment. Lemma 1 can otherwise vary deployment labels while leaving</w:t>
      </w:r>
      <w:r>
        <w:t xml:space="preserve"> </w:t>
      </w:r>
      <w:r>
        <w:t xml:space="preserve">the calibration sample unchanged. Labels therefore help through representativeness or structural</w:t>
      </w:r>
      <w:r>
        <w:t xml:space="preserve"> </w:t>
      </w:r>
      <w:r>
        <w:t xml:space="preserve">coupling, not merely through their existence.</w:t>
      </w:r>
    </w:p>
    <w:bookmarkEnd w:id="37"/>
    <w:bookmarkStart w:id="38" w:name="what-additional-structure-can-buy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What additional structure can buy.</w:t>
      </w:r>
    </w:p>
    <w:p>
      <w:pPr>
        <w:pStyle w:val="FirstParagraph"/>
        <w:widowControl/>
      </w:pPr>
      <w:r>
        <w:t xml:space="preserve">Extra information can shrink the fibre, but it changes the problem. The available routes are</w:t>
      </w:r>
      <w:r>
        <w:t xml:space="preserve"> </w:t>
      </w:r>
      <w:r>
        <w:t xml:space="preserve">representative deployment labels, exchangeable historical deployment episodes, a structural</w:t>
      </w:r>
      <w:r>
        <w:t xml:space="preserve"> </w:t>
      </w:r>
      <w:r>
        <w:t xml:space="preserve">cross-domain coupling, or a domain-specific physical bound. Each gain comes from labels or</w:t>
      </w:r>
      <w:r>
        <w:t xml:space="preserve"> </w:t>
      </w:r>
      <w:r>
        <w:t xml:space="preserve">assumptions, not the current unlabeled batch.</w:t>
      </w:r>
    </w:p>
    <w:bookmarkEnd w:id="38"/>
    <w:bookmarkEnd w:id="39"/>
    <w:bookmarkStart w:id="40" w:name="implications-for-kga"/>
    <w:p>
      <w:pPr>
        <w:pStyle w:val="Heading2"/>
        <w:widowControl/>
      </w:pPr>
      <w:r>
        <w:t xml:space="preserve">5.3 Implications for KGA</w:t>
      </w:r>
    </w:p>
    <w:p>
      <w:pPr>
        <w:pStyle w:val="FirstParagraph"/>
        <w:widowControl/>
      </w:pPr>
      <w:r>
        <w:t xml:space="preserve">KGA does not estimate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, or</w:t>
      </w:r>
      <w:r>
        <w:t xml:space="preserve"> </w:t>
      </w:r>
      <m:oMath>
        <m:r>
          <m:t>β</m:t>
        </m:r>
      </m:oMath>
      <w:r>
        <w:t xml:space="preserve">, and does not apply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β</m:t>
        </m:r>
      </m:oMath>
      <w:r>
        <w:t xml:space="preserve"> </w:t>
      </w:r>
      <w:r>
        <w:t xml:space="preserve">numerically. It</w:t>
      </w:r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 </w:t>
      </w:r>
      <w:r>
        <w:t xml:space="preserve">and uses an empirical radius</w:t>
      </w:r>
      <w:r>
        <w:t xml:space="preserve"> </w:t>
      </w:r>
      <m:oMath>
        <m:r>
          <m:t>ε</m:t>
        </m:r>
      </m:oMath>
      <w:r>
        <w:t xml:space="preserve">. Transferring</w:t>
      </w:r>
      <w:r>
        <w:t xml:space="preserve"> </w:t>
      </w:r>
      <w:r>
        <w:t xml:space="preserve">cell-level coverage to population benefit requires an additional sampling-error argument that the</w:t>
      </w:r>
      <w:r>
        <w:t xml:space="preserve"> </w:t>
      </w:r>
      <w:r>
        <w:t xml:space="preserve">reported experiments do not provide. The next section therefore changes the question from</w:t>
      </w:r>
      <w:r>
        <w:t xml:space="preserve"> </w:t>
      </w:r>
      <w:r>
        <w:t xml:space="preserve">population identification to deployment-time prediction.</w:t>
      </w:r>
    </w:p>
    <w:bookmarkEnd w:id="40"/>
    <w:bookmarkEnd w:id="41"/>
    <w:bookmarkStart w:id="47" w:name="kga-an-empirical-benefit-interval-gate"/>
    <w:p>
      <w:pPr>
        <w:pStyle w:val="Heading1"/>
        <w:widowControl/>
      </w:pPr>
      <w:r>
        <w:t xml:space="preserve">6 KGA: An Empirical Benefit-Interval Gate</w:t>
      </w:r>
    </w:p>
    <w:p>
      <w:pPr>
        <w:pStyle w:val="FirstParagraph"/>
        <w:widowControl/>
      </w:pPr>
      <w:r>
        <w:t xml:space="preserve">For the current evaluation unit, can KGA support which side of zero the benefit lies on? It predicts</w:t>
      </w:r>
      <w:r>
        <w:t xml:space="preserve"> </w:t>
      </w:r>
      <w:r>
        <w:t xml:space="preserve">cell benefit from label-free evidence and attaches a residual-calibrated radius.</w:t>
      </w:r>
    </w:p>
    <w:bookmarkStart w:id="42" w:name="shared-decision-logic-different-targets"/>
    <w:p>
      <w:pPr>
        <w:pStyle w:val="Heading2"/>
        <w:widowControl/>
      </w:pPr>
      <w:r>
        <w:t xml:space="preserve">6.1 Shared Decision Logic, Different Targets</w:t>
      </w:r>
    </w:p>
    <w:p>
      <w:pPr>
        <w:pStyle w:val="BlockText"/>
        <w:widowControl/>
      </w:pPr>
      <w:r>
        <w:rPr>
          <w:b/>
          <w:bCs/>
        </w:rPr>
        <w:t xml:space="preserve">Scope of KGA.</w:t>
      </w:r>
      <w:r>
        <w:t xml:space="preserve"> </w:t>
      </w:r>
      <w:r>
        <w:t xml:space="preserve">KGA predicts measured evaluation-cell benefit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, not population benefit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. Its radius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describes</w:t>
      </w:r>
      <w:r>
        <w:t xml:space="preserve"> </w:t>
      </w:r>
      <w:r>
        <w:t xml:space="preserve">empirical prediction error under a named calibration protocol. It neither estimates the population</w:t>
      </w:r>
      <w:r>
        <w:t xml:space="preserve"> </w:t>
      </w:r>
      <w:r>
        <w:t xml:space="preserve">residual bound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nor establishes population-risk coverage.</w:t>
      </w:r>
    </w:p>
    <w:p>
      <w:pPr>
        <w:pStyle w:val="FirstParagraph"/>
        <w:widowControl/>
      </w:pPr>
      <w:r>
        <w:t xml:space="preserve">Both layers commit only when their respective uncertainty set supports one strict sign, but they</w:t>
      </w:r>
      <w:r>
        <w:t xml:space="preserve"> </w:t>
      </w:r>
      <w:r>
        <w:t xml:space="preserve">use different targets: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μ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p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;</m:t>
          </m:r>
          <m:r>
            <m:rPr>
              <m:scr m:val="script"/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;</m:t>
          </m:r>
          <m:r>
            <m:rPr>
              <m:scr m:val="script"/>
              <m:sty m:val="p"/>
            </m:rP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rPr>
                  <m:sty m:val="p"/>
                </m:rPr>
                <m:t>Δ</m:t>
              </m:r>
            </m:e>
          </m:acc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(8)</m:t>
          </m:r>
        </m:oMath>
      </m:oMathPara>
    </w:p>
    <w:p>
      <w:pPr>
        <w:pStyle w:val="FirstParagraph"/>
        <w:widowControl/>
      </w:pPr>
      <w:r>
        <w:t xml:space="preserve">Development cells fit</w:t>
      </w:r>
      <w:r>
        <w:t xml:space="preserve"> </w:t>
      </w:r>
      <m:oMath>
        <m:sSub>
          <m:e>
            <m:r>
              <m:t>h</m:t>
            </m:r>
          </m:e>
          <m:sub>
            <m:r>
              <m:t>θ</m:t>
            </m:r>
          </m:sub>
        </m:sSub>
      </m:oMath>
      <w:r>
        <w:t xml:space="preserve">, and disjoint residual-calibration cells supply residuals. A scored</w:t>
      </w:r>
      <w:r>
        <w:t xml:space="preserve"> </w:t>
      </w:r>
      <w:r>
        <w:t xml:space="preserve">cell contributes</w:t>
      </w:r>
      <w:r>
        <w:t xml:space="preserve"> </w:t>
      </w:r>
      <m:oMath>
        <m:r>
          <m:t>Z</m:t>
        </m:r>
      </m:oMath>
      <w:r>
        <w:t xml:space="preserve">, but not its outcome. The empirical coverage premise is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rPr>
                  <m:sty m:val="p"/>
                </m:rPr>
                <m:t>Δ</m:t>
              </m:r>
            </m:e>
          </m:acc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t> </m:t>
          </m:r>
          <m:r>
            <m:rPr>
              <m:nor/>
              <m:sty m:val="p"/>
            </m:rPr>
            <m:t>(9)</m:t>
          </m:r>
        </m:oMath>
      </m:oMathPara>
    </w:p>
    <w:p>
      <w:pPr>
        <w:pStyle w:val="FirstParagraph"/>
        <w:widowControl/>
      </w:pPr>
      <w:r>
        <w:t xml:space="preserve">Proposition 2 applies only when this premise is justified.</w:t>
      </w:r>
    </w:p>
    <w:bookmarkEnd w:id="42"/>
    <w:bookmarkStart w:id="43" w:name="the-coverage-to-action-proposition"/>
    <w:p>
      <w:pPr>
        <w:pStyle w:val="Heading2"/>
        <w:widowControl/>
      </w:pPr>
      <w:r>
        <w:t xml:space="preserve">6.2 The Coverage-to-Action Proposition</w:t>
      </w:r>
    </w:p>
    <w:p>
      <w:pPr>
        <w:pStyle w:val="FirstParagraph"/>
        <w:widowControl/>
      </w:pPr>
      <w:r>
        <w:rPr>
          <w:b/>
          <w:bCs/>
        </w:rPr>
        <w:t xml:space="preserve">Proposition 2</w:t>
      </w:r>
      <w:r>
        <w:t xml:space="preserve"> </w:t>
      </w:r>
      <w:r>
        <w:t xml:space="preserve">(Coverage-to-action implication).</w:t>
      </w:r>
      <w:r>
        <w:t xml:space="preserve"> </w:t>
      </w:r>
      <w:r>
        <w:t xml:space="preserve"> </w:t>
      </w:r>
      <w:r>
        <w:rPr>
          <w:i/>
          <w:iCs/>
        </w:rPr>
        <w:t xml:space="preserve">Fix the scalar benefit target and its evaluation unit before calibration. Let</w:t>
      </w:r>
      <w:r>
        <w:rPr>
          <w:i/>
          <w:iCs/>
        </w:rPr>
        <w:t xml:space="preserve"> </w:t>
      </w:r>
      <m:oMath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be finite real random variables, and let</w:t>
      </w:r>
      <w:r>
        <w:rPr>
          <w:i/>
          <w:iCs/>
        </w:rPr>
        <w:t xml:space="preserve"> </w:t>
      </w:r>
      <m:oMath>
        <m:r>
          <m:t>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a measurable random radius</w:t>
      </w:r>
      <w:r>
        <w:rPr>
          <w:i/>
          <w:iCs/>
        </w:rPr>
        <w:t xml:space="preserve"> </w:t>
      </w:r>
      <w:r>
        <w:rPr>
          <w:i/>
          <w:iCs/>
        </w:rPr>
        <w:t xml:space="preserve">on a common probability space containing all calibration, benefit-model fitting,</w:t>
      </w:r>
      <w:r>
        <w:rPr>
          <w:i/>
          <w:iCs/>
        </w:rPr>
        <w:t xml:space="preserve"> </w:t>
      </w:r>
      <w:r>
        <w:rPr>
          <w:i/>
          <w:iCs/>
        </w:rPr>
        <w:t xml:space="preserve">candidate-construction, and evaluation-unit randomness. The prediction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rPr>
          <w:i/>
          <w:iCs/>
        </w:rPr>
        <w:t xml:space="preserve"> </w:t>
      </w:r>
      <w:r>
        <w:rPr>
          <w:i/>
          <w:iCs/>
        </w:rPr>
        <w:t xml:space="preserve">and radius</w:t>
      </w:r>
      <w:r>
        <w:rPr>
          <w:i/>
          <w:iCs/>
        </w:rPr>
        <w:t xml:space="preserve"> </w:t>
      </w:r>
      <m:oMath>
        <m:r>
          <m:t>ε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must be available without reading the new unit’s evaluation labels. For</w:t>
      </w:r>
      <w:r>
        <w:rPr>
          <w:i/>
          <w:iCs/>
        </w:rP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, suppose the interval satisfies marginal coverage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ε</m:t>
              </m:r>
              <m:r>
                <m:t> </m:t>
              </m:r>
            </m:e>
          </m:d>
          <m:r>
            <m:t> </m:t>
          </m:r>
          <m:r>
            <m:rPr>
              <m:sty m:val="p"/>
            </m:rPr>
            <m:t>≥</m:t>
          </m:r>
          <m:r>
            <m:t> 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Define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adapt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freeze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r>
                      <m:t>ε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abstain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Then, marginally over that common probability space,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adapt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≤</m:t>
              </m:r>
              <m:r>
                <m:t>0</m:t>
              </m:r>
            </m:e>
          </m:d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freeze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</m:d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On the event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|</m:t>
        </m:r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t>B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ε</m:t>
        </m:r>
        <m:r>
          <m:rPr>
            <m:sty m:val="p"/>
          </m:rPr>
          <m:t>}</m:t>
        </m:r>
      </m:oMath>
      <w:r>
        <w:t xml:space="preserve">, the condition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so a false adapt requires the complement of</w:t>
      </w:r>
      <w:r>
        <w:t xml:space="preserve"> </w:t>
      </w:r>
      <w:r>
        <w:t xml:space="preserve">this event, which has probability at most</w:t>
      </w:r>
      <w:r>
        <w:t xml:space="preserve"> </w:t>
      </w:r>
      <m:oMath>
        <m:r>
          <m:t>α</m:t>
        </m:r>
      </m:oMath>
      <w:r>
        <w:t xml:space="preserve">. The freeze case is symmetric. ◻</w:t>
      </w:r>
    </w:p>
    <w:p>
      <w:pPr>
        <w:pStyle w:val="BodyText"/>
        <w:widowControl/>
      </w:pPr>
      <w:r>
        <w:t xml:space="preserve">For the empirical panels,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</m:oMath>
      <w:r>
        <w:t xml:space="preserve">. A</w:t>
      </w:r>
      <w:r>
        <w:t xml:space="preserve"> </w:t>
      </w:r>
      <w:r>
        <w:t xml:space="preserve">population-risk application instead sets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and requires coverage for that quantity;</w:t>
      </w:r>
      <w:r>
        <w:t xml:space="preserve"> </w:t>
      </w:r>
      <w:r>
        <w:t xml:space="preserve">cell-outcome coverage alone does not provide it.</w:t>
      </w:r>
    </w:p>
    <w:p>
      <w:pPr>
        <w:pStyle w:val="BodyText"/>
        <w:widowControl/>
      </w:pPr>
      <w:r>
        <w:rPr>
          <w:i/>
          <w:iCs/>
        </w:rPr>
        <w:t xml:space="preserve">Remark 2</w:t>
      </w:r>
      <w:r>
        <w:t xml:space="preserve"> </w:t>
      </w:r>
      <w:r>
        <w:t xml:space="preserve">(Scope of the implication).</w:t>
      </w:r>
      <w:r>
        <w:t xml:space="preserve"> </w:t>
      </w:r>
      <w:r>
        <w:t xml:space="preserve"> </w:t>
      </w:r>
      <w:r>
        <w:t xml:space="preserve">Proposition 2 controls marginal error for the declared target. It does not</w:t>
      </w:r>
      <w:r>
        <w:t xml:space="preserve"> </w:t>
      </w:r>
      <w:r>
        <w:t xml:space="preserve">control error conditional on commitment, group-specific coverage, candidate-selection</w:t>
      </w:r>
      <w:r>
        <w:t xml:space="preserve"> </w:t>
      </w:r>
      <w:r>
        <w:t xml:space="preserve">multiplicity, or repeated-time behavior. The coverage premise needs separate justification. When</w:t>
      </w:r>
      <w:r>
        <w:t xml:space="preserve"> </w:t>
      </w:r>
      <w:r>
        <w:t xml:space="preserve">it is unsupported, a declared fallback may retain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record ABSTAIN, but that response does</w:t>
      </w:r>
      <w:r>
        <w:t xml:space="preserve"> </w:t>
      </w:r>
      <w:r>
        <w:t xml:space="preserve">not prove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safe or optimal and is not a certified FREEZE decision. For this certificate, a population sign claim</w:t>
      </w:r>
      <w:r>
        <w:t xml:space="preserve"> </w:t>
      </w:r>
      <w:r>
        <w:t xml:space="preserve">requires interval coverage for population benefit itself, or a justified cell-to-population</w:t>
      </w:r>
      <w:r>
        <w:t xml:space="preserve"> </w:t>
      </w:r>
      <w:r>
        <w:t xml:space="preserve">transfer bound. Once that coverage premise holds, the event-containment argument applies</w:t>
      </w:r>
      <w:r>
        <w:t xml:space="preserve"> </w:t>
      </w:r>
      <w:r>
        <w:t xml:space="preserve">directly; it does not need an additional risk-alignment assumption.</w:t>
      </w:r>
    </w:p>
    <w:bookmarkEnd w:id="43"/>
    <w:bookmarkStart w:id="44" w:name="cell-to-population-transfer"/>
    <w:p>
      <w:pPr>
        <w:pStyle w:val="Heading2"/>
        <w:widowControl/>
      </w:pPr>
      <w:r>
        <w:t xml:space="preserve">6.3 Cell-to-Population Transfer</w:t>
      </w:r>
    </w:p>
    <w:p>
      <w:pPr>
        <w:pStyle w:val="FirstParagraph"/>
        <w:widowControl/>
      </w:pPr>
      <w:r>
        <w:t xml:space="preserve">Cell coverage alone does not imply population coverage. The following proposition states the</w:t>
      </w:r>
      <w:r>
        <w:t xml:space="preserve"> </w:t>
      </w:r>
      <w:r>
        <w:t xml:space="preserve">additional sampling premise needed to change the target while preserving the three-way decision</w:t>
      </w:r>
      <w:r>
        <w:t xml:space="preserve"> </w:t>
      </w:r>
      <w:r>
        <w:t xml:space="preserve">semantics. It is a conditional extension, not a replacement of KGA’s cell-level calibration.</w:t>
      </w:r>
      <w:r>
        <w:t xml:space="preserve"> </w:t>
      </w:r>
      <w:r>
        <w:t xml:space="preserve">The evaluation unit, target-environment population, model-pair construction protocol, score</w:t>
      </w:r>
      <w:r>
        <w:t xml:space="preserve"> </w:t>
      </w:r>
      <w:r>
        <w:t xml:space="preserve">functional, and units must be declared before calibration.</w:t>
      </w:r>
    </w:p>
    <w:p>
      <w:pPr>
        <w:pStyle w:val="BodyText"/>
        <w:widowControl/>
      </w:pPr>
      <w:r>
        <w:rPr>
          <w:b/>
          <w:bCs/>
        </w:rPr>
        <w:t xml:space="preserve">Proposition 3</w:t>
      </w:r>
      <w:r>
        <w:t xml:space="preserve"> </w:t>
      </w:r>
      <w:r>
        <w:t xml:space="preserve">(Cell-to-population transfer).</w:t>
      </w:r>
      <w:r>
        <w:t xml:space="preserve"> </w:t>
      </w:r>
      <w:r>
        <w:t xml:space="preserve"> </w:t>
      </w:r>
      <w:r>
        <w:rPr>
          <w:i/>
          <w:iCs/>
        </w:rPr>
        <w:t xml:space="preserve">Let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r>
          <m:rPr>
            <m:sty m:val="p"/>
          </m:rPr>
          <m:t>Δ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real-valued measurable quantities</w:t>
      </w:r>
      <w:r>
        <w:rPr>
          <w:i/>
          <w:iCs/>
        </w:rPr>
        <w:t xml:space="preserve"> </w:t>
      </w:r>
      <w:r>
        <w:rPr>
          <w:i/>
          <w:iCs/>
        </w:rPr>
        <w:t xml:space="preserve">on a common probability space, with cell and population benefit defined for the same model pair</w:t>
      </w:r>
      <w:r>
        <w:rPr>
          <w:i/>
          <w:iCs/>
        </w:rPr>
        <w:t xml:space="preserve"> </w:t>
      </w:r>
      <w:r>
        <w:rPr>
          <w:i/>
          <w:iCs/>
        </w:rPr>
        <w:t xml:space="preserve">and score functional. Let</w:t>
      </w:r>
      <w:r>
        <w:rPr>
          <w:i/>
          <w:iCs/>
        </w:rPr>
        <w:t xml:space="preserve"> </w:t>
      </w:r>
      <m:oMath>
        <m:r>
          <m:t>ε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≥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be finite measurable radii. Suppose that</w:t>
      </w:r>
      <w:r>
        <w:rPr>
          <w:i/>
          <w:iCs/>
        </w:rP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,</m:t>
        </m:r>
        <m:r>
          <m:t>δ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+</m:t>
        </m:r>
        <m:r>
          <m:t>δ</m:t>
        </m:r>
        <m:r>
          <m:rPr>
            <m:sty m:val="p"/>
          </m:rPr>
          <m:t>&lt;</m:t>
        </m:r>
        <m:r>
          <m:t>1</m:t>
        </m:r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p>
              </m:sSup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ε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b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δ</m:t>
          </m:r>
          <m:r>
            <m:t> </m:t>
          </m:r>
          <m:r>
            <m:rPr>
              <m:nor/>
              <m:sty m:val="p"/>
            </m:rPr>
            <m:t>(10)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Then, without requiring independence of these two events,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|</m:t>
              </m:r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−</m:t>
          </m:r>
          <m:r>
            <m:t>δ</m:t>
          </m:r>
          <m:r>
            <m:t> </m:t>
          </m:r>
          <m:r>
            <m:rPr>
              <m:nor/>
              <m:sty m:val="p"/>
            </m:rPr>
            <m:t>(11)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If</w:t>
      </w:r>
      <w:r>
        <w:rPr>
          <w:i/>
          <w:iCs/>
        </w:rP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ε</m:t>
        </m:r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r>
          <m:t>b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are available before the new evaluation labels,</w:t>
      </w:r>
      <w:r>
        <w:rPr>
          <w:i/>
          <w:iCs/>
        </w:rPr>
        <w:t xml:space="preserve"> </w:t>
      </w:r>
      <w:r>
        <w:rPr>
          <w:i/>
          <w:iCs/>
        </w:rPr>
        <w:t xml:space="preserve">define</w:t>
      </w:r>
      <w:r>
        <w:rPr>
          <w:i/>
          <w:iCs/>
        </w:rP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r>
          <m:t>ε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ε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i/>
          <w:iCs/>
        </w:rPr>
        <w:t xml:space="preserve">. The rule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adapt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freeze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rPr>
                            <m:sty m:val="p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abstain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(12)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satisfies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adapt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Δ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}</m:t>
          </m:r>
          <m:r>
            <m:t> </m:t>
          </m:r>
          <m:r>
            <m:t> </m:t>
          </m:r>
          <m:r>
            <m:rPr>
              <m:sty m:val="p"/>
            </m:rPr>
            <m:t>∪</m:t>
          </m:r>
          <m:r>
            <m:rPr>
              <m:sty m:val="p"/>
            </m:rPr>
            <m:t>{</m:t>
          </m:r>
          <m:sSub>
            <m:e>
              <m:r>
                <m:t>g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freeze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Δ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+</m:t>
          </m:r>
          <m:r>
            <m:t>δ</m:t>
          </m:r>
          <m:r>
            <m:t> </m:t>
          </m:r>
          <m:r>
            <m:rPr>
              <m:nor/>
              <m:sty m:val="p"/>
            </m:rPr>
            <m:t>(13)</m:t>
          </m:r>
        </m:oMath>
      </m:oMathPara>
    </w:p>
    <w:p>
      <w:pPr>
        <w:pStyle w:val="FirstParagraph"/>
        <w:widowControl/>
      </w:pPr>
      <w:r>
        <w:rPr>
          <w:i/>
          <w:iCs/>
        </w:rPr>
        <w:t xml:space="preserve">Proof.</w:t>
      </w:r>
      <w:r>
        <w:t xml:space="preserve"> </w:t>
      </w:r>
      <w:r>
        <w:t xml:space="preserve">On the intersection of the two premise events, the triangle inequality gives</w:t>
      </w:r>
      <w:r>
        <w:t xml:space="preserve"> </w:t>
      </w:r>
      <m:oMath>
        <m:r>
          <m:rPr>
            <m:sty m:val="p"/>
          </m:rPr>
          <m:t>|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rPr>
            <m:sty m:val="p"/>
          </m:rPr>
          <m:t>|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|</m:t>
        </m:r>
        <m:r>
          <m:rPr>
            <m:sty m:val="p"/>
          </m:rPr>
          <m:t>+</m:t>
        </m:r>
        <m:r>
          <m:rPr>
            <m:sty m:val="p"/>
          </m:rPr>
          <m:t>|</m:t>
        </m:r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ε</m:t>
        </m:r>
        <m:r>
          <m:rPr>
            <m:sty m:val="p"/>
          </m:rPr>
          <m:t>+</m:t>
        </m:r>
        <m:r>
          <m:t>b</m:t>
        </m:r>
      </m:oMath>
      <w:r>
        <w:t xml:space="preserve">. The complement of that intersection has probability at most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+</m:t>
        </m:r>
        <m:r>
          <m:t>δ</m:t>
        </m:r>
      </m:oMath>
      <w:r>
        <w:t xml:space="preserve"> </w:t>
      </w:r>
      <w:r>
        <w:t xml:space="preserve">by the union bound. On the intersection,</w:t>
      </w:r>
      <w:r>
        <w:t xml:space="preserve"> </w:t>
      </w:r>
      <m:oMath>
        <m:sSub>
          <m:e>
            <m:r>
              <m:t>L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&lt;</m:t>
        </m:r>
        <m:r>
          <m:t>0</m:t>
        </m:r>
      </m:oMath>
      <w:r>
        <w:t xml:space="preserve">, so either false strict</w:t>
      </w:r>
      <w:r>
        <w:t xml:space="preserve"> </w:t>
      </w:r>
      <w:r>
        <w:t xml:space="preserve">direction requires failure of at least one premise event. ◻</w:t>
      </w:r>
    </w:p>
    <w:p>
      <w:pPr>
        <w:pStyle w:val="BodyText"/>
        <w:widowControl/>
      </w:pPr>
      <w:r>
        <w:t xml:space="preserve">The bound is marginal over the declared evaluation unit and its protocol randomness, not</w:t>
      </w:r>
      <w:r>
        <w:t xml:space="preserve"> </w:t>
      </w:r>
      <w:r>
        <w:t xml:space="preserve">conditional on commitment, groupwise, or anytime-valid. The radii need separately justified</w:t>
      </w:r>
      <w:r>
        <w:t xml:space="preserve"> </w:t>
      </w:r>
      <w:r>
        <w:t xml:space="preserve">coverage premises; computing their sum does not establish those premises. No such sampling-error</w:t>
      </w:r>
      <w:r>
        <w:t xml:space="preserve"> </w:t>
      </w:r>
      <w:r>
        <w:t xml:space="preserve">bound is established for the reported panels, whose gates continue to use</w:t>
      </w:r>
      <w:r>
        <w:t xml:space="preserve"> </w:t>
      </w:r>
      <m:oMath>
        <m:r>
          <m:t>ε</m:t>
        </m:r>
      </m:oMath>
      <w:r>
        <w:t xml:space="preserve">, not</w:t>
      </w:r>
      <w:r>
        <w:t xml:space="preserve"> </w:t>
      </w:r>
      <m:oMath>
        <m:r>
          <m:t>ε</m:t>
        </m:r>
        <m:r>
          <m:rPr>
            <m:sty m:val="p"/>
          </m:rPr>
          <m:t>+</m:t>
        </m:r>
        <m:r>
          <m:t>b</m:t>
        </m:r>
      </m:oMath>
      <w:r>
        <w:t xml:space="preserve">. An unavailable premise or non-finite radius therefore supports no population</w:t>
      </w:r>
      <w:r>
        <w:t xml:space="preserve"> </w:t>
      </w:r>
      <w:r>
        <w:t xml:space="preserve">certificate: the operational fallback is ABSTAIN while retaining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not a certified</w:t>
      </w:r>
      <w:r>
        <w:t xml:space="preserve"> </w:t>
      </w:r>
      <w:r>
        <w:t xml:space="preserve">FREEZE. The sampling radius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distinct from the population residual bound</w:t>
      </w:r>
      <w:r>
        <w:t xml:space="preserve"> </w:t>
      </w:r>
      <m:oMath>
        <m:r>
          <m:t>β</m:t>
        </m:r>
      </m:oMath>
      <w:r>
        <w:t xml:space="preserve">.</w:t>
      </w:r>
      <w:r>
        <w:t xml:space="preserve"> </w:t>
      </w:r>
      <w:r>
        <w:t xml:space="preserve">Appendix A</w:t>
      </w:r>
      <w:r>
        <w:t xml:space="preserve"> </w:t>
      </w:r>
      <w:r>
        <w:t xml:space="preserve">records the sampling and score-functional restrictions.</w:t>
      </w:r>
    </w:p>
    <w:bookmarkEnd w:id="44"/>
    <w:bookmarkStart w:id="46" w:name="evidence-calibration-and-the-action-rule"/>
    <w:p>
      <w:pPr>
        <w:pStyle w:val="Heading2"/>
        <w:widowControl/>
      </w:pPr>
      <w:r>
        <w:t xml:space="preserve">6.4 Evidence, Calibration, and the Action Rule</w:t>
      </w:r>
    </w:p>
    <w:p>
      <w:pPr>
        <w:pStyle w:val="FirstParagraph"/>
        <w:widowControl/>
      </w:pPr>
      <w:r>
        <w:t xml:space="preserve">Each candidate-specific model uses label-free summaries of confidence, class balance, model</w:t>
      </w:r>
      <w:r>
        <w:t xml:space="preserve"> </w:t>
      </w:r>
      <w:r>
        <w:t xml:space="preserve">disagreement, distribution shift, and update magnitude. Natural tracks retain protocol-specific</w:t>
      </w:r>
      <w:r>
        <w:t xml:space="preserve"> </w:t>
      </w:r>
      <w:r>
        <w:t xml:space="preserve">models and schemas. The</w:t>
      </w:r>
      <w:r>
        <w:t xml:space="preserve"> </w:t>
      </w:r>
      <w:r>
        <w:t xml:space="preserve">evidence inventory in Appendix I</w:t>
      </w:r>
      <w:r>
        <w:t xml:space="preserve"> </w:t>
      </w:r>
      <w:r>
        <w:t xml:space="preserve">records their exact specifications.</w:t>
      </w:r>
    </w:p>
    <w:p>
      <w:pPr>
        <w:pStyle w:val="BodyText"/>
        <w:widowControl/>
      </w:pPr>
      <w:r>
        <w:t xml:space="preserve">Given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Δ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|</m:t>
        </m:r>
      </m:oMath>
      <w:r>
        <w:t xml:space="preserve">, ordered as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, the order-statistic rule is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d>
            <m:dPr>
              <m:begChr m:val="⌈"/>
              <m:sepChr m:val=""/>
              <m:endChr m:val="⌉"/>
              <m:grow/>
            </m:dPr>
            <m:e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ε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n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n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(14)</m:t>
          </m:r>
        </m:oMath>
      </m:oMathPara>
    </w:p>
    <w:p>
      <w:pPr>
        <w:pStyle w:val="FirstParagraph"/>
        <w:widowControl/>
      </w:pPr>
      <w:r>
        <w:t xml:space="preserve">The rank rule has split-conformal coverage when calibration and next-unit scores are jointly</w:t>
      </w:r>
      <w:r>
        <w:t xml:space="preserve"> </w:t>
      </w:r>
      <w:r>
        <w:t xml:space="preserve">exchangeable under the full fitting and candidate-construction protocol</w:t>
      </w:r>
      <w:r>
        <w:t xml:space="preserve"> </w:t>
      </w:r>
      <w:r>
        <w:t xml:space="preserve">[36, 37]; 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counts cells, not images.</w:t>
      </w:r>
      <w:r>
        <w:t xml:space="preserve"> </w:t>
      </w:r>
      <w:r>
        <w:t xml:space="preserve">Disjoint fit, calibration, and check labels prevent the specified reuse; this does not establish</w:t>
      </w:r>
      <w:r>
        <w:t xml:space="preserve"> </w:t>
      </w:r>
      <w:r>
        <w:t xml:space="preserve">exchangeability. The painting-development inclusion rates below are descriptive checks on opened</w:t>
      </w:r>
      <w:r>
        <w:t xml:space="preserve"> </w:t>
      </w:r>
      <w:r>
        <w:t xml:space="preserve">cells, not validation of group-conditional, repeated-use, or population-risk coverage.</w:t>
      </w:r>
    </w:p>
    <w:p>
      <w:pPr>
        <w:pStyle w:val="BodyText"/>
        <w:widowControl/>
      </w:pPr>
      <w:r>
        <w:t xml:space="preserve">A deterministic five-fold cross-fit is keyed by stable cell IDs. For each score fold, its</w:t>
      </w:r>
      <w:r>
        <w:t xml:space="preserve"> </w:t>
      </w:r>
      <w:r>
        <w:t xml:space="preserve">complement is divided into disjoint estimator-fit and residual-calibration subsets. Fit outcomes</w:t>
      </w:r>
      <w:r>
        <w:t xml:space="preserve"> </w:t>
      </w:r>
      <w:r>
        <w:t xml:space="preserve">determine the predictor, and the exact-rank rule on calibration residuals determines the radius. No scored outcome can</w:t>
      </w:r>
      <w:r>
        <w:t xml:space="preserve"> </w:t>
      </w:r>
      <w:r>
        <w:t xml:space="preserve">affect its own prediction, radius, or action; the whole-pipeline invariance test verifies this</w:t>
      </w:r>
      <w:r>
        <w:t xml:space="preserve"> </w:t>
      </w:r>
      <w:r>
        <w:t xml:space="preserve">property. This separation blocks direct outcome flow but does not create independent environments</w:t>
      </w:r>
      <w:r>
        <w:t xml:space="preserve"> </w:t>
      </w:r>
      <w:r>
        <w:t xml:space="preserve">or establish exchangeability. Natural tracks use separate partitions only where their archived</w:t>
      </w:r>
      <w:r>
        <w:t xml:space="preserve"> </w:t>
      </w:r>
      <w:r>
        <w:t xml:space="preserve">protocols record them.</w:t>
      </w:r>
    </w:p>
    <w:bookmarkStart w:id="45" w:name="Xdc61f7c185e4a45c0937e997869c35b3f8110d2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Algorithm 1. KGA decision for one proposed candidate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rPr>
          <w:b/>
          <w:bCs/>
        </w:rPr>
        <w:t xml:space="preserve">Inputs:</w:t>
      </w:r>
      <w:r>
        <w:t xml:space="preserve"> </w:t>
      </w:r>
      <w:r>
        <w:t xml:space="preserve">Frozen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adapter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, unlabeled</w:t>
      </w:r>
      <w:r>
        <w:t xml:space="preserve"> </w:t>
      </w:r>
      <m:oMath>
        <m:r>
          <m:t>X</m:t>
        </m:r>
      </m:oMath>
      <w:r>
        <w:t xml:space="preserve">, frozen</w:t>
      </w:r>
      <w:r>
        <w:t xml:space="preserve"> </w:t>
      </w:r>
      <m:oMath>
        <m:sSub>
          <m:e>
            <m:r>
              <m:t>h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and calibration artifacts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t xml:space="preserve">Create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←</m:t>
        </m:r>
        <m:r>
          <m:rPr>
            <m:scr m:val="script"/>
            <m:sty m:val="p"/>
          </m:rPr>
          <m:t>A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isolated shadow state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t xml:space="preserve">Extract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validate the assessment inputs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rPr>
          <w:b/>
          <w:bCs/>
        </w:rPr>
        <w:t xml:space="preserve">If</w:t>
      </w:r>
      <w:r>
        <w:t xml:space="preserve"> </w:t>
      </w:r>
      <w:r>
        <w:t xml:space="preserve">the assessment is unavailable:</w:t>
      </w:r>
    </w:p>
    <w:p>
      <w:pPr>
        <w:widowControl/>
        <w:numPr>
          <w:ilvl w:val="1"/>
          <w:numId w:val="1004"/>
        </w:numPr>
        <w:tabs>
          <w:tab w:pos="1440" w:val="left"/>
        </w:tabs>
        <w:ind w:left="1440" w:hanging="360"/>
      </w:pPr>
      <w:r>
        <w:t xml:space="preserve"> </w:t>
      </w:r>
      <w:r>
        <w:t xml:space="preserve">retain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log the reason, and return ABSTAIN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t xml:space="preserve">Obtain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from the calibrated residual rule in Eq. (14)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←</m:t>
        </m:r>
        <m:sSub>
          <m:e>
            <m:r>
              <m:t>h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m:oMath>
        <m:r>
          <m:t>L</m:t>
        </m:r>
        <m:r>
          <m:rPr>
            <m:sty m:val="p"/>
          </m:rPr>
          <m:t>←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−</m:t>
        </m:r>
        <m:r>
          <m:t>ε</m:t>
        </m:r>
      </m:oMath>
      <w:r>
        <w:t xml:space="preserve">;</w:t>
      </w:r>
      <w:r>
        <w:t xml:space="preserve"> </w:t>
      </w:r>
      <m:oMath>
        <m:r>
          <m:t>U</m:t>
        </m:r>
        <m:r>
          <m:rPr>
            <m:sty m:val="p"/>
          </m:rPr>
          <m:t>←</m:t>
        </m:r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+</m:t>
        </m:r>
        <m:r>
          <m:t>ε</m:t>
        </m:r>
      </m:oMath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rPr>
          <w:b/>
          <w:bCs/>
        </w:rPr>
        <w:t xml:space="preserve">If</w:t>
      </w:r>
      <w:r>
        <w:t xml:space="preserve"> </w:t>
      </w:r>
      <m:oMath>
        <m:r>
          <m:t>L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widowControl/>
        <w:numPr>
          <w:ilvl w:val="1"/>
          <w:numId w:val="1005"/>
        </w:numPr>
        <w:tabs>
          <w:tab w:pos="1440" w:val="left"/>
        </w:tabs>
        <w:ind w:left="1440" w:hanging="360"/>
      </w:pPr>
      <w:r>
        <w:t xml:space="preserve"> </w:t>
      </w:r>
      <w:r>
        <w:t xml:space="preserve">commit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 return ADAPT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rPr>
          <w:b/>
          <w:bCs/>
        </w:rPr>
        <w:t xml:space="preserve">Else if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:</w:t>
      </w:r>
    </w:p>
    <w:p>
      <w:pPr>
        <w:widowControl/>
        <w:numPr>
          <w:ilvl w:val="1"/>
          <w:numId w:val="1006"/>
        </w:numPr>
        <w:tabs>
          <w:tab w:pos="1440" w:val="left"/>
        </w:tabs>
        <w:ind w:left="1440" w:hanging="360"/>
      </w:pPr>
      <w:r>
        <w:t xml:space="preserve"> </w:t>
      </w:r>
      <w:r>
        <w:t xml:space="preserve">discard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 return FREEZE</w:t>
      </w:r>
    </w:p>
    <w:p>
      <w:pPr>
        <w:widowControl/>
        <w:numPr>
          <w:ilvl w:val="0"/>
          <w:numId w:val="1003"/>
        </w:numPr>
        <w:tabs>
          <w:tab w:pos="720" w:val="left"/>
        </w:tabs>
        <w:ind w:left="720" w:hanging="360"/>
      </w:pPr>
      <w:r>
        <w:t xml:space="preserve"> </w:t>
      </w:r>
      <w:r>
        <w:rPr>
          <w:b/>
          <w:bCs/>
        </w:rPr>
        <w:t xml:space="preserve">Else</w:t>
      </w:r>
      <w:r>
        <w:t xml:space="preserve">:</w:t>
      </w:r>
    </w:p>
    <w:p>
      <w:pPr>
        <w:widowControl/>
        <w:numPr>
          <w:ilvl w:val="1"/>
          <w:numId w:val="1007"/>
        </w:numPr>
        <w:tabs>
          <w:tab w:pos="1440" w:val="left"/>
        </w:tabs>
        <w:ind w:left="1440" w:hanging="360"/>
      </w:pPr>
      <w:r>
        <w:t xml:space="preserve"> </w:t>
      </w:r>
      <w:r>
        <w:t xml:space="preserve">retain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log uncertainty, and return ABSTAIN</w:t>
      </w:r>
    </w:p>
    <w:p>
      <w:pPr>
        <w:pStyle w:val="FirstParagraph"/>
        <w:widowControl/>
      </w:pPr>
      <w:r>
        <w:t xml:space="preserve">For radius</w:t>
      </w:r>
      <w:r>
        <w:t xml:space="preserve"> </w:t>
      </w:r>
      <m:oMath>
        <m:r>
          <m:t>0.01</m:t>
        </m:r>
      </m:oMath>
      <w:r>
        <w:t xml:space="preserve">, predictions</w:t>
      </w:r>
      <w:r>
        <w:t xml:space="preserve"> </w:t>
      </w:r>
      <m:oMath>
        <m:r>
          <m:t>0.04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0.04</m:t>
        </m:r>
      </m:oMath>
      <w:r>
        <w:t xml:space="preserve">, and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produce ADAPT, FREEZE, and</w:t>
      </w:r>
      <w:r>
        <w:t xml:space="preserve"> </w:t>
      </w:r>
      <w:r>
        <w:t xml:space="preserve">ABSTAIN, respectively. These values illustrate the rule; they are not experimental results.</w:t>
      </w:r>
    </w:p>
    <w:p>
      <w:pPr>
        <w:pStyle w:val="BodyText"/>
        <w:widowControl/>
      </w:pPr>
      <w:r>
        <w:t xml:space="preserve">Runtime includes shadow adaptation, two-model inference, evidence extraction, and storage;</w:t>
      </w:r>
      <w:r>
        <w:t xml:space="preserve"> </w:t>
      </w:r>
      <w:r>
        <w:t xml:space="preserve">comparable end-to-end latency measurements are unavailable.</w:t>
      </w:r>
    </w:p>
    <w:bookmarkEnd w:id="45"/>
    <w:bookmarkEnd w:id="46"/>
    <w:bookmarkEnd w:id="47"/>
    <w:bookmarkStart w:id="51" w:name="primary-experimental-protocols"/>
    <w:p>
      <w:pPr>
        <w:pStyle w:val="Heading1"/>
        <w:widowControl/>
      </w:pPr>
      <w:r>
        <w:t xml:space="preserve">7 Primary Experimental Protocols</w:t>
      </w:r>
    </w:p>
    <w:bookmarkStart w:id="48" w:name="X684e82cdbc490d293abc0fd935d1279df9c0ce2"/>
    <w:p>
      <w:pPr>
        <w:pStyle w:val="Heading2"/>
        <w:widowControl/>
      </w:pPr>
      <w:r>
        <w:t xml:space="preserve">7.1 Two Primary Questions and the Evidence Hierarchy</w:t>
      </w:r>
    </w:p>
    <w:p>
      <w:pPr>
        <w:pStyle w:val="FirstParagraph"/>
        <w:widowControl/>
      </w:pPr>
      <w:r>
        <w:t xml:space="preserve">The CIFAR-10-C diagnostic asks whether KGA distinguishes helpful from harmful updates on an opened</w:t>
      </w:r>
      <w:r>
        <w:t xml:space="preserve"> </w:t>
      </w:r>
      <w:r>
        <w:t xml:space="preserve">constructed grid. CCT-20 asks whether a frozen gate avoids measured candidate harm across camera</w:t>
      </w:r>
      <w:r>
        <w:t xml:space="preserve"> </w:t>
      </w:r>
      <w:r>
        <w:t xml:space="preserve">locations. The first exercises directional branches retrospectively; the second evaluates governed</w:t>
      </w:r>
      <w:r>
        <w:t xml:space="preserve"> </w:t>
      </w:r>
      <w:r>
        <w:t xml:space="preserve">retention and may pass without ADAPT exposure.</w:t>
      </w:r>
    </w:p>
    <w:p>
      <w:pPr>
        <w:pStyle w:val="TableCaption"/>
        <w:widowControl/>
      </w:pPr>
      <w:r>
        <w:t xml:space="preserve">Table 4. Evidence status and admissible claim.</w:t>
      </w:r>
      <w:r>
        <w:t xml:space="preserve"> </w:t>
      </w:r>
      <w:r>
        <w:t xml:space="preserve">“Primary”</w:t>
      </w:r>
      <w:r>
        <w:t xml:space="preserve"> </w:t>
      </w:r>
      <w:r>
        <w:t xml:space="preserve">means central to the paper, not</w:t>
      </w:r>
      <w:r>
        <w:t xml:space="preserve"> </w:t>
      </w:r>
      <w:r>
        <w:t xml:space="preserve">prospectively confirmatory; unfavorable and incomplete studies remain in scope.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4. Evidence status and admissible claim. “Primary” means central to the paper, not prospectively confirmatory; unfavorable and incomplete studies remain in scop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728"/>
        <w:gridCol w:w="4116"/>
        <w:gridCol w:w="4116"/>
      </w:tblGrid>
      <w:tr>
        <w:trPr>
          <w:tblHeader w:val="true"/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Evidence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Design and status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Question it can answer</w:t>
            </w:r>
          </w:p>
        </w:tc>
      </w:tr>
      <w:tr>
        <w:trPr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CIFAR-10-C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opened, dependent, constructed; cell-outcome-disjoint cross-fit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retrospective candidate-specific routing</w:t>
            </w:r>
          </w:p>
        </w:tc>
      </w:tr>
      <w:tr>
        <w:trPr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CCT-20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cell-outcome-unopened, internally sealed execution; aggregate target metadata previously inspected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conservative retention under the locked endpoint</w:t>
            </w:r>
          </w:p>
        </w:tc>
      </w:tr>
      <w:tr>
        <w:trPr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So2Sat-LCZ42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development stop before target access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candidate failed eligibility</w:t>
            </w:r>
          </w:p>
        </w:tc>
      </w:tr>
      <w:tr>
        <w:trPr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DomainNet painting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opened development; five checkpoints on shared cells and separate reference-source candidates; fixed follow-up diagnostics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candidate feasibility, abstention, and mechanism limits; not confirmation</w:t>
            </w:r>
          </w:p>
        </w:tc>
      </w:tr>
      <w:tr>
        <w:trPr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Auxiliary replays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opened or one-sided diagnostics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transfer limits and supporting behavior</w:t>
            </w:r>
          </w:p>
        </w:tc>
      </w:tr>
      <w:tr>
        <w:trPr>
          <w:cantSplit w:val="true"/>
        </w:trPr>
        <w:tc>
          <w:tcPr>
            <w:tcW w:w="17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Invalid or partial records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PACS partial; iWildCam metric invalid; historical ports superseded; Office-Home serialization invalid</w:t>
            </w:r>
          </w:p>
        </w:tc>
        <w:tc>
          <w:tcPr>
            <w:tcW w:w="411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audit history only</w:t>
            </w:r>
          </w:p>
        </w:tc>
      </w:tr>
    </w:tbl>
    <w:p>
      <w:pPr>
        <w:pStyle w:val="BodyText"/>
        <w:widowControl/>
      </w:pPr>
      <w:r>
        <w:t xml:space="preserve">The opened, dependent, constructed CIFAR-10-C diagnostic [23] uses six</w:t>
      </w:r>
      <w:r>
        <w:t xml:space="preserve"> </w:t>
      </w:r>
      <w:r>
        <w:t xml:space="preserve">corruption families at severities 1 and 5. It crosses three batch sizes (200, 16, and 8), three</w:t>
      </w:r>
      <w:r>
        <w:t xml:space="preserve"> </w:t>
      </w:r>
      <w:r>
        <w:t xml:space="preserve">compositions (IID, imbalanced, and single-class), two update schedules (10 steps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50 at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and two repeats: 432 cells per RNG seed and 2,160 per candidate over</w:t>
      </w:r>
      <w:r>
        <w:t xml:space="preserve"> </w:t>
      </w:r>
      <w:r>
        <w:t xml:space="preserve">seeds 0–4.</w:t>
      </w:r>
    </w:p>
    <w:p>
      <w:pPr>
        <w:pStyle w:val="BodyText"/>
        <w:widowControl/>
      </w:pPr>
      <w:r>
        <w:t xml:space="preserve">Tent, EATA, and SAR are local ports applied to one ResNet-18 checkpoint; the five seeds repeat</w:t>
      </w:r>
      <w:r>
        <w:t xml:space="preserve"> </w:t>
      </w:r>
      <w:r>
        <w:t xml:space="preserve">streams and adapter randomness, not checkpoint training. Point estimates weight cells equally;</w:t>
      </w:r>
      <w:r>
        <w:t xml:space="preserve"> </w:t>
      </w:r>
      <w:r>
        <w:t xml:space="preserve">family sensitivity first averages within each family and then weights the six means equally.</w:t>
      </w:r>
    </w:p>
    <w:p>
      <w:pPr>
        <w:pStyle w:val="BodyText"/>
        <w:widowControl/>
      </w:pPr>
      <w:r>
        <w:t xml:space="preserve">The recorded candidates are local, protocol-matched composite operating points rather than</w:t>
      </w:r>
      <w:r>
        <w:t xml:space="preserve"> </w:t>
      </w:r>
      <w:r>
        <w:t xml:space="preserve">untouched reproductions of published defaults. They combine evaluation-batch BatchNorm statistics</w:t>
      </w:r>
      <w:r>
        <w:t xml:space="preserve"> </w:t>
      </w:r>
      <w:r>
        <w:t xml:space="preserve">with normalization-affine updates; Appendix D records the contract and unexecuted BatchNorm-only</w:t>
      </w:r>
      <w:r>
        <w:t xml:space="preserve"> </w:t>
      </w:r>
      <w:r>
        <w:t xml:space="preserve">control.</w:t>
      </w:r>
    </w:p>
    <w:p>
      <w:pPr>
        <w:pStyle w:val="BodyText"/>
        <w:widowControl/>
      </w:pPr>
      <w:r>
        <w:t xml:space="preserve">The three-way cross-fit removes each scored fold’s outcomes from fitting and residual calibration,</w:t>
      </w:r>
      <w:r>
        <w:t xml:space="preserve"> </w:t>
      </w:r>
      <w:r>
        <w:t xml:space="preserve">but does not make the shared checkpoint, corpus, or cells independent. This is a retrospective</w:t>
      </w:r>
      <w:r>
        <w:t xml:space="preserve"> </w:t>
      </w:r>
      <w:r>
        <w:t xml:space="preserve">diagnostic, not prospective confirmation or an untouched deployment trial.</w:t>
      </w:r>
    </w:p>
    <w:bookmarkEnd w:id="48"/>
    <w:bookmarkStart w:id="50" w:name="X8e971785fecb622265bc59ff7a4505553409a74"/>
    <w:p>
      <w:pPr>
        <w:pStyle w:val="Heading2"/>
        <w:widowControl/>
      </w:pPr>
      <w:r>
        <w:t xml:space="preserve">7.2 CCT-20 Design and Locked Utility-Preservation Endpoint</w:t>
      </w:r>
    </w:p>
    <w:p>
      <w:pPr>
        <w:pStyle w:val="FirstParagraph"/>
        <w:widowControl/>
      </w:pPr>
      <w:r>
        <w:t xml:space="preserve">The CCT-20 study [48] crosses 5 independent checkpoints</w:t>
      </w:r>
      <w:r>
        <w:t xml:space="preserve"> </w:t>
      </w:r>
      <w:r>
        <w:t xml:space="preserve">with 9 target locations, giving 45 cells and</w:t>
      </w:r>
      <w:r>
        <w:t xml:space="preserve"> </w:t>
      </w:r>
      <w:r>
        <w:t xml:space="preserve">6950/16325 probe/evaluation images</w:t>
      </w:r>
      <w:r>
        <w:t xml:space="preserve"> </w:t>
      </w:r>
      <w:r>
        <w:t xml:space="preserve">(23275 total). Set-membership top-1 accuracy credits any archived category, not an</w:t>
      </w:r>
      <w:r>
        <w:t xml:space="preserve"> </w:t>
      </w:r>
      <w:r>
        <w:t xml:space="preserve">official single-label target. Official Tent makes one non-episodic Adam update per batch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 pre-update logits score it, state carries within a cell, and resets between cells.</w:t>
      </w:r>
    </w:p>
    <w:p>
      <w:pPr>
        <w:pStyle w:val="BodyText"/>
        <w:widowControl/>
      </w:pPr>
      <w:r>
        <w:t xml:space="preserve">Individual outcomes remained unopened until one-shot scoring, but aggregate target-label metadata</w:t>
      </w:r>
      <w:r>
        <w:t xml:space="preserve"> </w:t>
      </w:r>
      <w:r>
        <w:t xml:space="preserve">had previously been inspected; CCT-20 was therefore cell-outcome-unopened and internally sealed,</w:t>
      </w:r>
      <w:r>
        <w:t xml:space="preserve"> </w:t>
      </w:r>
      <w:r>
        <w:t xml:space="preserve">not globally label-unopened or publicly preregistered. Ridge fitting used 10 rows from two camera</w:t>
      </w:r>
      <w:r>
        <w:t xml:space="preserve"> </w:t>
      </w:r>
      <w:r>
        <w:t xml:space="preserve">locations and calibration used 45 rows across nine others; transfer to target locations is assumed.</w:t>
      </w:r>
    </w:p>
    <w:p>
      <w:pPr>
        <w:pStyle w:val="BodyText"/>
        <w:widowControl/>
      </w:pPr>
      <w:r>
        <w:t xml:space="preserve">For fixed policy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mean baseline regret minus mean KGA regret. The limited,</w:t>
      </w:r>
      <w:r>
        <w:t xml:space="preserve"> </w:t>
      </w:r>
      <w:r>
        <w:t xml:space="preserve">predeclared utility check uses nominal pointwise 95% intervals and passes when their lower</w:t>
      </w:r>
      <w:r>
        <w:t xml:space="preserve"> </w:t>
      </w:r>
      <w:r>
        <w:t xml:space="preserve">endpoints satisfy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&gt;</m:t>
          </m:r>
          <m:r>
            <m:rPr>
              <m:sty m:val="p"/>
            </m:rPr>
            <m:t>−</m:t>
          </m:r>
          <m:r>
            <m:t>0.005</m:t>
          </m:r>
          <m:r>
            <m:t> </m:t>
          </m:r>
          <m:r>
            <m:rPr>
              <m:nor/>
              <m:sty m:val="p"/>
            </m:rPr>
            <m:t>(15)</m:t>
          </m:r>
        </m:oMath>
      </m:oMathPara>
    </w:p>
    <w:p>
      <w:pPr>
        <w:pStyle w:val="FirstParagraph"/>
        <w:widowControl/>
      </w:pPr>
      <w:r>
        <w:t xml:space="preserve">The second threshold is frozen-policy noninferiority; this check can pass when KGA always serves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is not a population guarantee.</w:t>
      </w:r>
    </w:p>
    <w:p>
      <w:pPr>
        <w:pStyle w:val="BodyText"/>
        <w:widowControl/>
      </w:pPr>
      <w:r>
        <w:t xml:space="preserve">The separate strong-success rule requires complete data for all 45 cells, nominal 97.5%</w:t>
      </w:r>
      <w:r>
        <w:t xml:space="preserve"> </w:t>
      </w:r>
      <w:r>
        <w:t xml:space="preserve">Bonferroni intervals above zero against both fixed policies, both exact nine-location tests</w:t>
      </w:r>
      <w:r>
        <w:t xml:space="preserve"> </w:t>
      </w:r>
      <w:r>
        <w:t xml:space="preserve">surviving Holm at 0.05, ADAPT and FREEZE rates at least 0.10, and total commitment at least 0.30.</w:t>
      </w:r>
      <w:r>
        <w:t xml:space="preserve"> </w:t>
      </w:r>
      <w:r>
        <w:t xml:space="preserve">It therefore requires interval-supported improvement over both fixed policies; any failure</w:t>
      </w:r>
      <w:r>
        <w:t xml:space="preserve"> </w:t>
      </w:r>
      <w:r>
        <w:t xml:space="preserve">precludes strong success.</w:t>
      </w:r>
    </w:p>
    <w:p>
      <w:pPr>
        <w:pStyle w:val="BodyText"/>
        <w:widowControl/>
      </w:pPr>
      <w:r>
        <w:t xml:space="preserve">The CCT utility table 6 uses pointwise 95% intervals; the</w:t>
      </w:r>
      <w:r>
        <w:t xml:space="preserve"> </w:t>
      </w:r>
      <w:r>
        <w:t xml:space="preserve">separate strong-success audit 20 uses 97.5%</w:t>
      </w:r>
      <w:r>
        <w:t xml:space="preserve"> </w:t>
      </w:r>
      <w:r>
        <w:t xml:space="preserve">Bonferroni intervals. They are not alternate versions of the same interval.</w:t>
      </w:r>
    </w:p>
    <w:bookmarkStart w:id="49" w:name="scoring-and-inference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Scoring and inference.</w:t>
      </w:r>
    </w:p>
    <w:p>
      <w:pPr>
        <w:pStyle w:val="FirstParagraph"/>
        <w:widowControl/>
      </w:pPr>
      <w:r>
        <w:t xml:space="preserve">Actions are fixed before outcomes are joined, but candidate TTA is transductive because it reads</w:t>
      </w:r>
      <w:r>
        <w:t xml:space="preserve"> </w:t>
      </w:r>
      <w:r>
        <w:t xml:space="preserve">unlabeled evaluation inputs. CIFAR</w:t>
      </w:r>
      <w:r>
        <w:t xml:space="preserve"> </w:t>
      </w:r>
      <w:r>
        <w:t xml:space="preserve">sensitivity resamples the six corruption-family means conditional on the archived checkpoint.</w:t>
      </w:r>
      <w:r>
        <w:t xml:space="preserve"> </w:t>
      </w:r>
      <w:r>
        <w:t xml:space="preserve">CCT-20 uses a paired product bootstrap over checkpoint rows and location columns; its separate</w:t>
      </w:r>
      <w:r>
        <w:t xml:space="preserve"> </w:t>
      </w:r>
      <w:r>
        <w:t xml:space="preserve">exact sign-flip reference calculation uses nine location means and requires a stronger joint</w:t>
      </w:r>
      <w:r>
        <w:t xml:space="preserve"> </w:t>
      </w:r>
      <w:r>
        <w:t xml:space="preserve">sign-symmetry condition than exchangeability alone. All reported levels are nominal. The</w:t>
      </w:r>
      <w:r>
        <w:t xml:space="preserve"> </w:t>
      </w:r>
      <w:r>
        <w:t xml:space="preserve">inference audit in Appendix F gives the</w:t>
      </w:r>
      <w:r>
        <w:t xml:space="preserve"> </w:t>
      </w:r>
      <w:r>
        <w:t xml:space="preserve">metrics, sign convention, full assumptions, and retrospective status [38].</w:t>
      </w:r>
    </w:p>
    <w:bookmarkEnd w:id="49"/>
    <w:bookmarkEnd w:id="50"/>
    <w:bookmarkEnd w:id="51"/>
    <w:bookmarkStart w:id="59" w:name="primary-results"/>
    <w:p>
      <w:pPr>
        <w:pStyle w:val="Heading1"/>
        <w:widowControl/>
      </w:pPr>
      <w:r>
        <w:t xml:space="preserve">8 Primary Results</w:t>
      </w:r>
    </w:p>
    <w:bookmarkStart w:id="52" w:name="Xb33696ab6a4993aa3695e36e68e3d6cc6e4ec76"/>
    <w:p>
      <w:pPr>
        <w:pStyle w:val="Heading2"/>
        <w:widowControl/>
      </w:pPr>
      <w:r>
        <w:t xml:space="preserve">8.1 CIFAR-10-C: Directional Actions and Candidate-Specific Utility</w:t>
      </w:r>
    </w:p>
    <w:p>
      <w:pPr>
        <w:pStyle w:val="FirstParagraph"/>
        <w:widowControl/>
      </w:pPr>
      <w:r>
        <w:t xml:space="preserve">Table 5 first exposes the ADAPT/FREEZE/ABSTAIN record under one current rule.</w:t>
      </w:r>
      <w:r>
        <w:t xml:space="preserve"> </w:t>
      </w:r>
      <w:r>
        <w:t xml:space="preserve">Tent makes two false ADAPT decisions and one false FREEZE; EATA makes neither; SAR makes no FREEZE</w:t>
      </w:r>
      <w:r>
        <w:t xml:space="preserve"> </w:t>
      </w:r>
      <w:r>
        <w:t xml:space="preserve">decision, so that error direction is unexercised. These counts require their action and all-cell</w:t>
      </w:r>
      <w:r>
        <w:t xml:space="preserve"> </w:t>
      </w:r>
      <w:r>
        <w:t xml:space="preserve">denominators below. Utility is a secondary measured consequence: Tent and EATA have lower point</w:t>
      </w:r>
      <w:r>
        <w:t xml:space="preserve"> </w:t>
      </w:r>
      <w:r>
        <w:t xml:space="preserve">regret than both fixed policies, whereas always-adapt has lower regret than KGA for SAR. The panel</w:t>
      </w:r>
      <w:r>
        <w:t xml:space="preserve"> </w:t>
      </w:r>
      <w:r>
        <w:t xml:space="preserve">therefore supports only candidate-specific, retrospective action and utility results.</w:t>
      </w:r>
    </w:p>
    <w:p>
      <w:pPr>
        <w:pStyle w:val="TableCaption"/>
        <w:widowControl/>
      </w:pPr>
      <w:r>
        <w:t xml:space="preserve">Table 5. Opened, dependent CIFAR-10-C diagnostic over 2,160 equally weighted cells per candidate.</w:t>
      </w:r>
      <w:r>
        <w:t xml:space="preserve"> </w:t>
      </w:r>
      <w:r>
        <w:t xml:space="preserve">Lower regret is better. A/F/U gives action exposure; directional errors use the corresponding</w:t>
      </w:r>
      <w:r>
        <w:t xml:space="preserve"> </w:t>
      </w:r>
      <w:r>
        <w:t xml:space="preserve">action denominator. Tent’s all-cell errors are 2/2,160 for false ADAPT and 1/2,160 for false FREEZE.</w:t>
      </w:r>
      <w:r>
        <w:t xml:space="preserve"> </w:t>
      </w:r>
      <w:r>
        <w:t xml:space="preserve">All cells reuse one checkpoint, so this is retrospective rather than independent environment</w:t>
      </w:r>
      <w:r>
        <w:t xml:space="preserve"> </w:t>
      </w:r>
      <w:r>
        <w:t xml:space="preserve">validation. Canonical panel SHA-256: 35d4c165843de1ece3cb35ffb4ac50dbfcbfa33b646754e2b6d133fbdfa78c6e.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5. Opened, dependent CIFAR-10-C diagnostic over 2,160 equally weighted cells per candidate. Lower regret is better. A/F/U gives action exposure; directional errors use the corresponding action denominator. Tent’s all-cell errors are 2/2,160 for false ADAPT and 1/2,160 for false FREEZE. All cells reuse one checkpoint, so this is retrospective rather than independent environment validation. Canonical panel SHA-256: 35d4c165843de1ece3cb35ffb4ac50dbfcbfa33b646754e2b6d133fbdfa78c6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020"/>
        <w:gridCol w:w="1020"/>
        <w:gridCol w:w="1020"/>
        <w:gridCol w:w="1020"/>
        <w:gridCol w:w="1020"/>
        <w:gridCol w:w="1545"/>
        <w:gridCol w:w="1108"/>
        <w:gridCol w:w="1020"/>
        <w:gridCol w:w="1187"/>
      </w:tblGrid>
      <w:tr>
        <w:trPr>
          <w:tblHeader w:val="true"/>
          <w:cantSplit w:val="true"/>
        </w:trPr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Candidate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n</m:t>
              </m:r>
            </m:oMath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KGA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Adapt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Freeze</w:t>
            </w:r>
          </w:p>
        </w:tc>
        <w:tc>
          <w:tcPr>
            <w:tcW w:w="154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A/F/U</w:t>
            </w:r>
          </w:p>
        </w:tc>
        <w:tc>
          <w:tcPr>
            <w:tcW w:w="11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False A/A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False F/F</w:t>
            </w:r>
          </w:p>
        </w:tc>
        <w:tc>
          <w:tcPr>
            <w:tcW w:w="118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Commitment</w:t>
            </w:r>
          </w:p>
        </w:tc>
      </w:tr>
      <w:tr>
        <w:trPr>
          <w:cantSplit w:val="true"/>
        </w:trPr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Tent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2160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0.0019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0.0080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0.1239</w:t>
            </w:r>
          </w:p>
        </w:tc>
        <w:tc>
          <w:tcPr>
            <w:tcW w:w="154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1091/337/732</w:t>
            </w:r>
          </w:p>
        </w:tc>
        <w:tc>
          <w:tcPr>
            <w:tcW w:w="11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2/1091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1/337</w:t>
            </w:r>
          </w:p>
        </w:tc>
        <w:tc>
          <w:tcPr>
            <w:tcW w:w="118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0.6611</w:t>
            </w:r>
          </w:p>
        </w:tc>
      </w:tr>
      <w:tr>
        <w:trPr>
          <w:cantSplit w:val="true"/>
        </w:trPr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EATA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2160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0.0016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0.0033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0.1313</w:t>
            </w:r>
          </w:p>
        </w:tc>
        <w:tc>
          <w:tcPr>
            <w:tcW w:w="154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1207/105/848</w:t>
            </w:r>
          </w:p>
        </w:tc>
        <w:tc>
          <w:tcPr>
            <w:tcW w:w="11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0/1207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0/105</w:t>
            </w:r>
          </w:p>
        </w:tc>
        <w:tc>
          <w:tcPr>
            <w:tcW w:w="118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0.6074</w:t>
            </w:r>
          </w:p>
        </w:tc>
      </w:tr>
      <w:tr>
        <w:trPr>
          <w:cantSplit w:val="true"/>
        </w:trPr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SAR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2160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0.0018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0.0003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0.1405</w:t>
            </w:r>
          </w:p>
        </w:tc>
        <w:tc>
          <w:tcPr>
            <w:tcW w:w="154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1414/0/746</w:t>
            </w:r>
          </w:p>
        </w:tc>
        <w:tc>
          <w:tcPr>
            <w:tcW w:w="11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0/1414</w:t>
            </w:r>
          </w:p>
        </w:tc>
        <w:tc>
          <w:tcPr>
            <w:tcW w:w="102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118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0.6546</w:t>
            </w:r>
          </w:p>
        </w:tc>
      </w:tr>
    </w:tbl>
    <w:p>
      <w:pPr>
        <w:pStyle w:val="BodyText"/>
        <w:widowControl/>
      </w:pPr>
      <w:r>
        <w:t xml:space="preserve">Tent regret is</w:t>
      </w:r>
      <w:r>
        <w:t xml:space="preserve"> </w:t>
      </w:r>
      <m:oMath>
        <m:r>
          <m:t>0.0019</m:t>
        </m:r>
      </m:oMath>
      <w:r>
        <w:t xml:space="preserve">, compared with</w:t>
      </w:r>
      <w:r>
        <w:t xml:space="preserve"> </w:t>
      </w:r>
      <m:oMath>
        <m:r>
          <m:t>0.0080</m:t>
        </m:r>
      </m:oMath>
      <w:r>
        <w:t xml:space="preserve"> </w:t>
      </w:r>
      <w:r>
        <w:t xml:space="preserve">for always-adapt and</w:t>
      </w:r>
      <w:r>
        <w:t xml:space="preserve"> </w:t>
      </w:r>
      <m:oMath>
        <m:r>
          <m:t>0.1239</m:t>
        </m:r>
      </m:oMath>
      <w:r>
        <w:t xml:space="preserve"> </w:t>
      </w:r>
      <w:r>
        <w:t xml:space="preserve">for always-freeze. EATA’s values are</w:t>
      </w:r>
      <w:r>
        <w:t xml:space="preserve"> </w:t>
      </w:r>
      <m:oMath>
        <m:r>
          <m:t>0.0016</m:t>
        </m:r>
      </m:oMath>
      <w:r>
        <w:t xml:space="preserve">,</w:t>
      </w:r>
      <w:r>
        <w:t xml:space="preserve"> </w:t>
      </w:r>
      <m:oMath>
        <m:r>
          <m:t>0.0033</m:t>
        </m:r>
      </m:oMath>
      <w:r>
        <w:t xml:space="preserve">, and</w:t>
      </w:r>
      <w:r>
        <w:t xml:space="preserve"> </w:t>
      </w:r>
      <m:oMath>
        <m:r>
          <m:t>0.1313</m:t>
        </m:r>
      </m:oMath>
      <w:r>
        <w:t xml:space="preserve">. Their ADAPT/FREEZE/ABSTAIN counts are</w:t>
      </w:r>
      <w:r>
        <w:t xml:space="preserve"> </w:t>
      </w:r>
      <w:r>
        <w:t xml:space="preserve">1,091/337/732 and 1,207/105/848, respectively. Tent makes two false ADAPT decisions; EATA makes</w:t>
      </w:r>
      <w:r>
        <w:t xml:space="preserve"> </w:t>
      </w:r>
      <w:r>
        <w:t xml:space="preserve">none. SAR makes 1,414/0/746 decisions. Its KGA regret is</w:t>
      </w:r>
      <w:r>
        <w:t xml:space="preserve"> </w:t>
      </w:r>
      <m:oMath>
        <m:r>
          <m:t>0.0018</m:t>
        </m:r>
      </m:oMath>
      <w:r>
        <w:t xml:space="preserve">, compared with</w:t>
      </w:r>
      <w:r>
        <w:t xml:space="preserve"> </w:t>
      </w:r>
      <m:oMath>
        <m:r>
          <m:t>0.0003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always-adapt and</w:t>
      </w:r>
      <w:r>
        <w:t xml:space="preserve"> </w:t>
      </w:r>
      <m:oMath>
        <m:r>
          <m:t>0.1405</m:t>
        </m:r>
      </m:oMath>
      <w:r>
        <w:t xml:space="preserve"> </w:t>
      </w:r>
      <w:r>
        <w:t xml:space="preserve">for always-freeze. Abstention can prevent harmful updates while still</w:t>
      </w:r>
      <w:r>
        <w:t xml:space="preserve"> </w:t>
      </w:r>
      <w:r>
        <w:t xml:space="preserve">forgoing helpful ones.</w:t>
      </w:r>
    </w:p>
    <w:p>
      <w:pPr>
        <w:pStyle w:val="BodyText"/>
        <w:widowControl/>
      </w:pPr>
      <w:r>
        <w:t xml:space="preserve">The nominal six-family intervals distinguish Tent from EATA. Gaps are baseline regret minus KGA</w:t>
      </w:r>
      <w:r>
        <w:t xml:space="preserve"> </w:t>
      </w:r>
      <w:r>
        <w:t xml:space="preserve">regret, so positive values favor KGA. Tent’s gap versus always-adapt is</w:t>
      </w:r>
      <w:r>
        <w:t xml:space="preserve"> </w:t>
      </w:r>
      <m:oMath>
        <m:r>
          <m:t>0.0061</m:t>
        </m:r>
      </m:oMath>
      <w:r>
        <w:t xml:space="preserve">, with nominal</w:t>
      </w:r>
      <w:r>
        <w:t xml:space="preserve"> </w:t>
      </w:r>
      <w:r>
        <w:t xml:space="preserve">family-bootstrap interval</w:t>
      </w:r>
      <w:r>
        <w:t xml:space="preserve"> </w:t>
      </w:r>
      <m:oMath>
        <m:r>
          <m:rPr>
            <m:sty m:val="p"/>
          </m:rPr>
          <m:t>[</m:t>
        </m:r>
        <m:r>
          <m:t>0.0021</m:t>
        </m:r>
        <m:r>
          <m:rPr>
            <m:sty m:val="p"/>
          </m:rPr>
          <m:t>,</m:t>
        </m:r>
        <m:r>
          <m:t>0.0095</m:t>
        </m:r>
        <m:r>
          <m:rPr>
            <m:sty m:val="p"/>
          </m:rPr>
          <m:t>]</m:t>
        </m:r>
      </m:oMath>
      <w:r>
        <w:t xml:space="preserve">; its interval versus always-freeze is also strictly</w:t>
      </w:r>
      <w:r>
        <w:t xml:space="preserve"> </w:t>
      </w:r>
      <w:r>
        <w:t xml:space="preserve">positive. EATA’s interval versus always-adapt crosses zero,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0.0013</m:t>
        </m:r>
        <m:r>
          <m:rPr>
            <m:sty m:val="p"/>
          </m:rPr>
          <m:t>,</m:t>
        </m:r>
        <m:r>
          <m:t>0.0044</m:t>
        </m:r>
        <m:r>
          <m:rPr>
            <m:sty m:val="p"/>
          </m:rPr>
          <m:t>]</m:t>
        </m:r>
      </m:oMath>
      <w:r>
        <w:t xml:space="preserve">, although its</w:t>
      </w:r>
      <w:r>
        <w:t xml:space="preserve"> </w:t>
      </w:r>
      <w:r>
        <w:t xml:space="preserve">interval versus always-freeze is positive. Tent therefore has the favorable nominal two-baseline</w:t>
      </w:r>
      <w:r>
        <w:t xml:space="preserve"> </w:t>
      </w:r>
      <w:r>
        <w:t xml:space="preserve">pattern; EATA does not.</w:t>
      </w:r>
    </w:p>
    <w:p>
      <w:pPr>
        <w:pStyle w:val="BodyText"/>
        <w:widowControl/>
      </w:pPr>
      <w:r>
        <w:t xml:space="preserve">The retrospective reference tests do not make either pattern confirmatory. Across the six</w:t>
      </w:r>
      <w:r>
        <w:t xml:space="preserve"> </w:t>
      </w:r>
      <w:r>
        <w:t xml:space="preserve">candidate-by-baseline contrasts in the retrospective comparison, Tent’s Holm values are</w:t>
      </w:r>
      <w:r>
        <w:t xml:space="preserve"> </w:t>
      </w:r>
      <m:oMath>
        <m:r>
          <m:t>0.140625</m:t>
        </m:r>
      </m:oMath>
      <w:r>
        <w:t xml:space="preserve"> </w:t>
      </w:r>
      <w:r>
        <w:t xml:space="preserve">against</w:t>
      </w:r>
      <w:r>
        <w:t xml:space="preserve"> </w:t>
      </w:r>
      <w:r>
        <w:t xml:space="preserve">always-adapt and</w:t>
      </w:r>
      <w:r>
        <w:t xml:space="preserve"> </w:t>
      </w:r>
      <m:oMath>
        <m:r>
          <m:t>0.09375</m:t>
        </m:r>
      </m:oMath>
      <w:r>
        <w:t xml:space="preserve"> </w:t>
      </w:r>
      <w:r>
        <w:t xml:space="preserve">against always-freeze. EATA’s are</w:t>
      </w:r>
      <w:r>
        <w:t xml:space="preserve"> </w:t>
      </w:r>
      <m:oMath>
        <m:r>
          <m:t>0.3125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0.09375</m:t>
        </m:r>
      </m:oMath>
      <w:r>
        <w:t xml:space="preserve">, respectively. The replay,</w:t>
      </w:r>
      <w:r>
        <w:t xml:space="preserve"> </w:t>
      </w:r>
      <w:r>
        <w:t xml:space="preserve">family unit, tests, and multiplicity analysis were selected after the grid was open, and all six</w:t>
      </w:r>
      <w:r>
        <w:t xml:space="preserve"> </w:t>
      </w:r>
      <w:r>
        <w:t xml:space="preserve">families share one checkpoint.</w:t>
      </w:r>
      <w:r>
        <w:t xml:space="preserve"> </w:t>
      </w:r>
      <w:r>
        <w:t xml:space="preserve">Table 16</w:t>
      </w:r>
      <w:r>
        <w:t xml:space="preserve"> </w:t>
      </w:r>
      <w:r>
        <w:t xml:space="preserve">reports every interval and</w:t>
      </w:r>
      <w:r>
        <w:t xml:space="preserve"> </w:t>
      </w:r>
      <w:r>
        <w:t xml:space="preserve">reference value. Nominal interval exclusion and retrospective Holm adjustment answer different</w:t>
      </w:r>
      <w:r>
        <w:t xml:space="preserve"> </w:t>
      </w:r>
      <w:r>
        <w:t xml:space="preserve">questions; neither establishes prospective coverage.</w:t>
      </w:r>
    </w:p>
    <w:bookmarkEnd w:id="52"/>
    <w:bookmarkStart w:id="53" w:name="retrospective-interval-diagnostics"/>
    <w:p>
      <w:pPr>
        <w:pStyle w:val="Heading2"/>
        <w:widowControl/>
      </w:pPr>
      <w:r>
        <w:t xml:space="preserve">8.2 Retrospective Interval Diagnostics</w:t>
      </w:r>
    </w:p>
    <w:p>
      <w:pPr>
        <w:pStyle w:val="FirstParagraph"/>
        <w:widowControl/>
      </w:pPr>
      <w:r>
        <w:t xml:space="preserve">Retrospective inclusion is 1,976/2,160 for Tent, 1,950/2,160 for EATA, and 1,949/2,160 for SAR.</w:t>
      </w:r>
      <w:r>
        <w:t xml:space="preserve"> </w:t>
      </w:r>
      <w:r>
        <w:t xml:space="preserve">These values describe opened cross-fit cells; they are not independent validation of coverage on new</w:t>
      </w:r>
      <w:r>
        <w:t xml:space="preserve"> </w:t>
      </w:r>
      <w:r>
        <w:t xml:space="preserve">environments. The</w:t>
      </w:r>
      <w:r>
        <w:t xml:space="preserve"> </w:t>
      </w:r>
      <w:r>
        <w:t xml:space="preserve">inference appendix F</w:t>
      </w:r>
      <w:r>
        <w:t xml:space="preserve"> </w:t>
      </w:r>
      <w:r>
        <w:t xml:space="preserve">reports interval widths and family-level diagnostics. Tent’s</w:t>
      </w:r>
      <w:r>
        <w:t xml:space="preserve"> </w:t>
      </w:r>
      <w:r>
        <w:t xml:space="preserve">two false ADAPT actions correspond to marginal error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2160</m:t>
        </m:r>
      </m:oMath>
      <w:r>
        <w:t xml:space="preserve"> </w:t>
      </w:r>
      <w:r>
        <w:t xml:space="preserve">and conditional error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1091</m:t>
        </m:r>
      </m:oMath>
      <w:r>
        <w:t xml:space="preserve">.</w:t>
      </w:r>
      <w:r>
        <w:t xml:space="preserve"> </w:t>
      </w:r>
      <w:r>
        <w:t xml:space="preserve">It also makes one false FREEZE among 337 FREEZE decisions. EATA makes no false ADAPT and no false</w:t>
      </w:r>
      <w:r>
        <w:t xml:space="preserve"> </w:t>
      </w:r>
      <w:r>
        <w:t xml:space="preserve">FREEZE. SAR makes no false ADAPT and no FREEZE decisions, so its conditional false-freeze rate is</w:t>
      </w:r>
      <w:r>
        <w:t xml:space="preserve"> </w:t>
      </w:r>
      <w:r>
        <w:t xml:space="preserve">undefined. Exposure and denominators are essential: a zero count alone is not evidence of safety.</w:t>
      </w:r>
    </w:p>
    <w:bookmarkEnd w:id="53"/>
    <w:bookmarkStart w:id="54" w:name="X34df60e14288daee5bfa689f9e7844a27c3cc63"/>
    <w:p>
      <w:pPr>
        <w:pStyle w:val="Heading2"/>
        <w:widowControl/>
      </w:pPr>
      <w:r>
        <w:t xml:space="preserve">8.3 CCT-20: Conservative Retention, Not Selective Routing</w:t>
      </w:r>
    </w:p>
    <w:p>
      <w:pPr>
        <w:pStyle w:val="FirstParagraph"/>
        <w:widowControl/>
      </w:pPr>
      <w:r>
        <w:t xml:space="preserve">All 45 checkpoint–location cells completed. KGA made</w:t>
      </w:r>
      <w:r>
        <w:t xml:space="preserve"> </w:t>
      </w:r>
      <w:r>
        <w:t xml:space="preserve">0/44/1 ADAPT/FREEZE/ABSTAIN decisions. All</w:t>
      </w:r>
      <w:r>
        <w:t xml:space="preserve"> </w:t>
      </w:r>
      <w:r>
        <w:t xml:space="preserve">45 served predictions used the frozen model, but the sole helpful cell received FREEZE,</w:t>
      </w:r>
      <w:r>
        <w:t xml:space="preserve"> </w:t>
      </w:r>
      <w:r>
        <w:t xml:space="preserve">yielding one false FREEZE among 44 FREEZE</w:t>
      </w:r>
      <w:r>
        <w:t xml:space="preserve"> </w:t>
      </w:r>
      <w:r>
        <w:t xml:space="preserve">actions (1/45 overall). Tent helped in</w:t>
      </w:r>
      <w:r>
        <w:t xml:space="preserve"> </w:t>
      </w:r>
      <w:r>
        <w:t xml:space="preserve">1 cell, tied in 0, and harmed in 44; 43 harmful cells</w:t>
      </w:r>
      <w:r>
        <w:t xml:space="preserve"> </w:t>
      </w:r>
      <w:r>
        <w:t xml:space="preserve">received FREEZE, and the remaining harmful cell received ABSTAIN. The study therefore passes only</w:t>
      </w:r>
      <w:r>
        <w:t xml:space="preserve"> </w:t>
      </w:r>
      <w:r>
        <w:t xml:space="preserve">the locked utility-preservation endpoint and does not demonstrate selective routing or strong</w:t>
      </w:r>
      <w:r>
        <w:t xml:space="preserve"> </w:t>
      </w:r>
      <w:r>
        <w:t xml:space="preserve">success.</w:t>
      </w:r>
    </w:p>
    <w:p>
      <w:pPr>
        <w:pStyle w:val="TableCaption"/>
        <w:widowControl/>
      </w:pPr>
      <w:r>
        <w:t xml:space="preserve">Table 6. CCT-20 action record and locked utility-preservation endpoint over 45</w:t>
      </w:r>
      <w:r>
        <w:t xml:space="preserve"> </w:t>
      </w:r>
      <w:r>
        <w:t xml:space="preserve">checkpoint–location cells. Positive policy contrasts favor KGA. The 95% intervals belong to the</w:t>
      </w:r>
      <w:r>
        <w:t xml:space="preserve"> </w:t>
      </w:r>
      <w:r>
        <w:t xml:space="preserve">utility endpoint; Appendix G reports the separate 97.5% Bonferroni strong-success audit.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6. CCT-20 action record and locked utility-preservation endpoint over 45 checkpoint–location cells. Positive policy contrasts favor KGA. The 95% intervals belong to the utility endpoint; Appendix G reports the separate 97.5% Bonferroni strong-success audit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418"/>
        <w:gridCol w:w="7542"/>
      </w:tblGrid>
      <w:tr>
        <w:trPr>
          <w:tblHeader w:val="true"/>
          <w:cantSplit w:val="true"/>
        </w:trPr>
        <w:tc>
          <w:tcPr>
            <w:tcW w:w="24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Item</w:t>
            </w:r>
          </w:p>
        </w:tc>
        <w:tc>
          <w:tcPr>
            <w:tcW w:w="75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Result</w:t>
            </w:r>
          </w:p>
        </w:tc>
      </w:tr>
      <w:tr>
        <w:trPr>
          <w:cantSplit w:val="true"/>
        </w:trPr>
        <w:tc>
          <w:tcPr>
            <w:tcW w:w="24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Actions</w:t>
            </w:r>
          </w:p>
        </w:tc>
        <w:tc>
          <w:tcPr>
            <w:tcW w:w="75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0 ADAPT / 44 FREEZE / 1 ABSTAIN</w:t>
            </w:r>
          </w:p>
        </w:tc>
      </w:tr>
      <w:tr>
        <w:trPr>
          <w:cantSplit w:val="true"/>
        </w:trPr>
        <w:tc>
          <w:tcPr>
            <w:tcW w:w="24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Measured effects</w:t>
            </w:r>
          </w:p>
        </w:tc>
        <w:tc>
          <w:tcPr>
            <w:tcW w:w="75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 helpful / 0 tied / 44 harmful</w:t>
            </w:r>
          </w:p>
        </w:tc>
      </w:tr>
      <w:tr>
        <w:trPr>
          <w:cantSplit w:val="true"/>
        </w:trPr>
        <w:tc>
          <w:tcPr>
            <w:tcW w:w="24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False FREEZE</w:t>
            </w:r>
          </w:p>
        </w:tc>
        <w:tc>
          <w:tcPr>
            <w:tcW w:w="75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1/44 conditional; 1/45 overall</w:t>
            </w:r>
          </w:p>
        </w:tc>
      </w:tr>
      <w:tr>
        <w:trPr>
          <w:cantSplit w:val="true"/>
        </w:trPr>
        <w:tc>
          <w:tcPr>
            <w:tcW w:w="24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Locked endpoint</w:t>
            </w:r>
          </w:p>
        </w:tc>
        <w:tc>
          <w:tcPr>
            <w:tcW w:w="75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Pass: utility preservation only</w:t>
            </w:r>
          </w:p>
        </w:tc>
      </w:tr>
      <w:tr>
        <w:trPr>
          <w:cantSplit w:val="true"/>
        </w:trPr>
        <w:tc>
          <w:tcPr>
            <w:tcW w:w="24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Strong success</w:t>
            </w:r>
          </w:p>
        </w:tc>
        <w:tc>
          <w:tcPr>
            <w:tcW w:w="75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Fail: no ADAPT exposure or improvement over always-freeze</w:t>
            </w:r>
          </w:p>
        </w:tc>
      </w:tr>
    </w:tbl>
    <w:p>
      <w:pPr>
        <w:widowControl/>
      </w:pPr>
    </w:p>
    <w:p>
      <w:pPr>
        <w:pStyle w:val="TableCaption"/>
        <w:widowControl/>
      </w:pPr>
      <w:r>
        <w:t xml:space="preserve">Table 6. CCT-20 action record and locked utility-preservation endpoint over 45</w:t>
      </w:r>
      <w:r>
        <w:t xml:space="preserve"> </w:t>
      </w:r>
      <w:r>
        <w:t xml:space="preserve">checkpoint–location cells. Positive policy contrasts favor KGA. The 95% intervals belong to the</w:t>
      </w:r>
      <w:r>
        <w:t xml:space="preserve"> </w:t>
      </w:r>
      <w:r>
        <w:t xml:space="preserve">utility endpoint; Appendix G reports the separate 97.5% Bonferroni strong-success audit.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6. CCT-20 action record and locked utility-preservation endpoint over 45 checkpoint–location cells. Positive policy contrasts favor KGA. The 95% intervals belong to the utility endpoint; Appendix G reports the separate 97.5% Bonferroni strong-success audit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95"/>
        <w:gridCol w:w="1740"/>
        <w:gridCol w:w="2683"/>
        <w:gridCol w:w="3442"/>
      </w:tblGrid>
      <w:tr>
        <w:trPr>
          <w:tblHeader w:val="true"/>
          <w:cantSplit w:val="true"/>
        </w:trPr>
        <w:tc>
          <w:tcPr>
            <w:tcW w:w="209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Comparator</w:t>
            </w:r>
          </w:p>
        </w:tc>
        <w:tc>
          <w:tcPr>
            <w:tcW w:w="174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Mean contrast</w:t>
            </w:r>
          </w:p>
        </w:tc>
        <w:tc>
          <w:tcPr>
            <w:tcW w:w="26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Nominal 95% CI</w:t>
            </w:r>
          </w:p>
        </w:tc>
        <w:tc>
          <w:tcPr>
            <w:tcW w:w="34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Required lower bound</w:t>
            </w:r>
          </w:p>
        </w:tc>
      </w:tr>
      <w:tr>
        <w:trPr>
          <w:cantSplit w:val="true"/>
        </w:trPr>
        <w:tc>
          <w:tcPr>
            <w:tcW w:w="209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Always adapt</w:t>
            </w:r>
          </w:p>
        </w:tc>
        <w:tc>
          <w:tcPr>
            <w:tcW w:w="174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0.1819</w:t>
            </w:r>
          </w:p>
        </w:tc>
        <w:tc>
          <w:tcPr>
            <w:tcW w:w="26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[0.0937, 0.2914]</w:t>
            </w:r>
          </w:p>
        </w:tc>
        <w:tc>
          <w:tcPr>
            <w:tcW w:w="34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t>L</m:t>
              </m:r>
              <m:r>
                <m:rPr>
                  <m:sty m:val="p"/>
                </m:rPr>
                <m:t>&gt;</m:t>
              </m:r>
              <m:r>
                <m:t>0.0000</m:t>
              </m:r>
            </m:oMath>
          </w:p>
        </w:tc>
      </w:tr>
      <w:tr>
        <w:trPr>
          <w:cantSplit w:val="true"/>
        </w:trPr>
        <w:tc>
          <w:tcPr>
            <w:tcW w:w="209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Always freeze</w:t>
            </w:r>
          </w:p>
        </w:tc>
        <w:tc>
          <w:tcPr>
            <w:tcW w:w="174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0.0000</w:t>
            </w:r>
          </w:p>
        </w:tc>
        <w:tc>
          <w:tcPr>
            <w:tcW w:w="26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[0.0000, 0.0000]</w:t>
            </w:r>
          </w:p>
        </w:tc>
        <w:tc>
          <w:tcPr>
            <w:tcW w:w="344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t>L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0.0050</m:t>
              </m:r>
            </m:oMath>
          </w:p>
        </w:tc>
      </w:tr>
    </w:tbl>
    <w:p>
      <w:pPr>
        <w:pStyle w:val="BodyText"/>
        <w:widowControl/>
      </w:pPr>
      <w:r>
        <w:t xml:space="preserve">KGA matched always-freeze and avoided the measured degradation from always-adapt. The unchanged</w:t>
      </w:r>
      <w:r>
        <w:t xml:space="preserve"> </w:t>
      </w:r>
      <w:r>
        <w:t xml:space="preserve">locked rule therefore returns pass on the stored cells (generated flag:</w:t>
      </w:r>
      <w:r>
        <w:t xml:space="preserve"> </w:t>
      </w:r>
      <w:r>
        <w:t xml:space="preserve">yes</w:t>
      </w:r>
      <w:r>
        <w:t xml:space="preserve">).</w:t>
      </w:r>
      <w:r>
        <w:t xml:space="preserve"> </w:t>
      </w:r>
      <w:r>
        <w:t xml:space="preserve">The archived verdict token remains</w:t>
      </w:r>
      <w:r>
        <w:t xml:space="preserve"> </w:t>
      </w:r>
      <w:r>
        <w:t xml:space="preserve">SAFE UTILITY ONLY</w:t>
      </w:r>
      <w:r>
        <w:t xml:space="preserve">, but the supported description is utility</w:t>
      </w:r>
      <w:r>
        <w:t xml:space="preserve"> </w:t>
      </w:r>
      <w:r>
        <w:t xml:space="preserve">preservation only. This is a scoped endpoint, not a finite-sample population-safety guarantee.</w:t>
      </w:r>
    </w:p>
    <w:p>
      <w:pPr>
        <w:pStyle w:val="BodyText"/>
        <w:widowControl/>
      </w:pPr>
      <w:r>
        <w:t xml:space="preserve">The complete strong-success audit is more informative. Completeness passed. Against always-adapt,</w:t>
      </w:r>
      <w:r>
        <w:t xml:space="preserve"> </w:t>
      </w:r>
      <w:r>
        <w:t xml:space="preserve">the nominal 97.5% Bonferroni interval is</w:t>
      </w:r>
      <w:r>
        <w:t xml:space="preserve"> </w:t>
      </w:r>
      <m:oMath>
        <m:r>
          <m:rPr>
            <m:sty m:val="p"/>
          </m:rPr>
          <m:t>[</m:t>
        </m:r>
        <m:r>
          <m:t>0.08501071</m:t>
        </m:r>
        <m:r>
          <m:rPr>
            <m:sty m:val="p"/>
          </m:rPr>
          <m:t>,</m:t>
        </m:r>
        <m:r>
          <m:t>0.31066374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Holm-adjusted location sign-flip value is</w:t>
      </w:r>
      <w:r>
        <w:t xml:space="preserve"> </w:t>
      </w:r>
      <m:oMath>
        <m:r>
          <m:t>0.00390625</m:t>
        </m:r>
      </m:oMath>
      <w:r>
        <w:t xml:space="preserve">; both pass their locked thresholds. Against always-freeze, the contrast and</w:t>
      </w:r>
      <w:r>
        <w:t xml:space="preserve"> </w:t>
      </w:r>
      <w:r>
        <w:t xml:space="preserve">interval are zero and the Holm value is</w:t>
      </w:r>
      <w:r>
        <w:t xml:space="preserve"> </w:t>
      </w:r>
      <m:oMath>
        <m:r>
          <m:t>1</m:t>
        </m:r>
      </m:oMath>
      <w:r>
        <w:t xml:space="preserve">; neither supports strict improvement.</w:t>
      </w:r>
      <w:r>
        <w:t xml:space="preserve"> </w:t>
      </w:r>
      <w:r>
        <w:t xml:space="preserve">FREEZE exposure and total commitment exceed 0.10 and 0.30, but ADAPT exposure is zero and fails its</w:t>
      </w:r>
      <w:r>
        <w:t xml:space="preserve"> </w:t>
      </w:r>
      <w:r>
        <w:t xml:space="preserve">0.10 threshold. The strong-success criterion therefore fails. This is conservative frozen-model</w:t>
      </w:r>
      <w:r>
        <w:t xml:space="preserve"> </w:t>
      </w:r>
      <w:r>
        <w:t xml:space="preserve">retention, not learned selective routing. The false-adapt count</w:t>
      </w:r>
      <w:r>
        <w:t xml:space="preserve"> </w:t>
      </w:r>
      <w:r>
        <w:t xml:space="preserve">(0/45) is mechanically zero because ADAPT exposure is zero.</w:t>
      </w:r>
    </w:p>
    <w:p>
      <w:pPr>
        <w:pStyle w:val="BodyText"/>
        <w:widowControl/>
      </w:pPr>
      <w:r>
        <w:t xml:space="preserve">Every development cell was harmful for Tent, so the fit saw no helpful example. Only two camera</w:t>
      </w:r>
      <w:r>
        <w:t xml:space="preserve"> </w:t>
      </w:r>
      <w:r>
        <w:t xml:space="preserve">locations supplied fitting data, and calibration-to-target transfer is unverified. The complete</w:t>
      </w:r>
      <w:r>
        <w:t xml:space="preserve"> </w:t>
      </w:r>
      <w:r>
        <w:t xml:space="preserve">location ledger and primary inference appear in the</w:t>
      </w:r>
      <w:r>
        <w:t xml:space="preserve"> </w:t>
      </w:r>
      <w:r>
        <w:t xml:space="preserve">CCT-20 ledger in Appendix G.1. We infer no</w:t>
      </w:r>
      <w:r>
        <w:t xml:space="preserve"> </w:t>
      </w:r>
      <w:r>
        <w:t xml:space="preserve">selective-routing success from this result.</w:t>
      </w:r>
    </w:p>
    <w:bookmarkEnd w:id="54"/>
    <w:bookmarkStart w:id="58" w:name="X11f3a107a07ce58173a54feac1b802ddd83c657"/>
    <w:p>
      <w:pPr>
        <w:pStyle w:val="Heading2"/>
        <w:widowControl/>
      </w:pPr>
      <w:r>
        <w:t xml:space="preserve">8.4 Development Stops and Adverse Diagnostics</w:t>
      </w:r>
    </w:p>
    <w:p>
      <w:pPr>
        <w:pStyle w:val="FirstParagraph"/>
        <w:widowControl/>
      </w:pPr>
      <w:r>
        <w:t xml:space="preserve">So2Sat-LCZ42 [28] screened Tent and SAR in a development-only,</w:t>
      </w:r>
      <w:r>
        <w:t xml:space="preserve"> </w:t>
      </w:r>
      <w:r>
        <w:t xml:space="preserve">multi-city, multi-checkpoint feasibility study. Tent produced both helpful and harmful development</w:t>
      </w:r>
      <w:r>
        <w:t xml:space="preserve"> </w:t>
      </w:r>
      <w:r>
        <w:t xml:space="preserve">cases, but neither candidate passed every predeclared eligibility check. The study therefore</w:t>
      </w:r>
      <w:r>
        <w:t xml:space="preserve"> </w:t>
      </w:r>
      <w:r>
        <w:t xml:space="preserve">stopped before gate calibration. No gate-calibration rows or target inputs, pixels, or labels were</w:t>
      </w:r>
      <w:r>
        <w:t xml:space="preserve"> </w:t>
      </w:r>
      <w:r>
        <w:t xml:space="preserve">accessed, so there is no target natural-shift score. The gate-fit outcomes are now open; retuning</w:t>
      </w:r>
      <w:r>
        <w:t xml:space="preserve"> </w:t>
      </w:r>
      <w:r>
        <w:t xml:space="preserve">them cannot create fresh confirmation.</w:t>
      </w:r>
    </w:p>
    <w:bookmarkStart w:id="55" w:name="domainnet-painting-development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DomainNet painting development.</w:t>
      </w:r>
    </w:p>
    <w:p>
      <w:pPr>
        <w:pStyle w:val="FirstParagraph"/>
        <w:widowControl/>
      </w:pPr>
      <w:r>
        <w:t xml:space="preserve">Five separately trained checkpoints were evaluated on the same 24 check cells per checkpoint.</w:t>
      </w:r>
      <w:r>
        <w:t xml:space="preserve"> </w:t>
      </w:r>
      <w:r>
        <w:t xml:space="preserve">KGA abstained on all 120 seed-cell records; candidate effects were helpful in 12, harmful in 15,</w:t>
      </w:r>
      <w:r>
        <w:t xml:space="preserve"> </w:t>
      </w:r>
      <w:r>
        <w:t xml:space="preserve">and tied in 93. Equal-seed regret was 0.110677 percentage points for both KGA and always-freeze,</w:t>
      </w:r>
      <w:r>
        <w:t xml:space="preserve"> </w:t>
      </w:r>
      <w:r>
        <w:t xml:space="preserve">versus 0.123547 for always-adapt. These repetitions do not create 120 independent environments.</w:t>
      </w:r>
      <w:r>
        <w:t xml:space="preserve"> </w:t>
      </w:r>
      <w:r>
        <w:t xml:space="preserve">Using a separate reference-source ResNet-50 checkpoint, a one-pass local entropy candidate</w:t>
      </w:r>
      <w:r>
        <w:t xml:space="preserve"> </w:t>
      </w:r>
      <w:r>
        <w:t xml:space="preserve">restored the source BatchNorm running buffers before inference. Its 24-cell check panel had</w:t>
      </w:r>
      <w:r>
        <w:t xml:space="preserve"> </w:t>
      </w:r>
      <w:r>
        <w:t xml:space="preserve">7 helpful, 14 harmful, and 3 tied cells. A separate AdaContrast-derived single-process recipe</w:t>
      </w:r>
      <w:r>
        <w:t xml:space="preserve"> </w:t>
      </w:r>
      <w:r>
        <w:t xml:space="preserve">had 1 helpful and 23 harmful cells. Both gates abstained on all 24 cells. The two recipes</w:t>
      </w:r>
      <w:r>
        <w:t xml:space="preserve"> </w:t>
      </w:r>
      <w:r>
        <w:t xml:space="preserve">produced different frozen prediction totals and are not a matched adapter comparison.</w:t>
      </w:r>
      <w:r>
        <w:t xml:space="preserve"> </w:t>
      </w:r>
      <w:r>
        <w:t xml:space="preserve">These are opened-development negatives,</w:t>
      </w:r>
      <w:r>
        <w:t xml:space="preserve"> </w:t>
      </w:r>
      <w:r>
        <w:t xml:space="preserve">not selective-routing or unseen-shift coverage evidence. Fixed queue and normalization-state</w:t>
      </w:r>
      <w:r>
        <w:t xml:space="preserve"> </w:t>
      </w:r>
      <w:r>
        <w:t xml:space="preserve">diagnostics did not rescue the evaluated candidates; their scope and separate numerical summaries</w:t>
      </w:r>
      <w:r>
        <w:t xml:space="preserve"> </w:t>
      </w:r>
      <w:r>
        <w:t xml:space="preserve">appear in the DomainNet development appendix B.11.</w:t>
      </w:r>
    </w:p>
    <w:p>
      <w:pPr>
        <w:pStyle w:val="BodyText"/>
        <w:widowControl/>
      </w:pPr>
      <w:r>
        <w:t xml:space="preserve">The auxiliary studies expose further limits. ImageNet-R and PACS favor always-adapt, while</w:t>
      </w:r>
      <w:r>
        <w:t xml:space="preserve"> </w:t>
      </w:r>
      <w:r>
        <w:t xml:space="preserve">ImageNet-C depends strongly on candidate and operating point. Office-Home and RxRx1 mainly retain</w:t>
      </w:r>
      <w:r>
        <w:t xml:space="preserve"> </w:t>
      </w:r>
      <w:r>
        <w:t xml:space="preserve">the frozen model; the opened Camelyon17 OOD panel adapts throughout.</w:t>
      </w:r>
      <w:r>
        <w:t xml:space="preserve"> </w:t>
      </w:r>
      <w:r>
        <w:t xml:space="preserve">The</w:t>
      </w:r>
      <w:r>
        <w:t xml:space="preserve"> </w:t>
      </w:r>
      <w:r>
        <w:t xml:space="preserve">auxiliary-results appendix B</w:t>
      </w:r>
      <w:r>
        <w:t xml:space="preserve"> </w:t>
      </w:r>
      <w:r>
        <w:t xml:space="preserve">reports valid diagnostic rows on separate metric scales. It</w:t>
      </w:r>
      <w:r>
        <w:t xml:space="preserve"> </w:t>
      </w:r>
      <w:r>
        <w:t xml:space="preserve">also explains why iWildCam, the</w:t>
      </w:r>
      <w:r>
        <w:t xml:space="preserve"> </w:t>
      </w:r>
      <w:r>
        <w:t xml:space="preserve">historical POEM/AETTA ports, and the focused Office-Home route cannot support current headline</w:t>
      </w:r>
      <w:r>
        <w:t xml:space="preserve"> </w:t>
      </w:r>
      <w:r>
        <w:t xml:space="preserve">comparisons.</w:t>
      </w:r>
    </w:p>
    <w:bookmarkEnd w:id="55"/>
    <w:bookmarkStart w:id="56" w:name="imagenet-c-sar-operating-point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ImageNet-C SAR operating point.</w:t>
      </w:r>
    </w:p>
    <w:p>
      <w:pPr>
        <w:pStyle w:val="FirstParagraph"/>
        <w:widowControl/>
      </w:pPr>
      <w:r>
        <w:t xml:space="preserve">The ImageNet-C SAR result uses a local port at learning rate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which is</w:t>
      </w:r>
      <w:r>
        <w:t xml:space="preserve"> </w:t>
      </w:r>
      <m:oMath>
        <m:r>
          <m:t>16</m:t>
        </m:r>
        <m:r>
          <m:rPr>
            <m:sty m:val="p"/>
          </m:rPr>
          <m:t>×</m:t>
        </m:r>
      </m:oMath>
      <w:r>
        <w:t xml:space="preserve"> </w:t>
      </w:r>
      <w:r>
        <w:t xml:space="preserve">the published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setting. The port adapts the recorded BatchNorm affine</w:t>
      </w:r>
      <w:r>
        <w:t xml:space="preserve"> </w:t>
      </w:r>
      <w:r>
        <w:t xml:space="preserve">parameters, including the upper ResNet block that the official default excludes. It also combines</w:t>
      </w:r>
      <w:r>
        <w:t xml:space="preserve"> </w:t>
      </w:r>
      <w:r>
        <w:t xml:space="preserve">target-batch BatchNorm-statistics replacement with gradient updates. This is an aggressive local</w:t>
      </w:r>
      <w:r>
        <w:t xml:space="preserve"> </w:t>
      </w:r>
      <w:r>
        <w:t xml:space="preserve">diagnostic, not an official paper-default configuration. We ran no matched control at SAR’s</w:t>
      </w:r>
      <w:r>
        <w:t xml:space="preserve"> </w:t>
      </w:r>
      <w:r>
        <w:t xml:space="preserve">published operating point, so the result concerns this port and cannot be read as evidence against</w:t>
      </w:r>
      <w:r>
        <w:t xml:space="preserve"> </w:t>
      </w:r>
      <w:r>
        <w:t xml:space="preserve">SAR as published.</w:t>
      </w:r>
    </w:p>
    <w:bookmarkEnd w:id="56"/>
    <w:bookmarkStart w:id="57" w:name="imagenet-r-backbone-pattern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ImageNet-R backbone pattern.</w:t>
      </w:r>
    </w:p>
    <w:p>
      <w:pPr>
        <w:pStyle w:val="FirstParagraph"/>
        <w:widowControl/>
      </w:pPr>
      <w:r>
        <w:t xml:space="preserve">KGA has higher regret than always-adapt on 8 of 10 backbones. On</w:t>
      </w:r>
      <w:r>
        <w:t xml:space="preserve"> </w:t>
      </w:r>
      <w:r>
        <w:rPr>
          <w:rStyle w:val="VerbatimChar"/>
        </w:rPr>
        <w:t xml:space="preserve">efficientnet_b0</w:t>
      </w:r>
      <w:r>
        <w:t xml:space="preserve">, KGA improves over always-adapt but ties always-freeze at zero regret. On</w:t>
      </w:r>
      <w:r>
        <w:t xml:space="preserve"> </w:t>
      </w:r>
      <w:r>
        <w:rPr>
          <w:rStyle w:val="VerbatimChar"/>
        </w:rPr>
        <w:t xml:space="preserve">swin_t</w:t>
      </w:r>
      <w:r>
        <w:t xml:space="preserve">, it also improves over always-adapt but ties always-freeze at</w:t>
      </w:r>
      <w:r>
        <w:t xml:space="preserve"> </w:t>
      </w:r>
      <m:oMath>
        <m:r>
          <m:t>0.00473958</m:t>
        </m:r>
      </m:oMath>
      <w:r>
        <w:t xml:space="preserve"> </w:t>
      </w:r>
      <w:r>
        <w:t xml:space="preserve">regret.</w:t>
      </w:r>
      <w:r>
        <w:t xml:space="preserve"> </w:t>
      </w:r>
      <w:r>
        <w:t xml:space="preserve">Thus KGA has lower regret than both fixed policies on 0 of 10 backbones. Four of the eight</w:t>
      </w:r>
      <w:r>
        <w:t xml:space="preserve"> </w:t>
      </w:r>
      <w:r>
        <w:t xml:space="preserve">adapt-favoring backbones</w:t>
      </w:r>
      <w:r>
        <w:t xml:space="preserve"> </w:t>
      </w:r>
      <w:r>
        <w:t xml:space="preserve">have a 0% harmful-update base rate, so routing cannot improve on always-adapt there. This opened,</w:t>
      </w:r>
      <w:r>
        <w:t xml:space="preserve"> </w:t>
      </w:r>
      <w:r>
        <w:t xml:space="preserve">descriptive pattern is consistent with routing being most useful when harmful updates occur. It is</w:t>
      </w:r>
      <w:r>
        <w:t xml:space="preserve"> </w:t>
      </w:r>
      <w:r>
        <w:t xml:space="preserve">not one deployable multi-backbone policy or confidence-supported natural-shift evidence.</w:t>
      </w:r>
    </w:p>
    <w:bookmarkEnd w:id="57"/>
    <w:bookmarkEnd w:id="58"/>
    <w:bookmarkEnd w:id="59"/>
    <w:bookmarkStart w:id="65" w:name="limitations-and-broader-impact"/>
    <w:p>
      <w:pPr>
        <w:pStyle w:val="Heading1"/>
        <w:widowControl/>
      </w:pPr>
      <w:r>
        <w:t xml:space="preserve">9 Limitations and Broader Impact</w:t>
      </w:r>
    </w:p>
    <w:p>
      <w:pPr>
        <w:pStyle w:val="FirstParagraph"/>
        <w:widowControl/>
      </w:pPr>
      <w:r>
        <w:t xml:space="preserve">The measured action record does not demonstrate universal safety.</w:t>
      </w:r>
      <w:r>
        <w:t xml:space="preserve"> </w:t>
      </w:r>
      <w:r>
        <w:t xml:space="preserve">The theory is exact relative to its declared class, whereas the empirical intervals are</w:t>
      </w:r>
      <w:r>
        <w:t xml:space="preserve"> </w:t>
      </w:r>
      <w:r>
        <w:t xml:space="preserve">protocol-scoped and require separate coverage assumptions. The recorded experiments measure</w:t>
      </w:r>
      <w:r>
        <w:t xml:space="preserve"> </w:t>
      </w:r>
      <w:r>
        <w:t xml:space="preserve">directional errors and utility only for the fixed candidates, metrics, and evaluation units studied.</w:t>
      </w:r>
      <w:r>
        <w:t xml:space="preserve"> </w:t>
      </w:r>
      <w:r>
        <w:t xml:space="preserve">Neither layer establishes unconditional deployment safety.</w:t>
      </w:r>
    </w:p>
    <w:bookmarkStart w:id="62" w:name="X0c52393e6599b7c9c94162c82b6fbb33a67c7a0"/>
    <w:p>
      <w:pPr>
        <w:pStyle w:val="Heading2"/>
        <w:widowControl/>
      </w:pPr>
      <w:r>
        <w:t xml:space="preserve">9.1 Formal Assumptions and Empirical Calibration Scope</w:t>
      </w:r>
    </w:p>
    <w:p>
      <w:pPr>
        <w:pStyle w:val="FirstParagraph"/>
        <w:widowControl/>
      </w:pPr>
      <w:r>
        <w:t xml:space="preserve">The population frontier is exact within its declared rich binary class. A credible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must</w:t>
      </w:r>
      <w:r>
        <w:t xml:space="preserve"> </w:t>
      </w:r>
      <w:r>
        <w:t xml:space="preserve">come from domain knowledge, target labels, or a stated transfer assumption. A narrower class may</w:t>
      </w:r>
      <w:r>
        <w:t xml:space="preserve"> </w:t>
      </w:r>
      <w:r>
        <w:t xml:space="preserve">permit stronger decisions. An unsupported bound cannot justify a strict population claim. The</w:t>
      </w:r>
      <w:r>
        <w:t xml:space="preserve"> </w:t>
      </w:r>
      <w:r>
        <w:t xml:space="preserve">substantive object is the class-dependent feasible set, not the inequality by itself.</w:t>
      </w:r>
    </w:p>
    <w:bookmarkStart w:id="60" w:name="the-development-based-surrogate-failed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The development-based surrogate failed.</w:t>
      </w:r>
    </w:p>
    <w:p>
      <w:pPr>
        <w:pStyle w:val="FirstParagraph"/>
        <w:widowControl/>
      </w:pPr>
      <w:r>
        <w:t xml:space="preserve">We tested estimating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from source-like development cells rather than declaring it. The</w:t>
      </w:r>
      <w:r>
        <w:t xml:space="preserve"> </w:t>
      </w:r>
      <w:r>
        <w:t xml:space="preserve">estimate is</w:t>
      </w:r>
      <w:r>
        <w:t xml:space="preserve"> </w:t>
      </w:r>
      <m:oMath>
        <m:r>
          <m:t>1.4</m:t>
        </m:r>
      </m:oMath>
      <w:r>
        <w:t xml:space="preserve">–</w:t>
      </w:r>
      <m:oMath>
        <m:r>
          <m:t>50</m:t>
        </m:r>
        <m:r>
          <m:rPr>
            <m:sty m:val="p"/>
          </m:rPr>
          <m:t>×</m:t>
        </m:r>
      </m:oMath>
      <w:r>
        <w:t xml:space="preserve"> </w:t>
      </w:r>
      <w:r>
        <w:t xml:space="preserve">too small on real evaluation cells (24–73% of cells fall outside the</w:t>
      </w:r>
      <w:r>
        <w:t xml:space="preserve"> </w:t>
      </w:r>
      <w:r>
        <w:t xml:space="preserve">declared class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t xml:space="preserve">; commit error 0.4–16.6%), and returns zero commitments on all 405</w:t>
      </w:r>
      <w:r>
        <w:t xml:space="preserve"> </w:t>
      </w:r>
      <w:r>
        <w:t xml:space="preserve">ImageNet-C cells in 5 of 10 configurations. We therefore withdraw the estimation route and declare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from domain knowledge instead.</w:t>
      </w:r>
    </w:p>
    <w:p>
      <w:pPr>
        <w:pStyle w:val="BodyText"/>
        <w:widowControl/>
      </w:pPr>
      <w:r>
        <w:t xml:space="preserve">This test used an operational development proxy; it could not observe the theorem’s target</w:t>
      </w:r>
      <w:r>
        <w:t xml:space="preserve"> </w:t>
      </w:r>
      <w:r>
        <w:t xml:space="preserve">disagreement-conditional residual directly. The repository retains the reported result text but not</w:t>
      </w:r>
      <w:r>
        <w:t xml:space="preserve"> </w:t>
      </w:r>
      <w:r>
        <w:t xml:space="preserve">the named raw beta-sweep artifact. The negative result is therefore historically documented but not</w:t>
      </w:r>
      <w:r>
        <w:t xml:space="preserve"> </w:t>
      </w:r>
      <w:r>
        <w:t xml:space="preserve">presently regenerable from the canonical bundle. KGA neither estimates nor numerically uses</w:t>
      </w:r>
      <w:r>
        <w:t xml:space="preserve"> </w:t>
      </w:r>
      <m:oMath>
        <m:r>
          <m:t>β</m:t>
        </m:r>
      </m:oMath>
      <w:r>
        <w:t xml:space="preserve">.</w:t>
      </w:r>
    </w:p>
    <w:p>
      <w:pPr>
        <w:pStyle w:val="BodyText"/>
        <w:widowControl/>
      </w:pPr>
      <w:r>
        <w:t xml:space="preserve">For KGA, empirical interval coverage needs separate support at the intended decision unit. A larger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reduces commitment but may increase regret when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worse. A smaller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increases exposure and the cost of calibration failure. Changing the adapter,</w:t>
      </w:r>
      <w:r>
        <w:t xml:space="preserve"> </w:t>
      </w:r>
      <w:r>
        <w:t xml:space="preserve">checkpoint, feature schema, or update settings changes the prediction problem. Each change requires</w:t>
      </w:r>
      <w:r>
        <w:t xml:space="preserve"> </w:t>
      </w:r>
      <w:r>
        <w:t xml:space="preserve">recalibration or a justified transfer argument.</w:t>
      </w:r>
    </w:p>
    <w:bookmarkEnd w:id="60"/>
    <w:bookmarkStart w:id="61" w:name="Xf30ee11509b289bfbc587820f0ba9cc8e0fe9da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Repeated deployment needs a separate guarantee.</w:t>
      </w:r>
    </w:p>
    <w:p>
      <w:pPr>
        <w:pStyle w:val="FirstParagraph"/>
        <w:widowControl/>
      </w:pPr>
      <w:r>
        <w:t xml:space="preserve">A predeclared policy does not by itself create exchangeability or time-uniform safety. Reusing</w:t>
      </w:r>
      <w:r>
        <w:t xml:space="preserve"> </w:t>
      </w:r>
      <w:r>
        <w:t xml:space="preserve">calibration data, replacing the frozen baseline after an accepted update, or selecting later candidates from</w:t>
      </w:r>
      <w:r>
        <w:t xml:space="preserve"> </w:t>
      </w:r>
      <w:r>
        <w:t xml:space="preserve">earlier outcomes changes the joint process. Adaptive conformal inference studies online coverage</w:t>
      </w:r>
      <w:r>
        <w:t xml:space="preserve"> </w:t>
      </w:r>
      <w:r>
        <w:t xml:space="preserve">frequency with feedback [39]; it does not automatically give time-uniform</w:t>
      </w:r>
      <w:r>
        <w:t xml:space="preserve"> </w:t>
      </w:r>
      <w:r>
        <w:t xml:space="preserve">control of KGA’s false commitments. Selection-conditional and group-conditional guarantees require</w:t>
      </w:r>
      <w:r>
        <w:t xml:space="preserve"> </w:t>
      </w:r>
      <w:r>
        <w:t xml:space="preserve">additional methods, as Section 2 explains.</w:t>
      </w:r>
    </w:p>
    <w:bookmarkEnd w:id="61"/>
    <w:bookmarkEnd w:id="62"/>
    <w:bookmarkStart w:id="63" w:name="X9d5fdbb365903b8581ecd792086627af0992cf6"/>
    <w:p>
      <w:pPr>
        <w:pStyle w:val="Heading2"/>
        <w:widowControl/>
      </w:pPr>
      <w:r>
        <w:t xml:space="preserve">9.2 Evidence Needed for Prospective Confirmation</w:t>
      </w:r>
    </w:p>
    <w:p>
      <w:pPr>
        <w:pStyle w:val="FirstParagraph"/>
        <w:widowControl/>
      </w:pPr>
      <w:r>
        <w:t xml:space="preserve">The controlled results reuse one checkpoint, one corpus, and related corruption cells. Their</w:t>
      </w:r>
      <w:r>
        <w:t xml:space="preserve"> </w:t>
      </w:r>
      <w:r>
        <w:t xml:space="preserve">cell-outcome-disjoint split fixes a leakage defect; it does not remove dependence. The interval</w:t>
      </w:r>
      <w:r>
        <w:t xml:space="preserve"> </w:t>
      </w:r>
      <w:r>
        <w:t xml:space="preserve">inclusion table is retrospective, not an independent calibration test. The natural/development</w:t>
      </w:r>
      <w:r>
        <w:t xml:space="preserve"> </w:t>
      </w:r>
      <w:r>
        <w:t xml:space="preserve">record remains retention-heavy or adverse: CCT-20 has no ADAPT exposure, So2Sat stops during</w:t>
      </w:r>
      <w:r>
        <w:t xml:space="preserve"> </w:t>
      </w:r>
      <w:r>
        <w:t xml:space="preserve">development, and the painting-development gates abstain throughout. Five-checkpoint repetition</w:t>
      </w:r>
      <w:r>
        <w:t xml:space="preserve"> </w:t>
      </w:r>
      <w:r>
        <w:t xml:space="preserve">documents development behavior but supplies neither independent unseen environments nor a</w:t>
      </w:r>
      <w:r>
        <w:t xml:space="preserve"> </w:t>
      </w:r>
      <w:r>
        <w:t xml:space="preserve">prospective routing success. Empirical</w:t>
      </w:r>
      <w:r>
        <w:t xml:space="preserve"> </w:t>
      </w:r>
      <w:r>
        <w:t xml:space="preserve">abstention may reflect weak prediction, limited data, a wide</w:t>
      </w:r>
      <w:r>
        <w:t xml:space="preserve"> </w:t>
      </w:r>
      <m:oMath>
        <m:r>
          <m:t>ε</m:t>
        </m:r>
      </m:oMath>
      <w:r>
        <w:t xml:space="preserve">, or transfer failure. It</w:t>
      </w:r>
      <w:r>
        <w:t xml:space="preserve"> </w:t>
      </w:r>
      <w:r>
        <w:t xml:space="preserve">does not establish population non-identifiability.</w:t>
      </w:r>
    </w:p>
    <w:p>
      <w:pPr>
        <w:pStyle w:val="BodyText"/>
        <w:widowControl/>
      </w:pPr>
      <w:r>
        <w:t xml:space="preserve">The search history is substantial. One superseded census reported 1,387 determinations and 326</w:t>
      </w:r>
      <w:r>
        <w:t xml:space="preserve"> </w:t>
      </w:r>
      <w:r>
        <w:t xml:space="preserve">positives (23.5%). A broader archived scan reported 1,427 determinations and 345 positives (24.2%).</w:t>
      </w:r>
      <w:r>
        <w:t xml:space="preserve"> </w:t>
      </w:r>
      <w:r>
        <w:t xml:space="preserve">Neither census froze a reproducible family definition, file list, and repository state. They are</w:t>
      </w:r>
      <w:r>
        <w:t xml:space="preserve"> </w:t>
      </w:r>
      <w:r>
        <w:t xml:space="preserve">overlapping historical search summaries, not two predeclared families and not the multiplicity</w:t>
      </w:r>
      <w:r>
        <w:t xml:space="preserve"> </w:t>
      </w:r>
      <w:r>
        <w:t xml:space="preserve">family for the current panel. The controlled results remain explicitly post hoc.</w:t>
      </w:r>
    </w:p>
    <w:p>
      <w:pPr>
        <w:pStyle w:val="BodyText"/>
        <w:widowControl/>
      </w:pPr>
      <w:r>
        <w:t xml:space="preserve">Table 7 states the four missing tests and the claim each would inform.</w:t>
      </w:r>
      <w:r>
        <w:t xml:space="preserve"> </w:t>
      </w:r>
      <w:r>
        <w:t xml:space="preserve">They cannot be supplied by reclassifying the existing panel.</w:t>
      </w:r>
    </w:p>
    <w:p>
      <w:pPr>
        <w:pStyle w:val="TableCaption"/>
        <w:widowControl/>
      </w:pPr>
      <w:r>
        <w:t xml:space="preserve">Table 7. Evidence needed for prospective confirmation. Each row names a missing test rather than</w:t>
      </w:r>
      <w:r>
        <w:t xml:space="preserve"> </w:t>
      </w:r>
      <w:r>
        <w:t xml:space="preserve">reinterpreting a completed diagnostic.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7. Evidence needed for prospective confirmation. Each row names a missing test rather than reinterpreting a completed diagnostic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197"/>
        <w:gridCol w:w="3382"/>
        <w:gridCol w:w="3381"/>
      </w:tblGrid>
      <w:tr>
        <w:trPr>
          <w:tblHeader w:val="true"/>
          <w:cantSplit w:val="true"/>
        </w:trPr>
        <w:tc>
          <w:tcPr>
            <w:tcW w:w="31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Missing test</w:t>
            </w:r>
          </w:p>
        </w:tc>
        <w:tc>
          <w:tcPr>
            <w:tcW w:w="33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Question it would answer</w:t>
            </w:r>
          </w:p>
        </w:tc>
        <w:tc>
          <w:tcPr>
            <w:tcW w:w="338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Present boundary</w:t>
            </w:r>
          </w:p>
        </w:tc>
      </w:tr>
      <w:tr>
        <w:trPr>
          <w:cantSplit w:val="true"/>
        </w:trPr>
        <w:tc>
          <w:tcPr>
            <w:tcW w:w="31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Synchronized official comparators</w:t>
            </w:r>
          </w:p>
        </w:tc>
        <w:tc>
          <w:tcPr>
            <w:tcW w:w="33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Does the current policy add value beyond official TTA/ALine,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AETTA, POEM, and simple benefit gates?</w:t>
            </w:r>
          </w:p>
        </w:tc>
        <w:tc>
          <w:tcPr>
            <w:tcW w:w="338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Only historical local-port diagnostics exist.</w:t>
            </w:r>
          </w:p>
        </w:tc>
      </w:tr>
      <w:tr>
        <w:trPr>
          <w:cantSplit w:val="true"/>
        </w:trPr>
        <w:tc>
          <w:tcPr>
            <w:tcW w:w="31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New natural shift with helpful and harmful candidates</w:t>
            </w:r>
          </w:p>
        </w:tc>
        <w:tc>
          <w:tcPr>
            <w:tcW w:w="33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Can a frozen policy exercise nonzero ADAPT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and FREEZE exposure prospectively?</w:t>
            </w:r>
          </w:p>
        </w:tc>
        <w:tc>
          <w:tcPr>
            <w:tcW w:w="338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Current natural tracks are one-sided, retention-heavy, or stopped.</w:t>
            </w:r>
          </w:p>
        </w:tc>
      </w:tr>
      <w:tr>
        <w:trPr>
          <w:cantSplit w:val="true"/>
        </w:trPr>
        <w:tc>
          <w:tcPr>
            <w:tcW w:w="31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Untouched-group coverage evaluation</w:t>
            </w:r>
          </w:p>
        </w:tc>
        <w:tc>
          <w:tcPr>
            <w:tcW w:w="33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Do interval inclusion and directional errors transfer beyond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opened cross-fit cells?</w:t>
            </w:r>
          </w:p>
        </w:tc>
        <w:tc>
          <w:tcPr>
            <w:tcW w:w="338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No held-out group-coverage result is available.</w:t>
            </w:r>
          </w:p>
        </w:tc>
      </w:tr>
      <w:tr>
        <w:trPr>
          <w:cantSplit w:val="true"/>
        </w:trPr>
        <w:tc>
          <w:tcPr>
            <w:tcW w:w="31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Independent checkpoints and environments</w:t>
            </w:r>
          </w:p>
        </w:tc>
        <w:tc>
          <w:tcPr>
            <w:tcW w:w="33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Does the inference extend beyond one checkpoint and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related constructed conditions?</w:t>
            </w:r>
          </w:p>
        </w:tc>
        <w:tc>
          <w:tcPr>
            <w:tcW w:w="338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Five separately trained checkpoints have development results on shared painting cells; independent-environment prospective inference remains unavailable. The primary CIFAR grid reuses one checkpoint and corpus.</w:t>
            </w:r>
          </w:p>
        </w:tc>
      </w:tr>
    </w:tbl>
    <w:p>
      <w:pPr>
        <w:pStyle w:val="BodyText"/>
        <w:widowControl/>
      </w:pPr>
      <w:r>
        <w:t xml:space="preserve">The</w:t>
      </w:r>
      <w:r>
        <w:t xml:space="preserve"> </w:t>
      </w:r>
      <w:r>
        <w:t xml:space="preserve">confirmation protocol in Appendix K</w:t>
      </w:r>
      <w:r>
        <w:t xml:space="preserve"> </w:t>
      </w:r>
      <w:r>
        <w:t xml:space="preserve">specifies a future protocol.</w:t>
      </w:r>
    </w:p>
    <w:bookmarkEnd w:id="63"/>
    <w:bookmarkStart w:id="64" w:name="operational-risks-and-deployment-scope"/>
    <w:p>
      <w:pPr>
        <w:pStyle w:val="Heading2"/>
        <w:widowControl/>
      </w:pPr>
      <w:r>
        <w:t xml:space="preserve">9.3 Operational Risks and Deployment Scope</w:t>
      </w:r>
    </w:p>
    <w:p>
      <w:pPr>
        <w:pStyle w:val="FirstParagraph"/>
        <w:widowControl/>
      </w:pPr>
      <w:r>
        <w:t xml:space="preserve">Rejecting an update can prevent adaptation harm. A frozen fallback can prevent adaptation-induced</w:t>
      </w:r>
      <w:r>
        <w:t xml:space="preserve"> </w:t>
      </w:r>
      <w:r>
        <w:t xml:space="preserve">harm while still preserving a model that is inaccurate, biased, or unsuitable for the application.</w:t>
      </w:r>
      <w:r>
        <w:t xml:space="preserve"> </w:t>
      </w:r>
      <w:r>
        <w:t xml:space="preserve">Treating abstention as a safety certificate would be especially</w:t>
      </w:r>
      <w:r>
        <w:t xml:space="preserve"> </w:t>
      </w:r>
      <w:r>
        <w:t xml:space="preserve">risky. A deployment should retain the assessment reason and route unresolved cases to</w:t>
      </w:r>
      <w:r>
        <w:t xml:space="preserve"> </w:t>
      </w:r>
      <w:r>
        <w:t xml:space="preserve">domain-appropriate review or evidence acquisition. Our experiments do not validate clinical,</w:t>
      </w:r>
      <w:r>
        <w:t xml:space="preserve"> </w:t>
      </w:r>
      <w:r>
        <w:t xml:space="preserve">safety-critical, or autonomous operation. We claim neither a held-out physical camera deployment</w:t>
      </w:r>
      <w:r>
        <w:t xml:space="preserve"> </w:t>
      </w:r>
      <w:r>
        <w:t xml:space="preserve">nor a common end-to-end latency result.</w:t>
      </w:r>
    </w:p>
    <w:p>
      <w:pPr>
        <w:pStyle w:val="BodyText"/>
        <w:widowControl/>
      </w:pPr>
      <w:r>
        <w:t xml:space="preserve">The maintained software distinguishes an unavailable assessment from a supported negative interval.</w:t>
      </w:r>
      <w:r>
        <w:t xml:space="preserve"> </w:t>
      </w:r>
      <w:r>
        <w:t xml:space="preserve">Its tests and proof artifacts document a scoped validity, commitment-control, and rollback layer.</w:t>
      </w:r>
      <w:r>
        <w:t xml:space="preserve"> </w:t>
      </w:r>
      <w:r>
        <w:t xml:space="preserve">They do not certify every data pipeline or production system. The appendices record reproduction</w:t>
      </w:r>
      <w:r>
        <w:t xml:space="preserve"> </w:t>
      </w:r>
      <w:r>
        <w:t xml:space="preserve">instructions, formal scope, excluded historical extensions, and release checks.</w:t>
      </w:r>
    </w:p>
    <w:bookmarkEnd w:id="64"/>
    <w:bookmarkEnd w:id="65"/>
    <w:bookmarkStart w:id="66" w:name="conclusion"/>
    <w:p>
      <w:pPr>
        <w:pStyle w:val="Heading1"/>
        <w:widowControl/>
      </w:pPr>
      <w:r>
        <w:t xml:space="preserve">10 Conclusion</w:t>
      </w:r>
    </w:p>
    <w:p>
      <w:pPr>
        <w:pStyle w:val="FirstParagraph"/>
        <w:widowControl/>
      </w:pPr>
      <w:r>
        <w:t xml:space="preserve">K-Bound separates missing target-label information from estimable uncertainty. For a fixed binary</w:t>
      </w:r>
      <w:r>
        <w:t xml:space="preserve"> </w:t>
      </w:r>
      <w:r>
        <w:t xml:space="preserve">model pair under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loss, a declared residual class induces a feasible set of population benefits.</w:t>
      </w:r>
      <w:r>
        <w:t xml:space="preserve"> </w:t>
      </w:r>
      <w:r>
        <w:t xml:space="preserve">That set supports a strict direction exactly outside the closed band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β</m:t>
        </m:r>
      </m:oMath>
      <w:r>
        <w:t xml:space="preserve">. The</w:t>
      </w:r>
      <w:r>
        <w:t xml:space="preserve"> </w:t>
      </w:r>
      <w:r>
        <w:t xml:space="preserve">evidence-fibre audit theorem explains why additional functions of the same label-free evidence</w:t>
      </w:r>
      <w:r>
        <w:t xml:space="preserve"> </w:t>
      </w:r>
      <w:r>
        <w:t xml:space="preserve">cannot remove residual ambiguity that remains on the fibre.</w:t>
      </w:r>
    </w:p>
    <w:p>
      <w:pPr>
        <w:pStyle w:val="BodyText"/>
        <w:widowControl/>
      </w:pPr>
      <w:r>
        <w:t xml:space="preserve">KGA addresses a different target. It predicts measured evaluation-cell benefit and uses a</w:t>
      </w:r>
      <w:r>
        <w:t xml:space="preserve"> </w:t>
      </w:r>
      <w:r>
        <w:t xml:space="preserve">separately calibrated interval to ADAPT, FREEZE, or ABSTAIN. Its empirical criterion is</w:t>
      </w:r>
      <w:r>
        <w:t xml:space="preserve"> </w:t>
      </w:r>
      <w:r>
        <w:t xml:space="preserve">directional action correctness, with exposure and false-action denominators reported separately.</w:t>
      </w:r>
      <w:r>
        <w:t xml:space="preserve"> </w:t>
      </w:r>
      <w:r>
        <w:t xml:space="preserve">The utility preservation endpoint is reported separately, not as proof of universal safety.</w:t>
      </w:r>
      <w:r>
        <w:t xml:space="preserve"> </w:t>
      </w:r>
      <w:r>
        <w:t xml:space="preserve">The current CIFAR-10-C diagnostic</w:t>
      </w:r>
      <w:r>
        <w:t xml:space="preserve"> </w:t>
      </w:r>
      <w:r>
        <w:t xml:space="preserve">exercises both directional actions retrospectively, whereas CCT-20 demonstrates conservative</w:t>
      </w:r>
      <w:r>
        <w:t xml:space="preserve"> </w:t>
      </w:r>
      <w:r>
        <w:t xml:space="preserve">all-frozen retention rather than selective routing. These results support evidence-aware commitment</w:t>
      </w:r>
      <w:r>
        <w:t xml:space="preserve"> </w:t>
      </w:r>
      <w:r>
        <w:t xml:space="preserve">under recorded protocols, not unconditional safety or population transfer.</w:t>
      </w:r>
      <w:r>
        <w:t xml:space="preserve"> </w:t>
      </w:r>
      <w:r>
        <w:t xml:space="preserve">The newer opened development record likewise shows abstention and unrecovered candidate harm.</w:t>
      </w:r>
    </w:p>
    <w:p>
      <w:pPr>
        <w:pStyle w:val="BodyText"/>
        <w:widowControl/>
      </w:pPr>
      <w:r>
        <w:t xml:space="preserve">The practical lesson is simple: commit a proposed update only when the relevant target, evidence,</w:t>
      </w:r>
      <w:r>
        <w:t xml:space="preserve"> </w:t>
      </w:r>
      <w:r>
        <w:t xml:space="preserve">and assumptions support a direction; otherwise preserve the fallback and record the unresolved</w:t>
      </w:r>
      <w:r>
        <w:t xml:space="preserve"> </w:t>
      </w:r>
      <w:r>
        <w:t xml:space="preserve">uncertainty.</w:t>
      </w:r>
    </w:p>
    <w:bookmarkEnd w:id="66"/>
    <w:bookmarkStart w:id="70" w:name="references"/>
    <w:p>
      <w:pPr>
        <w:pStyle w:val="Heading1"/>
        <w:widowControl/>
      </w:pPr>
      <w:r>
        <w:t xml:space="preserve">References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D. Wang, E. Shelhamer, S. Liu, B. Olshausen, T. Darrell.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Tent: Fully test-time adaptation by entropy minimization.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ICLR</w:t>
      </w:r>
      <w:r>
        <w:rPr>
          <w:rFonts w:ascii="Times New Roman" w:hAnsi="Times New Roman"/>
          <w:sz w:val="16"/>
        </w:rPr>
        <w:t xml:space="preserve">, 2021.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J. Liang, D. Hu, J. Feng. Do we really need to access the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source data? Source hypothesis transfer for unsupervised domain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2020.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Y. Sun, X. Wang, Z. Liu, J. Miller, A. Efros, M. Hardt.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Test-time training with self-supervision for generalization under distribution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shifts.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2020.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Niu, J. Wu, Y. Zhang, Y. Chen, S. Zheng, P. Zhao, M. Tan.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Efficient test-time model adaptation without forgetting.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2022.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Niu, J. Wu, Y. Zhang, Z. Wen, Y. Chen, P. Zhao, M. Tan.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Towards stable test-time adaptation in dynamic wild world.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ICLR</w:t>
      </w:r>
      <w:r>
        <w:rPr>
          <w:rFonts w:ascii="Times New Roman" w:hAnsi="Times New Roman"/>
          <w:sz w:val="16"/>
        </w:rPr>
        <w:t xml:space="preserve">, 2023.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Q. Wang, O. Fink, L. Van Gool, D. Dai.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Continual test-time domain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CVPR</w:t>
      </w:r>
      <w:r>
        <w:rPr>
          <w:rFonts w:ascii="Times New Roman" w:hAnsi="Times New Roman"/>
          <w:sz w:val="16"/>
        </w:rPr>
        <w:t xml:space="preserve">, 2022.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M. Zhang, S. Levine, C. Finn.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MEMO: Test time robustness via adaptation and augmentation.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2022.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M. Schirmer, M. Jazbec, C. A. Naesseth, E. Nalisnick.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Monitoring risks in test-time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2025. arXiv:2507.08721.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O. C. Mutlu, M. Honarmand, P. Azizian, S. Surabhi,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D. P. Wall. Topology-guided test-time adaptation via persistent homology: From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affective behavior analysis to autonomous driving.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CVPR Workshops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pages 5331–5340, 2026.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M. Chen, B. Zhang, Z. Han, W. Jiang, Y. Wang, S. Feng,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Y. Du, B. Bao. Test-time selective adaptation for uni-modal distribution shift in multi-modal data.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Proceedings of the 42nd International Conference on Machine Learning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PMLR 267:9711–9727, 2025.</w:t>
      </w:r>
      <w:r>
        <w:rPr>
          <w:rFonts w:ascii="Times New Roman" w:hAnsi="Times New Roman"/>
          <w:sz w:val="16"/>
        </w:rPr>
        <w:t xml:space="preserve"> </w:t>
      </w:r>
      <w:hyperlink r:id="rId67">
        <w:r>
          <w:rPr>
            <w:rStyle w:val="Hyperlink"/>
          </w:rPr>
          <w:t xml:space="preserve">https://proceedings.mlr.press/v267/chen25ch.html</w:t>
        </w:r>
      </w:hyperlink>
      <w:r>
        <w:rPr>
          <w:rFonts w:ascii="Times New Roman" w:hAnsi="Times New Roman"/>
          <w:sz w:val="16"/>
        </w:rPr>
        <w:t xml:space="preserve">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Sahoo, M. ElAraby, J. Ngnawe, Y. B. Pequignot,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F. Precioso, C. Gagné. A layer selection approach to test time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Proceedings of the AAAI Conference on Artificial Intelligence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39(19):20237–20245, 2025. doi:10.1609/aaai.v39i19.34229.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A. H. Ariq. MMD-balls as credal sets: A PAC-Bayesian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framework for epistemic uncertainty in test-time adaptation. arXiv:2605.21783,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2026.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A. Podkopaev, A. Ramdas. Tracking the risk of a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deployed model and detecting harmful distribution shifts.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ICLR</w:t>
      </w:r>
      <w:r>
        <w:rPr>
          <w:rFonts w:ascii="Times New Roman" w:hAnsi="Times New Roman"/>
          <w:sz w:val="16"/>
        </w:rPr>
        <w:t xml:space="preserve">, 2022.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arXiv:2110.06177.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Y. Bar, S. Shaer, Y. Romano. Protected test-time adaptation via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online entropy matching: A betting approach.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2024. arXiv:2408.07511.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Garg, S. Balakrishnan, Z. Lipton, B. Neyshabur, H. Sedghi.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Leveraging unlabeled data to predict out-of-distribution performance.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ICLR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2022. arXiv:2201.04234.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J. Miller, R. Taori, A. Raghunathan, S. Sagawa, P. W. Koh,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V. Shankar, P. Liang, Y. Carmon, L. Schmidt. Accuracy on the line: On the strong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correlation between out-of-distribution and in-distribution generalization.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2021. arXiv:2107.04649.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C. Baek, Y. Jiang, A. Raghunathan, J. Z. Kolter.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Agreement-on-the-line: Predicting the performance of neural networks under distribution shift.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2022. arXiv:2206.13089.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T. Lee, S. Chottananurak, T. Gong, S.-J. Lee. AETTA: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Label-free accuracy estimation for test-time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CVPR</w:t>
      </w:r>
      <w:r>
        <w:rPr>
          <w:rFonts w:ascii="Times New Roman" w:hAnsi="Times New Roman"/>
          <w:sz w:val="16"/>
        </w:rPr>
        <w:t xml:space="preserve">, 2024.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arXiv:2404.01351.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J. Steinhardt, P. Liang. Unsupervised risk estimation using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only conditional independence structure.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2016. arXiv:1606.05313.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Ben-David, J. Blitzer, K. Crammer, A. Kulesza,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F. Pereira, J. Wortman Vaughan. A theory of learning from different domains.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Machine Learning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79(1–2):151–175, 2010a.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E. Rosenfeld, S. Garg. (Almost) provable error bounds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under distribution shift via disagreement discrepancy.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2023.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arXiv:2306.00312.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Y. Geifman, R. El-Yaniv. Selective classification for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deep neural networks.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2017.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D. Hendrycks, T. Dietterich. Benchmarking neural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network robustness to common corruptions and perturbations.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ICLR</w:t>
      </w:r>
      <w:r>
        <w:rPr>
          <w:rFonts w:ascii="Times New Roman" w:hAnsi="Times New Roman"/>
          <w:sz w:val="16"/>
        </w:rPr>
        <w:t xml:space="preserve">, 2019.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D. Hendrycks, S. Basart, N. Mu,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S. Kadavath, F. Wang, E. Dorundo, R. Desai, T. Zhu, S. Parajuli, M. Guo, D. Song,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J. Steinhardt, J. Gilmer. The many faces of robustness: A critical analysis of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out-of-distribution generalization.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ICCV</w:t>
      </w:r>
      <w:r>
        <w:rPr>
          <w:rFonts w:ascii="Times New Roman" w:hAnsi="Times New Roman"/>
          <w:sz w:val="16"/>
        </w:rPr>
        <w:t xml:space="preserve">, pages 8340–8349, 2021.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P. W. Koh, S. Sagawa, H. Marklund, S. M. Xie, M. Zhang,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A. Balsubramani, W. Hu, M. Yasunaga, et al. WILDS: A benchmark of in-the-wild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distribution shifts.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2021.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P. Bándi, O. Geessink, Q. Manson, M. van Dijk,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M. Balkenhol, M. Hermsen, et al. From detection of individual metastases to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classification of lymph node status at the patient level: The CAMELYON17 challenge.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IEEE Trans. Med. Imaging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38(2):550–560, 2019.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M. Sypetkowski, M. Rezanejad, S. Saberian,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O. Kraus, J. Urbanik, J. Taylor, B. Mabey, M. Victors, J. Yosinski,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A. Rezazadeh Sereshkeh, I. Haque, B. Earnshaw.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RxRx1: A dataset for evaluating experimental batch correction methods.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Proceedings of the IEEE/CVF Conference on Computer Vision and Pattern Recognition</w:t>
      </w:r>
      <w:r>
        <w:rPr>
          <w:rFonts w:ascii="Times New Roman" w:hAnsi="Times New Roman"/>
          <w:i/>
          <w:iCs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(CVPR) Workshops</w:t>
      </w:r>
      <w:r>
        <w:rPr>
          <w:rFonts w:ascii="Times New Roman" w:hAnsi="Times New Roman"/>
          <w:sz w:val="16"/>
        </w:rPr>
        <w:t xml:space="preserve">, pages 4285–4294, 2023. arXiv:2301.05768.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X. X. Zhu, J. Hu, C. Qiu, Y. Shi, J. Kang, L. Mou,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H. Bagheri, M. Häberle, Y. Hua, R. Huang, L. Hughes, H. Li, Y. Sun, G. Zhang,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S. Han, M. Schmitt, Y. Wang. So2Sat LCZ42: A benchmark data set for the classification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of global local climate zones [Software and Data Sets].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IEEE Geoscience and Remote Sensing Magazine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8(3):76–89, 2020.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doi:10.1109/MGRS.2020.2964708.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H. Venkateswara, J. Eusebio, S. Chakraborty,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S. Panchanathan. Deep hashing network for unsupervised domain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CVPR</w:t>
      </w:r>
      <w:r>
        <w:rPr>
          <w:rFonts w:ascii="Times New Roman" w:hAnsi="Times New Roman"/>
          <w:sz w:val="16"/>
        </w:rPr>
        <w:t xml:space="preserve">, 2017. (Office-Home dataset release).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D. Li, Y. Yang, Y.-Z. Song, T. M. Hospedales.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Deeper, broader and artier domain generalization.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ICCV</w:t>
      </w:r>
      <w:r>
        <w:rPr>
          <w:rFonts w:ascii="Times New Roman" w:hAnsi="Times New Roman"/>
          <w:sz w:val="16"/>
        </w:rPr>
        <w:t xml:space="preserve">, pages 5543–5551, 2017.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doi:10.1109/ICCV.2017.591.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B. Recht, R. Roelofs, L. Schmidt, V. Shankar.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Do CIFAR-10 classifiers generalize to CIFAR-10?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arXiv preprint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2018. arXiv:1806.00451.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A. Paszke, S. Gross, F. Massa, A. Lerer, J. Bradbury,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G. Chanan, T. Killeen, Z. Lin, N. Gimelshein, L. Antiga, et al.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PyTorch: An imperative style, high-performance deep learning library.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2019.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F. Pedregosa, G. Varoquaux, A. Gramfort, V. Michel,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B. Thirion, O. Grisel, M. Blondel, P. Prettenhofer, R. Weiss, V. Dubourg, et al.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Scikit-learn: Machine learning in Python.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JMLR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12:2825–2830, 2011.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R. Xie, A. Odonnat, V. Feofanov, W. Deng, J. Zhang, B. An.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MaNo: exploiting matrix norm for unsupervised accuracy estimation under distribution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shifts.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2024. arXiv:2405.18979.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W. Deng, Y. Suh, S. Gould, L. Zheng. Confidence and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dispersity speak: characterizing prediction matrix for unsupervised accuracy estimation.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2023. arXiv:2302.01094.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R. J. Tibshirani, R. F. Barber, E. Candès,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A. Ramdas. Conformal prediction under covariate shift.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2019.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arXiv:1904.06019.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R. F. Barber, E. J. Candès, A. Ramdas, R. J. Tibshirani.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Conformal prediction beyond exchangeability.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Annals of Statistics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51(2):816–845, 2023. arXiv:2202.13415.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J. Hemerik, J. Goeman.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Exact testing with random permutations.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TEST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27:811–825, 2018.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doi:10.1007/s11749-017-0571-1.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I. Gibbs, E. Candès. Adaptive conformal inference under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distribution shift.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2021. arXiv:2106.00170.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Bates, A. Angelopoulos, L. Lei, J. Malik, M. I. Jordan.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Distribution-free, risk-controlling prediction sets.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JACM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68(6), 2021.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arXiv:2101.02703.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A. N. Angelopoulos, S. Bates, E. J. Candès,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M. I. Jordan, L. Lei. Learn then test: calibrating predictive algorithms to achieve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risk control.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Annals of Applied Statistics</w:t>
      </w:r>
      <w:r>
        <w:rPr>
          <w:rFonts w:ascii="Times New Roman" w:hAnsi="Times New Roman"/>
          <w:sz w:val="16"/>
        </w:rPr>
        <w:t xml:space="preserve">, 2025. arXiv:2110.01052.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Sonoda, K. Kasaura, Y. Mizuno, K. Tsukamoto, N. Onda.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Lean formalization of generalization error bound by Rademacher complexity.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arXiv preprint</w:t>
      </w:r>
      <w:r>
        <w:rPr>
          <w:rFonts w:ascii="Times New Roman" w:hAnsi="Times New Roman"/>
          <w:sz w:val="16"/>
        </w:rPr>
        <w:t xml:space="preserve">, 2025. arXiv:2503.19605v3.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C. Gupta, A. Ramdas. Top-label calibration and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multiclass-to-binary reductions.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ICLR</w:t>
      </w:r>
      <w:r>
        <w:rPr>
          <w:rFonts w:ascii="Times New Roman" w:hAnsi="Times New Roman"/>
          <w:sz w:val="16"/>
        </w:rPr>
        <w:t xml:space="preserve">, 2022. arXiv:2107.08353.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Z. C. Lipton, Y.-X. Wang, A. Smola. Detecting and correcting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for label shift with black box predictors.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ICML</w:t>
      </w:r>
      <w:r>
        <w:rPr>
          <w:rFonts w:ascii="Times New Roman" w:hAnsi="Times New Roman"/>
          <w:sz w:val="16"/>
        </w:rPr>
        <w:t xml:space="preserve">, 2018.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Garg, Y. Wu, S. Balakrishnan, Z. C. Lipton. A unified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view of label shift estimation.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NeurIPS</w:t>
      </w:r>
      <w:r>
        <w:rPr>
          <w:rFonts w:ascii="Times New Roman" w:hAnsi="Times New Roman"/>
          <w:sz w:val="16"/>
        </w:rPr>
        <w:t xml:space="preserve">, 2020.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C. K. Chow. On optimum recognition error and reject tradeoff.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IEEE Trans. Information Theory</w:t>
      </w:r>
      <w:r>
        <w:rPr>
          <w:rFonts w:ascii="Times New Roman" w:hAnsi="Times New Roman"/>
          <w:sz w:val="16"/>
        </w:rPr>
        <w:t xml:space="preserve">, 16(1):41–46, 1970.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C. Cortes, G. DeSalvo, M. Mohri. Learning with rejection.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ALT</w:t>
      </w:r>
      <w:r>
        <w:rPr>
          <w:rFonts w:ascii="Times New Roman" w:hAnsi="Times New Roman"/>
          <w:sz w:val="16"/>
        </w:rPr>
        <w:t xml:space="preserve">, 2016.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Beery, G. Van Horn, and P. Perona,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“Recognition in Terra Incognita,”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in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Proceedings of the European Conference on Computer Vision (ECCV)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2018, pp. 472–489, doi: 10.1007/978-3-030-01270-0_28.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S. Ben-David, T. Lu, T. Luu, D. Pál.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Impossibility theorems for domain adaptation.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Proceedings of the Thirteenth International Conference on Artificial Intelligence</w:t>
      </w:r>
      <w:r>
        <w:rPr>
          <w:rFonts w:ascii="Times New Roman" w:hAnsi="Times New Roman"/>
          <w:i/>
          <w:iCs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and Statistics</w:t>
      </w:r>
      <w:r>
        <w:rPr>
          <w:rFonts w:ascii="Times New Roman" w:hAnsi="Times New Roman"/>
          <w:sz w:val="16"/>
        </w:rPr>
        <w:t xml:space="preserve">, PMLR 9:129–136, 2010b.</w:t>
      </w:r>
      <w:r>
        <w:rPr>
          <w:rFonts w:ascii="Times New Roman" w:hAnsi="Times New Roman"/>
          <w:sz w:val="16"/>
        </w:rPr>
        <w:t xml:space="preserve"> </w:t>
      </w:r>
      <w:hyperlink r:id="rId68">
        <w:r>
          <w:rPr>
            <w:rStyle w:val="Hyperlink"/>
          </w:rPr>
          <w:t xml:space="preserve">https://proceedings.mlr.press/v9/david10a.html</w:t>
        </w:r>
      </w:hyperlink>
      <w:r>
        <w:rPr>
          <w:rFonts w:ascii="Times New Roman" w:hAnsi="Times New Roman"/>
          <w:sz w:val="16"/>
        </w:rPr>
        <w:t xml:space="preserve">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I. Lamaakal, C. Yahyati, K. El Makkaoui,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I. Ouahbi, Y. Maleh. Drift-to-Action Controllers: Budgeted interventions with online risk certificates.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arXiv preprint</w:t>
      </w:r>
      <w:r>
        <w:rPr>
          <w:rFonts w:ascii="Times New Roman" w:hAnsi="Times New Roman"/>
          <w:sz w:val="16"/>
        </w:rPr>
        <w:t xml:space="preserve">, 2026. arXiv:2603.08578v1.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E. Kim, M. Sun, C. Baek,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A. Raghunathan, J. Z. Kolter.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Test-Time Adaptation Induces Stronger Accuracy and Agreement-on-the-Line.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Advances in Neural Information Processing Systems</w:t>
      </w:r>
      <w:r>
        <w:rPr>
          <w:rFonts w:ascii="Times New Roman" w:hAnsi="Times New Roman"/>
          <w:sz w:val="16"/>
        </w:rPr>
        <w:t xml:space="preserve">, 37, 2024.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doi:</w:t>
      </w:r>
      <w:hyperlink r:id="rId69">
        <w:r>
          <w:rPr>
            <w:rStyle w:val="Hyperlink"/>
          </w:rPr>
          <w:t xml:space="preserve">10.52202/079017-3820</w:t>
        </w:r>
      </w:hyperlink>
      <w:r>
        <w:rPr>
          <w:rFonts w:ascii="Times New Roman" w:hAnsi="Times New Roman"/>
          <w:sz w:val="16"/>
        </w:rPr>
        <w:t xml:space="preserve">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Y. Jin, Z. Ren.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Confidence on the focal: conformal prediction with selection-conditional coverage.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Journal of the Royal Statistical Society Series B: Statistical Methodology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87(4):1239–1259, 2025. doi:10.1093/jrsssb/qkaf016.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I. Gibbs, J. J. Cherian,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E. J. Candès.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Conformal prediction with conditional guarantees.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Journal of the Royal Statistical Society Series B: Statistical Methodology</w:t>
      </w:r>
      <w:r>
        <w:rPr>
          <w:rFonts w:ascii="Times New Roman" w:hAnsi="Times New Roman"/>
          <w:sz w:val="16"/>
        </w:rPr>
        <w:t xml:space="preserve">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87(4):1100–1126, 2025. doi:10.1093/jrsssb/qkaf008.</w:t>
      </w:r>
    </w:p>
    <w:p>
      <w:pPr>
        <w:widowControl/>
        <w:numPr>
          <w:ilvl w:val="0"/>
          <w:numId w:val="1008"/>
        </w:numPr>
        <w:spacing w:after="20" w:line="240" w:lineRule="auto"/>
      </w:pPr>
      <w:r>
        <w:rPr>
          <w:rFonts w:ascii="Times New Roman" w:hAnsi="Times New Roman"/>
          <w:sz w:val="16"/>
        </w:rPr>
        <w:t xml:space="preserve">T. Christensen,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H. R. Moon, F. Schorfheide.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Optimal Decision Rules When Payoffs are Partially Identified.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i/>
          <w:iCs/>
          <w:sz w:val="16"/>
        </w:rPr>
        <w:t xml:space="preserve">The Review of Economic Studies</w:t>
      </w:r>
      <w:r>
        <w:rPr>
          <w:rFonts w:ascii="Times New Roman" w:hAnsi="Times New Roman"/>
          <w:sz w:val="16"/>
        </w:rPr>
        <w:t xml:space="preserve">, rdag017, 2026.</w:t>
      </w:r>
      <w:r>
        <w:rPr>
          <w:rFonts w:ascii="Times New Roman" w:hAnsi="Times New Roman"/>
          <w:sz w:val="16"/>
        </w:rPr>
        <w:t xml:space="preserve"> </w:t>
      </w:r>
      <w:r>
        <w:rPr>
          <w:rFonts w:ascii="Times New Roman" w:hAnsi="Times New Roman"/>
          <w:sz w:val="16"/>
        </w:rPr>
        <w:t xml:space="preserve">Advance article, corrected proof. doi:10.1093/restud/rdag017.</w:t>
      </w:r>
    </w:p>
    <w:bookmarkEnd w:id="70"/>
    <w:bookmarkStart w:id="72" w:name="Xc0d3ba2ac7a5bca8f965c42ff2143dbadbbc092"/>
    <w:p>
      <w:pPr>
        <w:pStyle w:val="Heading1"/>
        <w:widowControl/>
      </w:pPr>
      <w:r>
        <w:t xml:space="preserve">A Conditional Bridge from Cell Coverage to Population Coverage</w:t>
      </w:r>
    </w:p>
    <w:p>
      <w:pPr>
        <w:pStyle w:val="FirstParagraph"/>
        <w:widowControl/>
      </w:pPr>
      <w:r>
        <w:t xml:space="preserve">The interval proposition covers its declared target.</w:t>
      </w:r>
      <w:r>
        <w:t xml:space="preserve"> </w:t>
      </w:r>
      <w:r>
        <w:t xml:space="preserve">Proposition 3</w:t>
      </w:r>
      <w:r>
        <w:t xml:space="preserve"> </w:t>
      </w:r>
      <w:r>
        <w:t xml:space="preserve">now states the conditional bridge explicitly. This appendix records what its additional premise</w:t>
      </w:r>
      <w:r>
        <w:t xml:space="preserve"> </w:t>
      </w:r>
      <w:r>
        <w:t xml:space="preserve">requires and what it does not establish for the reported experiments.</w:t>
      </w:r>
    </w:p>
    <w:bookmarkStart w:id="71" w:name="X10910b98745355c4db36c782e7eddbc470e3cd5"/>
    <w:p>
      <w:pPr>
        <w:pStyle w:val="Heading2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Additional condition for population transfer.</w:t>
      </w:r>
    </w:p>
    <w:p>
      <w:pPr>
        <w:pStyle w:val="FirstParagraph"/>
        <w:widowControl/>
      </w:pPr>
      <w:r>
        <w:t xml:space="preserve">For cell outcomes using the same loss as the population risk, such as accuracy and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loss,</w:t>
      </w:r>
      <w:r>
        <w:t xml:space="preserve"> </w:t>
      </w:r>
      <w:r>
        <w:t xml:space="preserve">suppose that, on the same probability space,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rPr>
                  <m:sty m:val="p"/>
                </m:rPr>
                <m:t>Δ</m:t>
              </m:r>
            </m:e>
          </m:acc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p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sSup>
            <m:e>
              <m:r>
                <m:rPr>
                  <m:sty m:val="p"/>
                </m:rPr>
                <m:t>Δ</m:t>
              </m:r>
            </m:e>
            <m: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w:r>
        <w:t xml:space="preserve">where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is available without the new evaluation labels, then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|</m:t>
          </m:r>
          <m:acc>
            <m:accPr>
              <m:chr m:val="̂"/>
            </m:accPr>
            <m:e>
              <m:r>
                <m:rPr>
                  <m:sty m:val="p"/>
                </m:rPr>
                <m:t>Δ</m:t>
              </m:r>
            </m:e>
          </m:acc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t>ε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α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−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As in the main-paper proposition, the triangle inequality applies on the intersection of the two</w:t>
      </w:r>
      <w:r>
        <w:t xml:space="preserve"> </w:t>
      </w:r>
      <w:r>
        <w:t xml:space="preserve">coverage events, and the union bound controls its complement; independence is not needed.</w:t>
      </w:r>
      <w:r>
        <w:t xml:space="preserve"> </w:t>
      </w:r>
      <w:r>
        <w:t xml:space="preserve">A population interval-supported action would use</w:t>
      </w:r>
      <w:r>
        <w:t xml:space="preserve"> </w:t>
      </w:r>
      <w:r>
        <w:t xml:space="preserve">radius</w:t>
      </w:r>
      <w:r>
        <w:t xml:space="preserve"> </w:t>
      </w:r>
      <m:oMath>
        <m:r>
          <m:t>ε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 budget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+</m:t>
        </m:r>
        <m:r>
          <m:t>δ</m:t>
        </m:r>
        <m:r>
          <m:rPr>
            <m:sty m:val="p"/>
          </m:rPr>
          <m:t>≤</m:t>
        </m:r>
        <m:sSub>
          <m:e>
            <m:r>
              <m:t>α</m:t>
            </m:r>
          </m:e>
          <m:sub>
            <m:r>
              <m:rPr>
                <m:sty m:val="p"/>
              </m:rPr>
              <m:t>t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</m:oMath>
      <w:r>
        <w:t xml:space="preserve">. No such sampling-error bound is</w:t>
      </w:r>
      <w:r>
        <w:t xml:space="preserve"> </w:t>
      </w:r>
      <w:r>
        <w:t xml:space="preserve">established for the reported panels, and their gates do not apply this enlarged radius. This</w:t>
      </w:r>
      <w:r>
        <w:t xml:space="preserve"> </w:t>
      </w:r>
      <w:r>
        <w:t xml:space="preserve">conditional implication therefore adds no new population-safety claim to the empirical results.</w:t>
      </w:r>
    </w:p>
    <w:p>
      <w:pPr>
        <w:pStyle w:val="BodyText"/>
        <w:widowControl/>
      </w:pPr>
      <w:r>
        <w:t xml:space="preserve">For paired accuracy on fresh IID evaluation observations, a direct fixed-pair IID concentration</w:t>
      </w:r>
      <w:r>
        <w:t xml:space="preserve"> </w:t>
      </w:r>
      <w:r>
        <w:t xml:space="preserve">argument requires the model pair to be fixed relative to that evaluation sample, under a stated</w:t>
      </w:r>
      <w:r>
        <w:t xml:space="preserve"> </w:t>
      </w:r>
      <w:r>
        <w:t xml:space="preserve">sampling model. Merely hiding evaluation labels while adapting on the evaluation inputs does not establish</w:t>
      </w:r>
      <w:r>
        <w:t xml:space="preserve"> </w:t>
      </w:r>
      <w:r>
        <w:t xml:space="preserve">this premise. Likewise, disjoint windows by themselves do not imply IID sampling or independence</w:t>
      </w:r>
      <w:r>
        <w:t xml:space="preserve"> </w:t>
      </w:r>
      <w:r>
        <w:t xml:space="preserve">across environments. The reported transductive panels are not retroactively assigned a sampling</w:t>
      </w:r>
      <w:r>
        <w:t xml:space="preserve"> </w:t>
      </w:r>
      <w:r>
        <w:t xml:space="preserve">radius.</w:t>
      </w:r>
    </w:p>
    <w:p>
      <w:pPr>
        <w:pStyle w:val="BodyText"/>
        <w:widowControl/>
      </w:pPr>
      <w:r>
        <w:t xml:space="preserve">The maintained Lean namespace</w:t>
      </w:r>
      <w:r>
        <w:t xml:space="preserve"> </w:t>
      </w:r>
      <w:r>
        <w:rPr>
          <w:rStyle w:val="VerbatimChar"/>
        </w:rPr>
        <w:t xml:space="preserve">KBound.PopulationTransfer</w:t>
      </w:r>
      <w:r>
        <w:t xml:space="preserve"> </w:t>
      </w:r>
      <w:r>
        <w:t xml:space="preserve">verifies the triangle, union-bound,</w:t>
      </w:r>
      <w:r>
        <w:t xml:space="preserve"> </w:t>
      </w:r>
      <w:r>
        <w:t xml:space="preserve">and strict-direction implications under their declared premises. Formal verification does not</w:t>
      </w:r>
      <w:r>
        <w:t xml:space="preserve"> </w:t>
      </w:r>
      <w:r>
        <w:t xml:space="preserve">verify that the empirical calibration or sampling premises hold for a dataset.</w:t>
      </w:r>
    </w:p>
    <w:p>
      <w:pPr>
        <w:pStyle w:val="BodyText"/>
        <w:widowControl/>
      </w:pPr>
      <w:r>
        <w:t xml:space="preserve">For a nonlinear score such as macro-F1, an analogous argument must first define the population</w:t>
      </w:r>
      <w:r>
        <w:t xml:space="preserve"> </w:t>
      </w:r>
      <w:r>
        <w:t xml:space="preserve">functional and a suitable sampling-error bound. Neither follows from the binary disagreement</w:t>
      </w:r>
      <w:r>
        <w:t xml:space="preserve"> </w:t>
      </w:r>
      <w:r>
        <w:t xml:space="preserve">identity. Appendix L gives a counterexample with perfect</w:t>
      </w:r>
      <w:r>
        <w:t xml:space="preserve"> </w:t>
      </w:r>
      <w:r>
        <w:t xml:space="preserve">cell-outcome coverage and negative population benefit.</w:t>
      </w:r>
    </w:p>
    <w:bookmarkEnd w:id="71"/>
    <w:bookmarkEnd w:id="72"/>
    <w:bookmarkStart w:id="92" w:name="X06f137ebc03a4152aea9c402cd600a312dbd7db"/>
    <w:p>
      <w:pPr>
        <w:pStyle w:val="Heading1"/>
        <w:widowControl/>
      </w:pPr>
      <w:r>
        <w:t xml:space="preserve">B Additional Results and Non-Promoted Studies</w:t>
      </w:r>
    </w:p>
    <w:p>
      <w:pPr>
        <w:pStyle w:val="FirstParagraph"/>
        <w:widowControl/>
      </w:pPr>
      <w:r>
        <w:t xml:space="preserve">This section preserves evidence outside the two primary protocols. Ordinary accuracy and balanced</w:t>
      </w:r>
      <w:r>
        <w:t xml:space="preserve"> </w:t>
      </w:r>
      <w:r>
        <w:t xml:space="preserve">accuracy remain separate, and no result is pooled across datasets, candidates, or protocols. The</w:t>
      </w:r>
      <w:r>
        <w:t xml:space="preserve"> </w:t>
      </w:r>
      <w:r>
        <w:t xml:space="preserve">input inventory is bound by source-manifest SHA-256 03b1d2b1e9e5ed1cf835126f871ed83eb8497a1ac81727b3955af0d69eb89742. Historical,</w:t>
      </w:r>
      <w:r>
        <w:t xml:space="preserve"> </w:t>
      </w:r>
      <w:r>
        <w:t xml:space="preserve">incomplete, and invalid studies retain their original status.</w:t>
      </w:r>
    </w:p>
    <w:bookmarkStart w:id="73" w:name="b.1-accuracy-based-diagnostic-replays"/>
    <w:p>
      <w:pPr>
        <w:pStyle w:val="Heading2"/>
        <w:widowControl/>
      </w:pPr>
      <w:r>
        <w:t xml:space="preserve">B.1 Accuracy-Based Diagnostic Replays</w:t>
      </w:r>
    </w:p>
    <w:p>
      <w:pPr>
        <w:pStyle w:val="FirstParagraph"/>
        <w:widowControl/>
      </w:pPr>
      <w:r>
        <w:rPr>
          <w:b/>
          <w:bCs/>
        </w:rPr>
        <w:t xml:space="preserve">Status: retrospective diagnostic.</w:t>
      </w:r>
    </w:p>
    <w:p>
      <w:pPr>
        <w:pStyle w:val="BodyText"/>
        <w:widowControl/>
      </w:pPr>
      <w:r>
        <w:t xml:space="preserve">Table 8 collects the remaining ordinary-accuracy replays;</w:t>
      </w:r>
      <w:r>
        <w:t xml:space="preserve"> </w:t>
      </w:r>
      <w:r>
        <w:t xml:space="preserve">the dataset-specific interpretations follow below.</w:t>
      </w:r>
    </w:p>
    <w:p>
      <w:pPr>
        <w:pStyle w:val="TableCaption"/>
        <w:widowControl/>
      </w:pPr>
      <w:r>
        <w:t xml:space="preserve">Table 8. Appendix ordinary-accuracy diagnostics. Each row is weighted over the evaluation</w:t>
      </w:r>
      <w:r>
        <w:t xml:space="preserve"> </w:t>
      </w:r>
      <w:r>
        <w:t xml:space="preserve">unit named in the table; lower regret is better. Commitment counts ADAPT or FREEZE and is not</w:t>
      </w:r>
      <w:r>
        <w:t xml:space="preserve"> </w:t>
      </w:r>
      <w:r>
        <w:t xml:space="preserve">interval coverage. The rows are retrospective or historical, not confirmatory. Office-Home’s</w:t>
      </w:r>
      <w:r>
        <w:t xml:space="preserve"> </w:t>
      </w:r>
      <w:r>
        <w:t xml:space="preserve">primary and stream-seed rows differ from its invalid five-checkpoint audit. ImageNet-C is</w:t>
      </w:r>
      <w:r>
        <w:t xml:space="preserve"> </w:t>
      </w:r>
      <w:r>
        <w:t xml:space="preserve">candidate-specific. For PACS,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denotes equal-weight domain–seed regret units, whereas the</w:t>
      </w:r>
      <w:r>
        <w:t xml:space="preserve"> </w:t>
      </w:r>
      <w:r>
        <w:t xml:space="preserve">archive contains 216 repeated action decisions.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8. Appendix ordinary-accuracy diagnostics. Each row is weighted over the evaluation unit named in the table; lower regret is better. Commitment counts ADAPT or FREEZE and is not interval coverage. The rows are retrospective or historical, not confirmatory. Office-Home’s primary and stream-seed rows differ from its invalid five-checkpoint audit. ImageNet-C is candidate-specific. For PACS, n=12 denotes equal-weight domain–seed regret units, whereas the archive contains 216 repeated action decisions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212"/>
        <w:gridCol w:w="2352"/>
        <w:gridCol w:w="837"/>
        <w:gridCol w:w="837"/>
        <w:gridCol w:w="837"/>
        <w:gridCol w:w="837"/>
        <w:gridCol w:w="837"/>
        <w:gridCol w:w="1211"/>
      </w:tblGrid>
      <w:tr>
        <w:trPr>
          <w:tblHeader w:val="true"/>
          <w:cantSplit w:val="true"/>
        </w:trPr>
        <w:tc>
          <w:tcPr>
            <w:tcW w:w="221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Protocol</w:t>
            </w:r>
          </w:p>
        </w:tc>
        <w:tc>
          <w:tcPr>
            <w:tcW w:w="235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Status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n</m:t>
              </m:r>
            </m:oMath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KGA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Adapt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Freeze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</m:oMath>
          </w:p>
        </w:tc>
        <w:tc>
          <w:tcPr>
            <w:tcW w:w="121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Commitment rate</w:t>
            </w:r>
          </w:p>
        </w:tc>
      </w:tr>
      <w:tr>
        <w:trPr>
          <w:cantSplit w:val="true"/>
        </w:trPr>
        <w:tc>
          <w:tcPr>
            <w:tcW w:w="221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Office-Home primary</w:t>
            </w:r>
          </w:p>
        </w:tc>
        <w:tc>
          <w:tcPr>
            <w:tcW w:w="235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retrospective retention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35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0.0158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0.0468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0.0158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  <w:tc>
          <w:tcPr>
            <w:tcW w:w="121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0.3143</w:t>
            </w:r>
          </w:p>
        </w:tc>
      </w:tr>
      <w:tr>
        <w:trPr>
          <w:cantSplit w:val="true"/>
        </w:trPr>
        <w:tc>
          <w:tcPr>
            <w:tcW w:w="221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Office-Home stream seeds</w:t>
            </w:r>
          </w:p>
        </w:tc>
        <w:tc>
          <w:tcPr>
            <w:tcW w:w="235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descriptive replication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54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0.0215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0.0458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0.0217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  <w:tc>
          <w:tcPr>
            <w:tcW w:w="121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0.2778</w:t>
            </w:r>
          </w:p>
        </w:tc>
      </w:tr>
      <w:tr>
        <w:trPr>
          <w:cantSplit w:val="true"/>
        </w:trPr>
        <w:tc>
          <w:tcPr>
            <w:tcW w:w="221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ImageNet-C Tent</w:t>
            </w:r>
          </w:p>
        </w:tc>
        <w:tc>
          <w:tcPr>
            <w:tcW w:w="235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candidate-specific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135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0.0154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0.0191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0.0145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0.0222</w:t>
            </w:r>
          </w:p>
        </w:tc>
        <w:tc>
          <w:tcPr>
            <w:tcW w:w="121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0.0370</w:t>
            </w:r>
          </w:p>
        </w:tc>
      </w:tr>
      <w:tr>
        <w:trPr>
          <w:cantSplit w:val="true"/>
        </w:trPr>
        <w:tc>
          <w:tcPr>
            <w:tcW w:w="221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ImageNet-C EATA</w:t>
            </w:r>
          </w:p>
        </w:tc>
        <w:tc>
          <w:tcPr>
            <w:tcW w:w="235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candidate-specific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135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0.0024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0.0001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0.0342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0.0074</w:t>
            </w:r>
          </w:p>
        </w:tc>
        <w:tc>
          <w:tcPr>
            <w:tcW w:w="121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0.8074</w:t>
            </w:r>
          </w:p>
        </w:tc>
      </w:tr>
      <w:tr>
        <w:trPr>
          <w:cantSplit w:val="true"/>
        </w:trPr>
        <w:tc>
          <w:tcPr>
            <w:tcW w:w="221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ImageNet-C SAR</w:t>
            </w:r>
          </w:p>
        </w:tc>
        <w:tc>
          <w:tcPr>
            <w:tcW w:w="235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candidate-specific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135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0.0227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0.0529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0.0319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  <w:tc>
          <w:tcPr>
            <w:tcW w:w="121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0.2741</w:t>
            </w:r>
          </w:p>
        </w:tc>
      </w:tr>
      <w:tr>
        <w:trPr>
          <w:cantSplit w:val="true"/>
        </w:trPr>
        <w:tc>
          <w:tcPr>
            <w:tcW w:w="221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PACS (aggregate)</w:t>
            </w:r>
          </w:p>
        </w:tc>
        <w:tc>
          <w:tcPr>
            <w:tcW w:w="235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partial diagnostic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0.0431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0.0176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0.0446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0.0093</w:t>
            </w:r>
          </w:p>
        </w:tc>
        <w:tc>
          <w:tcPr>
            <w:tcW w:w="121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0.8148</w:t>
            </w:r>
          </w:p>
        </w:tc>
      </w:tr>
      <w:tr>
        <w:trPr>
          <w:cantSplit w:val="true"/>
        </w:trPr>
        <w:tc>
          <w:tcPr>
            <w:tcW w:w="221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CIFAR-10.1</w:t>
            </w:r>
          </w:p>
        </w:tc>
        <w:tc>
          <w:tcPr>
            <w:tcW w:w="235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locked diagnostic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48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0.0017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0.0190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0.0017</w:t>
            </w:r>
          </w:p>
        </w:tc>
        <w:tc>
          <w:tcPr>
            <w:tcW w:w="83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  <w:tc>
          <w:tcPr>
            <w:tcW w:w="121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0.4583</w:t>
            </w:r>
          </w:p>
        </w:tc>
      </w:tr>
    </w:tbl>
    <w:bookmarkEnd w:id="73"/>
    <w:bookmarkStart w:id="74" w:name="b.2-balanced-accuracy-diagnostic-replays"/>
    <w:p>
      <w:pPr>
        <w:pStyle w:val="Heading2"/>
        <w:widowControl/>
      </w:pPr>
      <w:r>
        <w:t xml:space="preserve">B.2 Balanced-Accuracy Diagnostic Replays</w:t>
      </w:r>
    </w:p>
    <w:p>
      <w:pPr>
        <w:pStyle w:val="FirstParagraph"/>
        <w:widowControl/>
      </w:pPr>
      <w:r>
        <w:rPr>
          <w:b/>
          <w:bCs/>
        </w:rPr>
        <w:t xml:space="preserve">Status: retrospective diagnostic on a separate metric scale.</w:t>
      </w:r>
    </w:p>
    <w:p>
      <w:pPr>
        <w:pStyle w:val="BodyText"/>
        <w:widowControl/>
      </w:pPr>
      <w:r>
        <w:t xml:space="preserve">Table 9 reports the balanced-accuracy replays on their own</w:t>
      </w:r>
      <w:r>
        <w:t xml:space="preserve"> </w:t>
      </w:r>
      <w:r>
        <w:t xml:space="preserve">metric scale, with each recorded candidate and evaluation unit kept distinct.</w:t>
      </w:r>
    </w:p>
    <w:p>
      <w:pPr>
        <w:pStyle w:val="TableCaption"/>
        <w:widowControl/>
      </w:pPr>
      <w:r>
        <w:t xml:space="preserve">Table 9. Appendix balanced-accuracy diagnostics; lower regret is better. Each row uses the</w:t>
      </w:r>
      <w:r>
        <w:t xml:space="preserve"> </w:t>
      </w:r>
      <w:r>
        <w:t xml:space="preserve">evaluation-cell weighting recorded by its protocol. The archived contracts name balanced accuracy</w:t>
      </w:r>
      <w:r>
        <w:t xml:space="preserve"> </w:t>
      </w:r>
      <w:r>
        <w:t xml:space="preserve">for Camelyon17, ImageNet-R, and RxRx1; equality with ordinary accuracy can occur only under recorded</w:t>
      </w:r>
      <w:r>
        <w:t xml:space="preserve"> </w:t>
      </w:r>
      <w:r>
        <w:t xml:space="preserve">class balance. ImageNet-R averages candidate backbones rather than one deployed gate. Camelyon17</w:t>
      </w:r>
      <w:r>
        <w:t xml:space="preserve"> </w:t>
      </w:r>
      <w:r>
        <w:t xml:space="preserve">OOD was opened, its B–v2 rows are separate within-seed diagnostics, and the displayed RxRx1 row is</w:t>
      </w:r>
      <w:r>
        <w:t xml:space="preserve"> </w:t>
      </w:r>
      <w:r>
        <w:t xml:space="preserve">model seed 0. No interval or confirmatory claim is attached to this table.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9. Appendix balanced-accuracy diagnostics; lower regret is better. Each row uses the evaluation-cell weighting recorded by its protocol. The archived contracts name balanced accuracy for Camelyon17, ImageNet-R, and RxRx1; equality with ordinary accuracy can occur only under recorded class balance. ImageNet-R averages candidate backbones rather than one deployed gate. Camelyon17 OOD was opened, its B–v2 rows are separate within-seed diagnostics, and the displayed RxRx1 row is model seed 0. No interval or confirmatory claim is attached to this tabl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236"/>
        <w:gridCol w:w="2149"/>
        <w:gridCol w:w="863"/>
        <w:gridCol w:w="863"/>
        <w:gridCol w:w="863"/>
        <w:gridCol w:w="863"/>
        <w:gridCol w:w="863"/>
        <w:gridCol w:w="1260"/>
      </w:tblGrid>
      <w:tr>
        <w:trPr>
          <w:tblHeader w:val="true"/>
          <w:cantSplit w:val="true"/>
        </w:trPr>
        <w:tc>
          <w:tcPr>
            <w:tcW w:w="223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Protocol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Status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n</m:t>
              </m:r>
            </m:oMath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KGA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Adapt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Freeze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</m:oMath>
          </w:p>
        </w:tc>
        <w:tc>
          <w:tcPr>
            <w:tcW w:w="12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Commitment rate</w:t>
            </w:r>
          </w:p>
        </w:tc>
      </w:tr>
      <w:tr>
        <w:trPr>
          <w:cantSplit w:val="true"/>
        </w:trPr>
        <w:tc>
          <w:tcPr>
            <w:tcW w:w="223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ImageNet-R backbones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architecture panel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480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0.0137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0.0064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0.0325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0.0125</w:t>
            </w:r>
          </w:p>
        </w:tc>
        <w:tc>
          <w:tcPr>
            <w:tcW w:w="12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0.4437</w:t>
            </w:r>
          </w:p>
        </w:tc>
      </w:tr>
      <w:tr>
        <w:trPr>
          <w:cantSplit w:val="true"/>
        </w:trPr>
        <w:tc>
          <w:tcPr>
            <w:tcW w:w="223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Camelyon17 OOD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opened one-sided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18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0.1381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  <w:tc>
          <w:tcPr>
            <w:tcW w:w="12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1.0000</w:t>
            </w:r>
          </w:p>
        </w:tc>
      </w:tr>
      <w:tr>
        <w:trPr>
          <w:cantSplit w:val="true"/>
        </w:trPr>
        <w:tc>
          <w:tcPr>
            <w:tcW w:w="223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Camelyon17 B–v2 Tent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opened diagnostic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108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0.0446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0.0097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0.0820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  <w:tc>
          <w:tcPr>
            <w:tcW w:w="12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0.2500</w:t>
            </w:r>
          </w:p>
        </w:tc>
      </w:tr>
      <w:tr>
        <w:trPr>
          <w:cantSplit w:val="true"/>
        </w:trPr>
        <w:tc>
          <w:tcPr>
            <w:tcW w:w="223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Camelyon17 B–v2 EATA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opened diagnostic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108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0.0260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0.0040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0.0911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0.0278</w:t>
            </w:r>
          </w:p>
        </w:tc>
        <w:tc>
          <w:tcPr>
            <w:tcW w:w="12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0.4722</w:t>
            </w:r>
          </w:p>
        </w:tc>
      </w:tr>
      <w:tr>
        <w:trPr>
          <w:cantSplit w:val="true"/>
        </w:trPr>
        <w:tc>
          <w:tcPr>
            <w:tcW w:w="223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Camelyon17 B–v2 SAR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opened diagnostic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108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0.0289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0.0016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0.1001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0.0093</w:t>
            </w:r>
          </w:p>
        </w:tc>
        <w:tc>
          <w:tcPr>
            <w:tcW w:w="12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0.4815</w:t>
            </w:r>
          </w:p>
        </w:tc>
      </w:tr>
      <w:tr>
        <w:trPr>
          <w:cantSplit w:val="true"/>
        </w:trPr>
        <w:tc>
          <w:tcPr>
            <w:tcW w:w="223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RxRx1 model seed 0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retention diagnostic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0.2531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  <w:tc>
          <w:tcPr>
            <w:tcW w:w="86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  <w:tc>
          <w:tcPr>
            <w:tcW w:w="12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1.0000</w:t>
            </w:r>
          </w:p>
        </w:tc>
      </w:tr>
    </w:tbl>
    <w:bookmarkEnd w:id="74"/>
    <w:bookmarkStart w:id="75" w:name="b.3-large-scale-corruption-imagenet-c"/>
    <w:p>
      <w:pPr>
        <w:pStyle w:val="Heading2"/>
        <w:widowControl/>
      </w:pPr>
      <w:r>
        <w:t xml:space="preserve">B.3 Large-Scale Corruption: ImageNet-C</w:t>
      </w:r>
    </w:p>
    <w:p>
      <w:pPr>
        <w:pStyle w:val="FirstParagraph"/>
        <w:widowControl/>
      </w:pPr>
      <w:r>
        <w:rPr>
          <w:b/>
          <w:bCs/>
        </w:rPr>
        <w:t xml:space="preserve">Status: retrospective candidate-specific diagnostic.</w:t>
      </w:r>
    </w:p>
    <w:p>
      <w:pPr>
        <w:pStyle w:val="BodyText"/>
        <w:widowControl/>
      </w:pPr>
      <w:r>
        <w:t xml:space="preserve">ImageNet-C is candidate-dependent. At the regenerated cross-fit authority, SAR has</w:t>
      </w:r>
      <w:r>
        <w:t xml:space="preserve"> </w:t>
      </w:r>
      <w:r>
        <w:t xml:space="preserve">KGA/adapt/freeze regrets</w:t>
      </w:r>
      <w:r>
        <w:t xml:space="preserve"> </w:t>
      </w:r>
      <m:oMath>
        <m:r>
          <m:t>0.0227</m:t>
        </m:r>
      </m:oMath>
      <w:r>
        <w:t xml:space="preserve">/</w:t>
      </w:r>
      <m:oMath>
        <m:r>
          <m:t>0.0529</m:t>
        </m:r>
      </m:oMath>
      <w:r>
        <w:t xml:space="preserve">/</w:t>
      </w:r>
      <m:oMath>
        <m:r>
          <m:t>0.0319</m:t>
        </m:r>
      </m:oMath>
      <w:r>
        <w:t xml:space="preserve"> </w:t>
      </w:r>
      <w:r>
        <w:t xml:space="preserve">and 28/9/98 A/F/U decisions. It has a</w:t>
      </w:r>
      <w:r>
        <w:t xml:space="preserve"> </w:t>
      </w:r>
      <w:r>
        <w:t xml:space="preserve">point advantage over both fixed policies and no false adaptation among 135 cells, but no</w:t>
      </w:r>
      <w:r>
        <w:t xml:space="preserve"> </w:t>
      </w:r>
      <w:r>
        <w:t xml:space="preserve">seed-robust inferential support. Tent has regrets</w:t>
      </w:r>
      <w:r>
        <w:t xml:space="preserve"> </w:t>
      </w:r>
      <m:oMath>
        <m:r>
          <m:t>0.0154</m:t>
        </m:r>
      </m:oMath>
      <w:r>
        <w:t xml:space="preserve">/</w:t>
      </w:r>
      <m:oMath>
        <m:r>
          <m:t>0.0191</m:t>
        </m:r>
      </m:oMath>
      <w:r>
        <w:t xml:space="preserve">/</w:t>
      </w:r>
      <m:oMath>
        <m:r>
          <m:t>0.0145</m:t>
        </m:r>
      </m:oMath>
      <w:r>
        <w:t xml:space="preserve"> </w:t>
      </w:r>
      <w:r>
        <w:t xml:space="preserve">and 3/2/130</w:t>
      </w:r>
      <w:r>
        <w:t xml:space="preserve"> </w:t>
      </w:r>
      <w:r>
        <w:t xml:space="preserve">decisions; all three ADAPT decisions are false adaptations. EATA has regrets</w:t>
      </w:r>
      <w:r>
        <w:t xml:space="preserve"> </w:t>
      </w:r>
      <m:oMath>
        <m:r>
          <m:t>0.0024</m:t>
        </m:r>
      </m:oMath>
      <w:r>
        <w:t xml:space="preserve">/</w:t>
      </w:r>
      <m:oMath>
        <m:r>
          <m:t>0.0001</m:t>
        </m:r>
      </m:oMath>
      <w:r>
        <w:t xml:space="preserve">/</w:t>
      </w:r>
      <m:oMath>
        <m:r>
          <m:t>0.0342</m:t>
        </m:r>
      </m:oMath>
      <w:r>
        <w:t xml:space="preserve"> </w:t>
      </w:r>
      <w:r>
        <w:t xml:space="preserve">and 108/1/26 decisions, including one false adaptation. These rows</w:t>
      </w:r>
      <w:r>
        <w:t xml:space="preserve"> </w:t>
      </w:r>
      <w:r>
        <w:t xml:space="preserve">support candidate-level diagnosis, not a dataset-wide success label. The main paper discloses the</w:t>
      </w:r>
      <w:r>
        <w:t xml:space="preserve"> </w:t>
      </w:r>
      <w:r>
        <w:t xml:space="preserve">nonstandard SAR operating point and the absence of an official-setting control.</w:t>
      </w:r>
    </w:p>
    <w:bookmarkEnd w:id="75"/>
    <w:bookmarkStart w:id="78" w:name="b.4-office-home"/>
    <w:p>
      <w:pPr>
        <w:pStyle w:val="Heading2"/>
        <w:widowControl/>
      </w:pPr>
      <w:r>
        <w:t xml:space="preserve">B.4 Office-Home</w:t>
      </w:r>
    </w:p>
    <w:p>
      <w:pPr>
        <w:pStyle w:val="FirstParagraph"/>
        <w:widowControl/>
      </w:pPr>
      <w:r>
        <w:rPr>
          <w:b/>
          <w:bCs/>
        </w:rPr>
        <w:t xml:space="preserve">Status: retrospective diagnostic; the five-checkpoint route is invalid.</w:t>
      </w:r>
    </w:p>
    <w:bookmarkStart w:id="76" w:name="b.4.1-valid-descriptive-records"/>
    <w:p>
      <w:pPr>
        <w:pStyle w:val="Heading3"/>
        <w:widowControl/>
      </w:pPr>
      <w:r>
        <w:t xml:space="preserve">B.4.1 Valid Descriptive Records</w:t>
      </w:r>
    </w:p>
    <w:p>
      <w:pPr>
        <w:pStyle w:val="FirstParagraph"/>
        <w:widowControl/>
      </w:pPr>
      <w:r>
        <w:t xml:space="preserve">The primary Office-Home row [29] is conservative. KGA regret is</w:t>
      </w:r>
      <w:r>
        <w:t xml:space="preserve"> </w:t>
      </w:r>
      <m:oMath>
        <m:r>
          <m:t>0.0158</m:t>
        </m:r>
      </m:oMath>
      <w:r>
        <w:t xml:space="preserve">, tying always-freeze</w:t>
      </w:r>
      <w:r>
        <w:t xml:space="preserve"> </w:t>
      </w:r>
      <w:r>
        <w:t xml:space="preserve">(</w:t>
      </w:r>
      <m:oMath>
        <m:r>
          <m:t>0.0158</m:t>
        </m:r>
      </m:oMath>
      <w:r>
        <w:t xml:space="preserve">) and below always-adapt (</w:t>
      </w:r>
      <m:oMath>
        <m:r>
          <m:t>0.0468</m:t>
        </m:r>
      </m:oMath>
      <w:r>
        <w:t xml:space="preserve">), 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adapt decisions. This is a</w:t>
      </w:r>
      <w:r>
        <w:t xml:space="preserve"> </w:t>
      </w:r>
      <w:r>
        <w:t xml:space="preserve">descriptive point-estimate match that evaluates conservative retention rather than selective</w:t>
      </w:r>
      <w:r>
        <w:t xml:space="preserve"> </w:t>
      </w:r>
      <w:r>
        <w:t xml:space="preserve">routing. The archived protocol does not supply a predeclared uniform stability guarantee for the</w:t>
      </w:r>
      <w:r>
        <w:t xml:space="preserve"> </w:t>
      </w:r>
      <w:r>
        <w:t xml:space="preserve">full-fit versus out-of-fold benefit predictor.</w:t>
      </w:r>
    </w:p>
    <w:p>
      <w:pPr>
        <w:pStyle w:val="BodyText"/>
        <w:widowControl/>
      </w:pPr>
      <w:r>
        <w:t xml:space="preserve">The 54-cell Office-Home stream-seed replication in Table 8 has KGA regret</w:t>
      </w:r>
      <w:r>
        <w:t xml:space="preserve"> </w:t>
      </w:r>
      <m:oMath>
        <m:r>
          <m:t>0.0215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0.0458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0.0217</m:t>
        </m:r>
      </m:oMath>
      <w:r>
        <w:t xml:space="preserve">, a small point advantage relative to each fixed</w:t>
      </w:r>
      <w:r>
        <w:t xml:space="preserve"> </w:t>
      </w:r>
      <w:r>
        <w:t xml:space="preserve">policy. The three stream seeds reuse the archived source checkpoint. The descriptive</w:t>
      </w:r>
      <w:r>
        <w:t xml:space="preserve"> </w:t>
      </w:r>
      <w:r>
        <w:t xml:space="preserve">seed-bootstrap interval for improvement over always-freeze includes zero; the entire point</w:t>
      </w:r>
      <w:r>
        <w:t xml:space="preserve"> </w:t>
      </w:r>
      <w:r>
        <w:t xml:space="preserve">gain comes from one ADAPT decision among 54 cells. This is not an interval-supported</w:t>
      </w:r>
      <w:r>
        <w:t xml:space="preserve"> </w:t>
      </w:r>
      <w:r>
        <w:t xml:space="preserve">beats-both claim.</w:t>
      </w:r>
    </w:p>
    <w:p>
      <w:pPr>
        <w:pStyle w:val="TableCaption"/>
        <w:widowControl/>
      </w:pPr>
      <w:r>
        <w:t xml:space="preserve">Table 10. Historical Office-Home diagnostics with equal weight per recorded condition; lower</w:t>
      </w:r>
      <w:r>
        <w:t xml:space="preserve"> </w:t>
      </w:r>
      <w:r>
        <w:t xml:space="preserve">accuracy regret is better. The rows are separate experiments. The stream-seed replay uses a fixed</w:t>
      </w:r>
      <w:r>
        <w:t xml:space="preserve"> </w:t>
      </w:r>
      <w:r>
        <w:t xml:space="preserve">SAR candidate. The five-checkpoint route is invalid, so only its post-hoc fixed-SAR opportunity</w:t>
      </w:r>
      <w:r>
        <w:t xml:space="preserve"> </w:t>
      </w:r>
      <w:r>
        <w:t xml:space="preserve">regret (</w:t>
      </w:r>
      <m:oMath>
        <m:r>
          <m:t>.0027</m:t>
        </m:r>
      </m:oMath>
      <w:r>
        <w:t xml:space="preserve">) and freeze regret (</w:t>
      </w:r>
      <m:oMath>
        <m:r>
          <m:t>.0230</m:t>
        </m:r>
      </m:oMath>
      <w:r>
        <w:t xml:space="preserve">) remain; its actions have no routing or interval-support</w:t>
      </w:r>
      <w:r>
        <w:t xml:space="preserve"> </w:t>
      </w:r>
      <w:r>
        <w:t xml:space="preserve">meaning. A/F/U denotes ADAPT/FREEZE/ABSTAIN. No interval-supported claim is made.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10. Historical Office-Home diagnostics with equal weight per recorded condition; lower accuracy regret is better. The rows are separate experiments. The stream-seed replay uses a fixed SAR candidate. The five-checkpoint route is invalid, so only its post-hoc fixed-SAR opportunity regret (.0027) and freeze regret (.0230) remain; its actions have no routing or interval-support meaning. A/F/U denotes ADAPT/FREEZE/ABSTAIN. No interval-supported claim is mad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4083"/>
        <w:gridCol w:w="1124"/>
        <w:gridCol w:w="3628"/>
        <w:gridCol w:w="1125"/>
      </w:tblGrid>
      <w:tr>
        <w:trPr>
          <w:tblHeader w:val="true"/>
          <w:cantSplit w:val="true"/>
        </w:trPr>
        <w:tc>
          <w:tcPr>
            <w:tcW w:w="40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Protocol</w:t>
            </w:r>
          </w:p>
        </w:tc>
        <w:tc>
          <w:tcPr>
            <w:tcW w:w="11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n</m:t>
              </m:r>
            </m:oMath>
          </w:p>
        </w:tc>
        <w:tc>
          <w:tcPr>
            <w:tcW w:w="36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Router / Adapt / Freeze</w:t>
            </w:r>
          </w:p>
        </w:tc>
        <w:tc>
          <w:tcPr>
            <w:tcW w:w="112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A/F/U</w:t>
            </w:r>
          </w:p>
        </w:tc>
      </w:tr>
      <w:tr>
        <w:trPr>
          <w:cantSplit w:val="true"/>
        </w:trPr>
        <w:tc>
          <w:tcPr>
            <w:tcW w:w="40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Archived stream-seed replay</w:t>
            </w:r>
          </w:p>
        </w:tc>
        <w:tc>
          <w:tcPr>
            <w:tcW w:w="11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54</w:t>
            </w:r>
          </w:p>
        </w:tc>
        <w:tc>
          <w:tcPr>
            <w:tcW w:w="36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.0215 / .0458 / .0217</w:t>
            </w:r>
          </w:p>
        </w:tc>
        <w:tc>
          <w:tcPr>
            <w:tcW w:w="112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1/14/39</w:t>
            </w:r>
          </w:p>
        </w:tc>
      </w:tr>
      <w:tr>
        <w:trPr>
          <w:cantSplit w:val="true"/>
        </w:trPr>
        <w:tc>
          <w:tcPr>
            <w:tcW w:w="40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Five-checkpoint candidate audit</w:t>
            </w:r>
          </w:p>
        </w:tc>
        <w:tc>
          <w:tcPr>
            <w:tcW w:w="11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15</w:t>
            </w:r>
          </w:p>
        </w:tc>
        <w:tc>
          <w:tcPr>
            <w:tcW w:w="362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invalid / .0027 / .0230</w:t>
            </w:r>
          </w:p>
        </w:tc>
        <w:tc>
          <w:tcPr>
            <w:tcW w:w="112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n/a</w:t>
            </w:r>
          </w:p>
        </w:tc>
      </w:tr>
    </w:tbl>
    <w:bookmarkEnd w:id="76"/>
    <w:bookmarkStart w:id="77" w:name="b.4.2-invalid-five-checkpoint-route"/>
    <w:p>
      <w:pPr>
        <w:pStyle w:val="Heading3"/>
        <w:widowControl/>
      </w:pPr>
      <w:r>
        <w:t xml:space="preserve">B.4.2 Invalid Five-Checkpoint Route</w:t>
      </w:r>
    </w:p>
    <w:p>
      <w:pPr>
        <w:pStyle w:val="FirstParagraph"/>
        <w:widowControl/>
      </w:pPr>
      <w:r>
        <w:t xml:space="preserve">The post-hoc five-checkpoint Office-Home study is a candidate opportunity audit, not a valid KGA</w:t>
      </w:r>
      <w:r>
        <w:t xml:space="preserve"> </w:t>
      </w:r>
      <w:r>
        <w:t xml:space="preserve">result. It uses five independently trained source checkpoints, the three target-test domains, one</w:t>
      </w:r>
      <w:r>
        <w:t xml:space="preserve"> </w:t>
      </w:r>
      <w:r>
        <w:t xml:space="preserve">fixed IID/tiny condition, and Tent, EATA, and SAR. Checkpoint identity passed, but routing and</w:t>
      </w:r>
      <w:r>
        <w:t xml:space="preserve"> </w:t>
      </w:r>
      <w:r>
        <w:t xml:space="preserve">serialization did not. The identifying agreement relation is binary-only and does not apply to the</w:t>
      </w:r>
      <w:r>
        <w:t xml:space="preserve"> </w:t>
      </w:r>
      <w:r>
        <w:t xml:space="preserve">65-class task; the old spectral estimate was sign-indeterminate and unbounded. Thirteen of 15</w:t>
      </w:r>
      <w:r>
        <w:t xml:space="preserve"> </w:t>
      </w:r>
      <w:r>
        <w:t xml:space="preserve">anchors were negative, 9 of 60 stored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values fell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EATA and SAR</w:t>
      </w:r>
      <w:r>
        <w:t xml:space="preserve"> </w:t>
      </w:r>
      <w:r>
        <w:t xml:space="preserve">produced exactly the same predictions in 10 of 15 cells. The historical leave-one-out audit has</w:t>
      </w:r>
      <w:r>
        <w:t xml:space="preserve"> </w:t>
      </w:r>
      <w:r>
        <w:t xml:space="preserve">only three cells per checkpoint,</w:t>
      </w:r>
      <w:r>
        <w:t xml:space="preserve"> </w:t>
      </w:r>
      <w:r>
        <w:t xml:space="preserve">whereas a 90% empirical order-statistic single-candidate radius requires at least 10 total cells. All five result</w:t>
      </w:r>
      <w:r>
        <w:t xml:space="preserve"> </w:t>
      </w:r>
      <w:r>
        <w:t xml:space="preserve">files fail strict JSON and contain 57 literal</w:t>
      </w:r>
      <w:r>
        <w:t xml:space="preserve"> </w:t>
      </w:r>
      <w:r>
        <w:rPr>
          <w:rStyle w:val="VerbatimChar"/>
        </w:rPr>
        <w:t xml:space="preserve">Infinity</w:t>
      </w:r>
      <w:r>
        <w:t xml:space="preserve"> </w:t>
      </w:r>
      <w:r>
        <w:t xml:space="preserve">values in total.</w:t>
      </w:r>
    </w:p>
    <w:p>
      <w:pPr>
        <w:pStyle w:val="BodyText"/>
        <w:widowControl/>
      </w:pPr>
      <w:r>
        <w:t xml:space="preserve">The archived exploratory implementation printed ABSTAIN in all 15 cells, but those outputs</w:t>
      </w:r>
      <w:r>
        <w:t xml:space="preserve"> </w:t>
      </w:r>
      <w:r>
        <w:t xml:space="preserve">have no safety, routing, or interval-support meaning. The valid descriptive quantities are checkpoint</w:t>
      </w:r>
      <w:r>
        <w:t xml:space="preserve"> </w:t>
      </w:r>
      <w:r>
        <w:t xml:space="preserve">accuracies and candidate opportunity: freeze is</w:t>
      </w:r>
      <w:r>
        <w:t xml:space="preserve"> </w:t>
      </w:r>
      <m:oMath>
        <m:r>
          <m:t>0.5711</m:t>
        </m:r>
      </m:oMath>
      <w:r>
        <w:t xml:space="preserve">, SAR is</w:t>
      </w:r>
      <w:r>
        <w:t xml:space="preserve"> </w:t>
      </w:r>
      <m:oMath>
        <m:r>
          <m:t>0.5914</m:t>
        </m:r>
      </m:oMath>
      <w:r>
        <w:t xml:space="preserve">, their paired difference</w:t>
      </w:r>
      <w:r>
        <w:t xml:space="preserve"> </w:t>
      </w:r>
      <w:r>
        <w:t xml:space="preserve">is</w:t>
      </w:r>
      <w:r>
        <w:t xml:space="preserve"> </w:t>
      </w:r>
      <m:oMath>
        <m:r>
          <m:t>0.0203</m:t>
        </m:r>
      </m:oMath>
      <w:r>
        <w:t xml:space="preserve"> </w:t>
      </w:r>
      <w:r>
        <w:t xml:space="preserve">(nominal post-hoc 95%</w:t>
      </w:r>
      <w:r>
        <w:t xml:space="preserve"> </w:t>
      </w:r>
      <m:oMath>
        <m:r>
          <m:t>t</m:t>
        </m:r>
      </m:oMath>
      <w:r>
        <w:t xml:space="preserve">-interval</w:t>
      </w:r>
      <w:r>
        <w:t xml:space="preserve"> </w:t>
      </w:r>
      <m:oMath>
        <m:r>
          <m:rPr>
            <m:sty m:val="p"/>
          </m:rPr>
          <m:t>[</m:t>
        </m:r>
        <m:r>
          <m:t>0.0123</m:t>
        </m:r>
        <m:r>
          <m:rPr>
            <m:sty m:val="p"/>
          </m:rPr>
          <m:t>,</m:t>
        </m:r>
        <m:r>
          <m:t>0.0283</m:t>
        </m:r>
        <m:r>
          <m:rPr>
            <m:sty m:val="p"/>
          </m:rPr>
          <m:t>]</m:t>
        </m:r>
      </m:oMath>
      <w:r>
        <w:t xml:space="preserve">), and the per-cell oracle is</w:t>
      </w:r>
      <w:r>
        <w:t xml:space="preserve"> </w:t>
      </w:r>
      <m:oMath>
        <m:r>
          <m:t>0.5941</m:t>
        </m:r>
      </m:oMath>
      <w:r>
        <w:t xml:space="preserve">. Oracle minus SAR is</w:t>
      </w:r>
      <w:r>
        <w:t xml:space="preserve"> </w:t>
      </w:r>
      <m:oMath>
        <m:r>
          <m:t>0.0027</m:t>
        </m:r>
      </m:oMath>
      <w:r>
        <w:t xml:space="preserve"> </w:t>
      </w:r>
      <w:r>
        <w:t xml:space="preserve">(nominal post-hoc 95%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0.0024</m:t>
        </m:r>
        <m:r>
          <m:rPr>
            <m:sty m:val="p"/>
          </m:rPr>
          <m:t>,</m:t>
        </m:r>
        <m:r>
          <m:t>0.0077</m:t>
        </m:r>
        <m:r>
          <m:rPr>
            <m:sty m:val="p"/>
          </m:rPr>
          <m:t>]</m:t>
        </m:r>
      </m:oMath>
      <w:r>
        <w:t xml:space="preserve">).</w:t>
      </w:r>
      <w:r>
        <w:t xml:space="preserve"> </w:t>
      </w:r>
      <w:r>
        <w:t xml:space="preserve">The best adapted candidate improves over freeze</w:t>
      </w:r>
      <w:r>
        <w:t xml:space="preserve"> </w:t>
      </w:r>
      <w:r>
        <w:t xml:space="preserve">in 13 cells, ties in one, and harms in one. Because the target was already opened and SAR was chosen</w:t>
      </w:r>
      <w:r>
        <w:t xml:space="preserve"> </w:t>
      </w:r>
      <w:r>
        <w:t xml:space="preserve">after comparing the audit means, these statistics are post-hoc opportunity evidence only.</w:t>
      </w:r>
    </w:p>
    <w:bookmarkEnd w:id="77"/>
    <w:bookmarkEnd w:id="78"/>
    <w:bookmarkStart w:id="79" w:name="b.5-camelyon17"/>
    <w:p>
      <w:pPr>
        <w:pStyle w:val="Heading2"/>
        <w:widowControl/>
      </w:pPr>
      <w:r>
        <w:t xml:space="preserve">B.5 Camelyon17</w:t>
      </w:r>
    </w:p>
    <w:p>
      <w:pPr>
        <w:pStyle w:val="FirstParagraph"/>
        <w:widowControl/>
      </w:pPr>
      <w:r>
        <w:rPr>
          <w:b/>
          <w:bCs/>
        </w:rPr>
        <w:t xml:space="preserve">Status: opened, one-sided retrospective diagnostic.</w:t>
      </w:r>
    </w:p>
    <w:p>
      <w:pPr>
        <w:pStyle w:val="BodyText"/>
        <w:widowControl/>
      </w:pPr>
      <w:r>
        <w:t xml:space="preserve">The archived Camelyon17 OOD evaluation [26] gives zero KGA and always-adapt</w:t>
      </w:r>
      <w:r>
        <w:t xml:space="preserve"> </w:t>
      </w:r>
      <w:r>
        <w:t xml:space="preserve">regret, versus</w:t>
      </w:r>
      <w:r>
        <w:t xml:space="preserve"> </w:t>
      </w:r>
      <m:oMath>
        <m:r>
          <m:t>0.1381</m:t>
        </m:r>
      </m:oMath>
      <w:r>
        <w:t xml:space="preserve"> </w:t>
      </w:r>
      <w:r>
        <w:t xml:space="preserve">for freeze. All 18 cells are helpful. This opened panel is therefore a</w:t>
      </w:r>
      <w:r>
        <w:t xml:space="preserve"> </w:t>
      </w:r>
      <w:r>
        <w:t xml:space="preserve">one-sided descriptive diagnostic, not prospective evidence of selective routing. The B–v2</w:t>
      </w:r>
      <w:r>
        <w:t xml:space="preserve"> </w:t>
      </w:r>
      <w:r>
        <w:t xml:space="preserve">within-seed diagnostics are separate. Their regenerated Tent/EATA/SAR KGA regrets are</w:t>
      </w:r>
      <w:r>
        <w:t xml:space="preserve"> </w:t>
      </w:r>
      <m:oMath>
        <m:r>
          <m:t>0.0446</m:t>
        </m:r>
      </m:oMath>
      <w:r>
        <w:t xml:space="preserve">/</w:t>
      </w:r>
      <m:oMath>
        <m:r>
          <m:t>0.0260</m:t>
        </m:r>
      </m:oMath>
      <w:r>
        <w:t xml:space="preserve">/</w:t>
      </w:r>
      <m:oMath>
        <m:r>
          <m:t>0.0289</m:t>
        </m:r>
      </m:oMath>
      <w:r>
        <w:t xml:space="preserve">, versus always-adapt regrets</w:t>
      </w:r>
      <w:r>
        <w:t xml:space="preserve"> </w:t>
      </w:r>
      <m:oMath>
        <m:r>
          <m:t>0.0097</m:t>
        </m:r>
      </m:oMath>
      <w:r>
        <w:t xml:space="preserve">/</w:t>
      </w:r>
      <m:oMath>
        <m:r>
          <m:t>0.0040</m:t>
        </m:r>
      </m:oMath>
      <w:r>
        <w:t xml:space="preserve">/</w:t>
      </w:r>
      <m:oMath>
        <m:r>
          <m:t>0.0016</m:t>
        </m:r>
      </m:oMath>
      <w:r>
        <w:t xml:space="preserve"> </w:t>
      </w:r>
      <w:r>
        <w:t xml:space="preserve">and always-freeze regrets</w:t>
      </w:r>
      <w:r>
        <w:t xml:space="preserve"> </w:t>
      </w:r>
      <m:oMath>
        <m:r>
          <m:t>0.0820</m:t>
        </m:r>
      </m:oMath>
      <w:r>
        <w:t xml:space="preserve">/</w:t>
      </w:r>
      <m:oMath>
        <m:r>
          <m:t>0.0911</m:t>
        </m:r>
      </m:oMath>
      <w:r>
        <w:t xml:space="preserve">/</w:t>
      </w:r>
      <m:oMath>
        <m:r>
          <m:t>0.1001</m:t>
        </m:r>
      </m:oMath>
      <w:r>
        <w:t xml:space="preserve">. None has lower regret than both fixed policies. The three run seeds do</w:t>
      </w:r>
      <w:r>
        <w:t xml:space="preserve"> </w:t>
      </w:r>
      <w:r>
        <w:t xml:space="preserve">not identify</w:t>
      </w:r>
      <w:r>
        <w:t xml:space="preserve"> </w:t>
      </w:r>
      <w:r>
        <w:t xml:space="preserve">independently trained checkpoints, and the target was already open. These rows remain stress</w:t>
      </w:r>
      <w:r>
        <w:t xml:space="preserve"> </w:t>
      </w:r>
      <w:r>
        <w:t xml:space="preserve">diagnostics, not untouched hospital-domain evidence.</w:t>
      </w:r>
    </w:p>
    <w:bookmarkEnd w:id="79"/>
    <w:bookmarkStart w:id="80" w:name="b.6-rxrx1"/>
    <w:p>
      <w:pPr>
        <w:pStyle w:val="Heading2"/>
        <w:widowControl/>
      </w:pPr>
      <w:r>
        <w:t xml:space="preserve">B.6 RxRx1</w:t>
      </w:r>
    </w:p>
    <w:p>
      <w:pPr>
        <w:pStyle w:val="FirstParagraph"/>
        <w:widowControl/>
      </w:pPr>
      <w:r>
        <w:rPr>
          <w:b/>
          <w:bCs/>
        </w:rPr>
        <w:t xml:space="preserve">Status: retrospective retention diagnostic.</w:t>
      </w:r>
    </w:p>
    <w:p>
      <w:pPr>
        <w:pStyle w:val="BodyText"/>
        <w:widowControl/>
      </w:pPr>
      <w:r>
        <w:t xml:space="preserve">The displayed RxRx1 row [27] is model seed 0: KGA and freeze regret are zero against</w:t>
      </w:r>
      <w:r>
        <w:t xml:space="preserve"> </w:t>
      </w:r>
      <m:oMath>
        <m:r>
          <m:t>0.2531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always-adapt, with no adapt decisions. A separate audit across three independently trained model</w:t>
      </w:r>
      <w:r>
        <w:t xml:space="preserve"> </w:t>
      </w:r>
      <w:r>
        <w:t xml:space="preserve">checkpoints repeats the same all-freeze tie. It strengthens model-variation reproducibility but</w:t>
      </w:r>
      <w:r>
        <w:t xml:space="preserve"> </w:t>
      </w:r>
      <w:r>
        <w:t xml:space="preserve">adds no adapt exposure. RxRx1 therefore evaluates reproducible conservative retention rather than</w:t>
      </w:r>
      <w:r>
        <w:t xml:space="preserve"> </w:t>
      </w:r>
      <w:r>
        <w:t xml:space="preserve">selective routing.</w:t>
      </w:r>
    </w:p>
    <w:bookmarkEnd w:id="80"/>
    <w:bookmarkStart w:id="81" w:name="b.7-iwildcam"/>
    <w:p>
      <w:pPr>
        <w:pStyle w:val="Heading2"/>
        <w:widowControl/>
      </w:pPr>
      <w:r>
        <w:t xml:space="preserve">B.7 iWildCam</w:t>
      </w:r>
    </w:p>
    <w:p>
      <w:pPr>
        <w:pStyle w:val="FirstParagraph"/>
        <w:widowControl/>
      </w:pPr>
      <w:r>
        <w:rPr>
          <w:b/>
          <w:bCs/>
        </w:rPr>
        <w:t xml:space="preserve">Status: invalid current metric contract; no canonical numerical row.</w:t>
      </w:r>
    </w:p>
    <w:p>
      <w:pPr>
        <w:pStyle w:val="BodyText"/>
        <w:widowControl/>
      </w:pPr>
      <w:r>
        <w:t xml:space="preserve">iWildCam [25] is not assigned a canonical numerical row. The archived scorer used sklearn macro-F1,</w:t>
      </w:r>
      <w:r>
        <w:t xml:space="preserve"> </w:t>
      </w:r>
      <w:r>
        <w:t xml:space="preserve">which averages prediction-only classes, rather than the official WILDS metric, which averages labels</w:t>
      </w:r>
      <w:r>
        <w:t xml:space="preserve"> </w:t>
      </w:r>
      <w:r>
        <w:t xml:space="preserve">present in the target truth. The archived runtime, sample identities, and target population were not</w:t>
      </w:r>
      <w:r>
        <w:t xml:space="preserve"> </w:t>
      </w:r>
      <w:r>
        <w:t xml:space="preserve">sealed under the current contract, so its diagnostic scores and routing actions remain audit-only.</w:t>
      </w:r>
      <w:r>
        <w:t xml:space="preserve"> </w:t>
      </w:r>
      <w:r>
        <w:t xml:space="preserve">A pinned rerun with the official metric, sealed sample identifiers, and a population hash is required</w:t>
      </w:r>
      <w:r>
        <w:t xml:space="preserve"> </w:t>
      </w:r>
      <w:r>
        <w:t xml:space="preserve">before promotion. The older binary dominance flag and the later replay under the same invalid metric</w:t>
      </w:r>
      <w:r>
        <w:t xml:space="preserve"> </w:t>
      </w:r>
      <w:r>
        <w:t xml:space="preserve">contract remain hash-locked only as superseded audit history.</w:t>
      </w:r>
    </w:p>
    <w:bookmarkEnd w:id="81"/>
    <w:bookmarkStart w:id="85" w:name="b.8-boundary-and-transfer-diagnostics"/>
    <w:p>
      <w:pPr>
        <w:pStyle w:val="Heading2"/>
        <w:widowControl/>
      </w:pPr>
      <w:r>
        <w:t xml:space="preserve">B.8 Boundary and Transfer Diagnostics</w:t>
      </w:r>
    </w:p>
    <w:p>
      <w:pPr>
        <w:pStyle w:val="FirstParagraph"/>
        <w:widowControl/>
      </w:pPr>
      <w:r>
        <w:rPr>
          <w:b/>
          <w:bCs/>
        </w:rPr>
        <w:t xml:space="preserve">Status: retrospective transfer diagnostics.</w:t>
      </w:r>
    </w:p>
    <w:bookmarkStart w:id="82" w:name="b.8.1-pacs"/>
    <w:p>
      <w:pPr>
        <w:pStyle w:val="Heading3"/>
        <w:widowControl/>
      </w:pPr>
      <w:r>
        <w:t xml:space="preserve">B.8.1 PACS</w:t>
      </w:r>
    </w:p>
    <w:p>
      <w:pPr>
        <w:pStyle w:val="FirstParagraph"/>
        <w:widowControl/>
      </w:pPr>
      <w:r>
        <w:t xml:space="preserve">PACS [30] KGA regret is</w:t>
      </w:r>
      <w:r>
        <w:t xml:space="preserve"> </w:t>
      </w:r>
      <m:oMath>
        <m:r>
          <m:t>0.0431</m:t>
        </m:r>
      </m:oMath>
      <w:r>
        <w:t xml:space="preserve">, compared with</w:t>
      </w:r>
      <w:r>
        <w:t xml:space="preserve"> </w:t>
      </w:r>
      <m:oMath>
        <m:r>
          <m:t>0.0176</m:t>
        </m:r>
      </m:oMath>
      <w:r>
        <w:t xml:space="preserve"> </w:t>
      </w:r>
      <w:r>
        <w:t xml:space="preserve">for always-adapt. The regret</w:t>
      </w:r>
      <w:r>
        <w:t xml:space="preserve"> </w:t>
      </w:r>
      <w:r>
        <w:t xml:space="preserve">summary has 12 equal-weight domain–seed units. Its 216 action records are repeated decisions within</w:t>
      </w:r>
      <w:r>
        <w:t xml:space="preserve"> </w:t>
      </w:r>
      <w:r>
        <w:t xml:space="preserve">those units, not 216 independent regret observations. The archive lacks the residual detail needed</w:t>
      </w:r>
      <w:r>
        <w:t xml:space="preserve"> </w:t>
      </w:r>
      <w:r>
        <w:t xml:space="preserve">to replay the current gate, so PACS remains an aggregate performance diagnostic.</w:t>
      </w:r>
    </w:p>
    <w:bookmarkEnd w:id="82"/>
    <w:bookmarkStart w:id="83" w:name="b.8.2-imagenet-r-backbone-breakdown"/>
    <w:p>
      <w:pPr>
        <w:pStyle w:val="Heading3"/>
        <w:widowControl/>
      </w:pPr>
      <w:r>
        <w:t xml:space="preserve">B.8.2 ImageNet-R Backbone Breakdown</w:t>
      </w:r>
    </w:p>
    <w:p>
      <w:pPr>
        <w:pStyle w:val="FirstParagraph"/>
        <w:widowControl/>
      </w:pPr>
      <w:r>
        <w:t xml:space="preserve">ImageNet-R [24] KGA regret is</w:t>
      </w:r>
      <w:r>
        <w:t xml:space="preserve"> </w:t>
      </w:r>
      <m:oMath>
        <m:r>
          <m:t>0.0137</m:t>
        </m:r>
      </m:oMath>
      <w:r>
        <w:t xml:space="preserve">, compared with</w:t>
      </w:r>
      <w:r>
        <w:t xml:space="preserve"> </w:t>
      </w:r>
      <m:oMath>
        <m:r>
          <m:t>0.0064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always-adapt and</w:t>
      </w:r>
      <w:r>
        <w:t xml:space="preserve"> </w:t>
      </w:r>
      <m:oMath>
        <m:r>
          <m:t>0.0325</m:t>
        </m:r>
      </m:oMath>
      <w:r>
        <w:t xml:space="preserve"> </w:t>
      </w:r>
      <w:r>
        <w:t xml:space="preserve">for always-freeze, across the ten-backbone architecture panel. No backbone</w:t>
      </w:r>
      <w:r>
        <w:t xml:space="preserve"> </w:t>
      </w:r>
      <w:r>
        <w:t xml:space="preserve">has lower KGA point regret than each fixed comparator. KGA regret</w:t>
      </w:r>
      <w:r>
        <w:t xml:space="preserve"> </w:t>
      </w:r>
      <w:r>
        <w:t xml:space="preserve">is higher than always-adapt regret on 8 of 10 backbones; four of those eight have a 0% harmful base</w:t>
      </w:r>
      <w:r>
        <w:t xml:space="preserve"> </w:t>
      </w:r>
      <w:r>
        <w:t xml:space="preserve">rate, so routing has no harm to avoid. On</w:t>
      </w:r>
      <w:r>
        <w:t xml:space="preserve"> </w:t>
      </w:r>
      <w:r>
        <w:rPr>
          <w:rStyle w:val="VerbatimChar"/>
        </w:rPr>
        <w:t xml:space="preserve">efficientnet_b0</w:t>
      </w:r>
      <w:r>
        <w:t xml:space="preserve"> </w:t>
      </w:r>
      <w:r>
        <w:t xml:space="preserve">(100% harmful) and</w:t>
      </w:r>
      <w:r>
        <w:t xml:space="preserve"> </w:t>
      </w:r>
      <w:r>
        <w:rPr>
          <w:rStyle w:val="VerbatimChar"/>
        </w:rPr>
        <w:t xml:space="preserve">swin_t</w:t>
      </w:r>
      <w:r>
        <w:t xml:space="preserve"> </w:t>
      </w:r>
      <w:r>
        <w:t xml:space="preserve">(60.4% harmful), KGA improves over</w:t>
      </w:r>
      <w:r>
        <w:t xml:space="preserve"> </w:t>
      </w:r>
      <w:r>
        <w:t xml:space="preserve">always-adapt but exactly matches always-freeze and makes no adapt decisions. The pattern is</w:t>
      </w:r>
      <w:r>
        <w:t xml:space="preserve"> </w:t>
      </w:r>
      <w:r>
        <w:t xml:space="preserve">consistent with the regime map: routing can add value only where candidate harm is present, while</w:t>
      </w:r>
      <w:r>
        <w:t xml:space="preserve"> </w:t>
      </w:r>
      <w:r>
        <w:t xml:space="preserve">these two rows evaluate conservative retention rather than selective routing.</w:t>
      </w:r>
    </w:p>
    <w:bookmarkEnd w:id="83"/>
    <w:bookmarkStart w:id="84" w:name="b.8.3-cifar-10.1"/>
    <w:p>
      <w:pPr>
        <w:pStyle w:val="Heading3"/>
        <w:widowControl/>
      </w:pPr>
      <w:r>
        <w:t xml:space="preserve">B.8.3 CIFAR-10.1</w:t>
      </w:r>
    </w:p>
    <w:p>
      <w:pPr>
        <w:pStyle w:val="FirstParagraph"/>
        <w:widowControl/>
      </w:pPr>
      <w:r>
        <w:t xml:space="preserve">CIFAR-10.1 [31] matches always-freeze at</w:t>
      </w:r>
      <w:r>
        <w:t xml:space="preserve"> </w:t>
      </w:r>
      <m:oMath>
        <m:r>
          <m:t>0.0017</m:t>
        </m:r>
      </m:oMath>
      <w:r>
        <w:t xml:space="preserve"> </w:t>
      </w:r>
      <w:r>
        <w:t xml:space="preserve">and is retained as a low-margin cross-seed transfer</w:t>
      </w:r>
      <w:r>
        <w:t xml:space="preserve"> </w:t>
      </w:r>
      <w:r>
        <w:t xml:space="preserve">diagnostic. This pattern alone does not prove structural non-identifiability; weak evidence, low</w:t>
      </w:r>
      <w:r>
        <w:t xml:space="preserve"> </w:t>
      </w:r>
      <w:r>
        <w:t xml:space="preserve">margin, estimator inadequacy, or calibration transfer can produce the same behavior.</w:t>
      </w:r>
    </w:p>
    <w:bookmarkEnd w:id="84"/>
    <w:bookmarkEnd w:id="85"/>
    <w:bookmarkStart w:id="86" w:name="X730aa669d2d3ed7f70280d8e8ea1cdc6413884b"/>
    <w:p>
      <w:pPr>
        <w:pStyle w:val="Heading2"/>
        <w:widowControl/>
      </w:pPr>
      <w:r>
        <w:t xml:space="preserve">B.9 Historical Protocol-Matched POEM and AETTA Ports</w:t>
      </w:r>
    </w:p>
    <w:p>
      <w:pPr>
        <w:pStyle w:val="FirstParagraph"/>
        <w:widowControl/>
      </w:pPr>
      <w:r>
        <w:rPr>
          <w:b/>
          <w:bCs/>
        </w:rPr>
        <w:t xml:space="preserve">Status: historical local-port audit; not a synchronized official comparison.</w:t>
      </w:r>
      <w:r>
        <w:t xml:space="preserve"> </w:t>
      </w:r>
      <w:r>
        <w:t xml:space="preserve">The repository retains one historical head-to-head artifact on the CIFAR-10-C Tent stream. Its KGA,</w:t>
      </w:r>
      <w:r>
        <w:t xml:space="preserve"> </w:t>
      </w:r>
      <w:r>
        <w:t xml:space="preserve">POEM-style, and AETTA-style regrets are</w:t>
      </w:r>
      <w:r>
        <w:t xml:space="preserve"> </w:t>
      </w:r>
      <m:oMath>
        <m:r>
          <m:t>0.00157361</m:t>
        </m:r>
      </m:oMath>
      <w:r>
        <w:t xml:space="preserve">,</w:t>
      </w:r>
      <w:r>
        <w:t xml:space="preserve"> </w:t>
      </w:r>
      <m:oMath>
        <m:r>
          <m:t>0.00880463</m:t>
        </m:r>
      </m:oMath>
      <w:r>
        <w:t xml:space="preserve">, and</w:t>
      </w:r>
      <w:r>
        <w:t xml:space="preserve"> </w:t>
      </w:r>
      <m:oMath>
        <m:r>
          <m:t>0.00732986</m:t>
        </m:r>
      </m:oMath>
      <w:r>
        <w:t xml:space="preserve">; the associated</w:t>
      </w:r>
      <w:r>
        <w:t xml:space="preserve"> </w:t>
      </w:r>
      <w:r>
        <w:t xml:space="preserve">always-adapt and always-freeze regrets are</w:t>
      </w:r>
      <w:r>
        <w:t xml:space="preserve"> </w:t>
      </w:r>
      <m:oMath>
        <m:r>
          <m:t>0.00792338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0.12409792</m:t>
        </m:r>
      </m:oMath>
      <w:r>
        <w:t xml:space="preserve">. Historical KGA-minus-port</w:t>
      </w:r>
      <w:r>
        <w:t xml:space="preserve"> </w:t>
      </w:r>
      <w:r>
        <w:t xml:space="preserve">paired differences and unadjusted 95% paired-bootstrap intervals are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970"/>
        <w:gridCol w:w="3177"/>
        <w:gridCol w:w="3813"/>
      </w:tblGrid>
      <w:tr>
        <w:trPr>
          <w:tblHeader w:val="true"/>
          <w:cantSplit w:val="true"/>
        </w:trPr>
        <w:tc>
          <w:tcPr>
            <w:tcW w:w="29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Port</w:t>
            </w:r>
          </w:p>
        </w:tc>
        <w:tc>
          <w:tcPr>
            <w:tcW w:w="317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Difference</w:t>
            </w:r>
          </w:p>
        </w:tc>
        <w:tc>
          <w:tcPr>
            <w:tcW w:w="381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95% interval</w:t>
            </w:r>
          </w:p>
        </w:tc>
      </w:tr>
      <w:tr>
        <w:trPr>
          <w:cantSplit w:val="true"/>
        </w:trPr>
        <w:tc>
          <w:tcPr>
            <w:tcW w:w="29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POEM-style</w:t>
            </w:r>
          </w:p>
        </w:tc>
        <w:tc>
          <w:tcPr>
            <w:tcW w:w="317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0.00723102</m:t>
              </m:r>
            </m:oMath>
          </w:p>
        </w:tc>
        <w:tc>
          <w:tcPr>
            <w:tcW w:w="381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0.00878038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0.00570806</m:t>
              </m:r>
              <m:r>
                <m:rPr>
                  <m:sty m:val="p"/>
                </m:rPr>
                <m:t>]</m:t>
              </m:r>
            </m:oMath>
          </w:p>
        </w:tc>
      </w:tr>
      <w:tr>
        <w:trPr>
          <w:cantSplit w:val="true"/>
        </w:trPr>
        <w:tc>
          <w:tcPr>
            <w:tcW w:w="29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AETTA-style</w:t>
            </w:r>
          </w:p>
        </w:tc>
        <w:tc>
          <w:tcPr>
            <w:tcW w:w="317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rPr>
                  <m:sty m:val="p"/>
                </m:rPr>
                <m:t>−</m:t>
              </m:r>
              <m:r>
                <m:t>0.00575625</m:t>
              </m:r>
            </m:oMath>
          </w:p>
        </w:tc>
        <w:tc>
          <w:tcPr>
            <w:tcW w:w="381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0.00714260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0.00439859</m:t>
              </m:r>
              <m:r>
                <m:rPr>
                  <m:sty m:val="p"/>
                </m:rPr>
                <m:t>]</m:t>
              </m:r>
            </m:oMath>
          </w:p>
        </w:tc>
      </w:tr>
    </w:tbl>
    <w:p>
      <w:pPr>
        <w:pStyle w:val="BodyText"/>
        <w:widowControl/>
      </w:pPr>
      <w:r>
        <w:t xml:space="preserve">Holm adjustment applies only to the archived</w:t>
      </w:r>
      <w:r>
        <w:t xml:space="preserve"> </w:t>
      </w:r>
      <m:oMath>
        <m:r>
          <m:t>p</m:t>
        </m:r>
      </m:oMath>
      <w:r>
        <w:t xml:space="preserve">-values; the adjusted value for each of these two comparisons is</w:t>
      </w:r>
      <w:r>
        <w:t xml:space="preserve"> </w:t>
      </w:r>
      <m:oMath>
        <m:r>
          <m:t>0.00039996</m:t>
        </m:r>
      </m:oMath>
      <w:r>
        <w:t xml:space="preserve">.</w:t>
      </w:r>
    </w:p>
    <w:p>
      <w:pPr>
        <w:pStyle w:val="BodyText"/>
        <w:widowControl/>
      </w:pPr>
      <w:r>
        <w:t xml:space="preserve">Those estimates are protocol-matched diagnostics from local ports, not results from untouched</w:t>
      </w:r>
      <w:r>
        <w:t xml:space="preserve"> </w:t>
      </w:r>
      <w:r>
        <w:t xml:space="preserve">official implementations. They also use an earlier KGA policy and are not synchronized with the</w:t>
      </w:r>
      <w:r>
        <w:t xml:space="preserve"> </w:t>
      </w:r>
      <w:r>
        <w:t xml:space="preserve">current three-way cross-fit. The numerical ordering is therefore historical audit evidence only: it</w:t>
      </w:r>
      <w:r>
        <w:t xml:space="preserve"> </w:t>
      </w:r>
      <w:r>
        <w:t xml:space="preserve">does not establish current-policy or official superiority. The source artifact is</w:t>
      </w:r>
      <w:r>
        <w:t xml:space="preserve"> </w:t>
      </w:r>
      <w:r>
        <w:rPr>
          <w:rStyle w:val="VerbatimChar"/>
        </w:rPr>
        <w:t xml:space="preserve">experiments/kbound/results/mixed_headtohead_v1/HEADTOHEAD_RESULTS_cifar10c_tent_primary.json</w:t>
      </w:r>
      <w:r>
        <w:t xml:space="preserve">;</w:t>
      </w:r>
      <w:r>
        <w:t xml:space="preserve"> </w:t>
      </w:r>
      <w:r>
        <w:t xml:space="preserve">its stored</w:t>
      </w:r>
      <w:r>
        <w:t xml:space="preserve"> </w:t>
      </w:r>
      <w:r>
        <w:rPr>
          <w:rStyle w:val="VerbatimChar"/>
        </w:rPr>
        <w:t xml:space="preserve">WIN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kga_beats</w:t>
      </w:r>
      <w:r>
        <w:t xml:space="preserve"> </w:t>
      </w:r>
      <w:r>
        <w:t xml:space="preserve">labels are withdrawn from the current claim set. A</w:t>
      </w:r>
      <w:r>
        <w:t xml:space="preserve"> </w:t>
      </w:r>
      <w:r>
        <w:t xml:space="preserve">defensible new comparison would replay all methods on identical current-policy records and freeze</w:t>
      </w:r>
      <w:r>
        <w:t xml:space="preserve"> </w:t>
      </w:r>
      <w:r>
        <w:t xml:space="preserve">the multiplicity family before scoring.</w:t>
      </w:r>
    </w:p>
    <w:bookmarkEnd w:id="86"/>
    <w:bookmarkStart w:id="87" w:name="X15c803b6efc01b06a9756a4c51652fff7c7a245"/>
    <w:p>
      <w:pPr>
        <w:pStyle w:val="Heading2"/>
        <w:widowControl/>
      </w:pPr>
      <w:r>
        <w:t xml:space="preserve">B.10 So2Sat Development and Action-Unit Audit</w:t>
      </w:r>
    </w:p>
    <w:p>
      <w:pPr>
        <w:pStyle w:val="FirstParagraph"/>
        <w:widowControl/>
      </w:pPr>
      <w:r>
        <w:rPr>
          <w:b/>
          <w:bCs/>
        </w:rPr>
        <w:t xml:space="preserve">Status: development stop before target access.</w:t>
      </w:r>
    </w:p>
    <w:p>
      <w:pPr>
        <w:pStyle w:val="BodyText"/>
        <w:widowControl/>
      </w:pPr>
      <w:r>
        <w:t xml:space="preserve">The locked So2Sat-LCZ42 v1 study screened Tent and SAR in a development-only, multi-city,</w:t>
      </w:r>
      <w:r>
        <w:t xml:space="preserve"> </w:t>
      </w:r>
      <w:r>
        <w:t xml:space="preserve">multi-checkpoint candidate-feasibility stage. It was not a target evaluation. Tent showed both</w:t>
      </w:r>
      <w:r>
        <w:t xml:space="preserve"> </w:t>
      </w:r>
      <w:r>
        <w:t xml:space="preserve">helpful and harmful development cases, but neither candidate passed every predeclared eligibility</w:t>
      </w:r>
      <w:r>
        <w:t xml:space="preserve"> </w:t>
      </w:r>
      <w:r>
        <w:t xml:space="preserve">check. The locked status is therefore</w:t>
      </w:r>
      <w:r>
        <w:t xml:space="preserve"> </w:t>
      </w:r>
      <w:r>
        <w:rPr>
          <w:i/>
          <w:iCs/>
        </w:rPr>
        <w:t xml:space="preserve">no feasible candidate; stop before gate calibration</w:t>
      </w:r>
      <w:r>
        <w:t xml:space="preserve">.</w:t>
      </w:r>
      <w:r>
        <w:t xml:space="preserve"> </w:t>
      </w:r>
      <w:r>
        <w:t xml:space="preserve">The detailed development authority and its binding receipt remain outside the default public build</w:t>
      </w:r>
      <w:r>
        <w:t xml:space="preserve"> </w:t>
      </w:r>
      <w:r>
        <w:t xml:space="preserve">closure; the public release records only the protocol shape, stopping decision, and access boundary.</w:t>
      </w:r>
    </w:p>
    <w:p>
      <w:pPr>
        <w:pStyle w:val="BodyText"/>
        <w:widowControl/>
      </w:pPr>
      <w:r>
        <w:t xml:space="preserve">No held-out gate-calibration rows or target inputs, pixels, or labels were accessed. The study</w:t>
      </w:r>
      <w:r>
        <w:t xml:space="preserve"> </w:t>
      </w:r>
      <w:r>
        <w:t xml:space="preserve">therefore contains no target natural-shift score. The gate-fit outcomes are open, so retuning on them</w:t>
      </w:r>
      <w:r>
        <w:t xml:space="preserve"> </w:t>
      </w:r>
      <w:r>
        <w:t xml:space="preserve">cannot create fresh confirmatory evidence. V1 also declares one target action per city while its</w:t>
      </w:r>
      <w:r>
        <w:t xml:space="preserve"> </w:t>
      </w:r>
      <w:r>
        <w:t xml:space="preserve">target runner creates city–checkpoint actions. This mismatch did not affect the stop because no</w:t>
      </w:r>
      <w:r>
        <w:t xml:space="preserve"> </w:t>
      </w:r>
      <w:r>
        <w:t xml:space="preserve">target action was created. Prospective v2 resolves the action unit as city–checkpoint and supplies</w:t>
      </w:r>
      <w:r>
        <w:t xml:space="preserve"> </w:t>
      </w:r>
      <w:r>
        <w:t xml:space="preserve">a source-complete runner. It remains a no-go: no v2 pre-calibration seal or target authorization</w:t>
      </w:r>
      <w:r>
        <w:t xml:space="preserve"> </w:t>
      </w:r>
      <w:r>
        <w:t xml:space="preserve">exists, and gate calibration and target evaluation remain unopened. V2 does not retroactively</w:t>
      </w:r>
      <w:r>
        <w:t xml:space="preserve"> </w:t>
      </w:r>
      <w:r>
        <w:t xml:space="preserve">change the negative v1 record.</w:t>
      </w:r>
    </w:p>
    <w:bookmarkEnd w:id="87"/>
    <w:bookmarkStart w:id="88" w:name="Xb39399971fc8b8ca8207f218aa2977600cb7986"/>
    <w:p>
      <w:pPr>
        <w:pStyle w:val="Heading2"/>
        <w:widowControl/>
      </w:pPr>
      <w:r>
        <w:t xml:space="preserve">B.11 DomainNet Painting Development and Fixed Diagnostics</w:t>
      </w:r>
    </w:p>
    <w:p>
      <w:pPr>
        <w:pStyle w:val="FirstParagraph"/>
        <w:widowControl/>
      </w:pPr>
      <w:r>
        <w:t xml:space="preserve">These additional results are descriptive on already-opened painting development. The five-checkpoint</w:t>
      </w:r>
      <w:r>
        <w:t xml:space="preserve"> </w:t>
      </w:r>
      <w:r>
        <w:t xml:space="preserve">cohort uses 24 shared check cells per checkpoint: its 120 seed-cell records are not 120 independent</w:t>
      </w:r>
      <w:r>
        <w:t xml:space="preserve"> </w:t>
      </w:r>
      <w:r>
        <w:t xml:space="preserve">environments. A separate reference-source ResNet-50 checkpoint is used by two different</w:t>
      </w:r>
      <w:r>
        <w:t xml:space="preserve"> </w:t>
      </w:r>
      <w:r>
        <w:t xml:space="preserve">recipes. The local entropy probe updates BatchNorm affine parameters using one unlabeled</w:t>
      </w:r>
      <w:r>
        <w:t xml:space="preserve"> </w:t>
      </w:r>
      <w:r>
        <w:t xml:space="preserve">pass, Adam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 and batches of at most 32; it restores source BatchNorm running</w:t>
      </w:r>
      <w:r>
        <w:t xml:space="preserve"> </w:t>
      </w:r>
      <w:r>
        <w:t xml:space="preserve">buffers before evaluation. It is neither online Tent nor AdaContrast. The AdaContrast-derived</w:t>
      </w:r>
      <w:r>
        <w:t xml:space="preserve"> </w:t>
      </w:r>
      <w:r>
        <w:t xml:space="preserve">single-process bridge uses batch size 16, 15 epochs, square-resize preprocessing and direct-logit</w:t>
      </w:r>
      <w:r>
        <w:t xml:space="preserve"> </w:t>
      </w:r>
      <w:r>
        <w:t xml:space="preserve">inference; it is not an exact reproduction of the published pipeline.</w:t>
      </w:r>
      <w:r>
        <w:t xml:space="preserve"> </w:t>
      </w:r>
      <w:r>
        <w:t xml:space="preserve">Each reference-source check panel contains 24 cells and 3,073 image evaluations.</w:t>
      </w:r>
      <w:r>
        <w:t xml:space="preserve"> </w:t>
      </w:r>
      <w:r>
        <w:t xml:space="preserve">Their frozen/candidate correct totals are 1387/1366 for R50 entropy and 1384/1131 for the bridge.</w:t>
      </w:r>
      <w:r>
        <w:t xml:space="preserve"> </w:t>
      </w:r>
      <w:r>
        <w:t xml:space="preserve">The differing frozen totals mean this is not a matched head-to-head comparison.</w:t>
      </w:r>
    </w:p>
    <w:p>
      <w:pPr>
        <w:pStyle w:val="TableCaption"/>
        <w:widowControl/>
      </w:pPr>
      <w:r>
        <w:t xml:space="preserve">Table 11. Opened DomainNet painting development, kept separate from the canonical primary panel.</w:t>
      </w:r>
      <w:r>
        <w:t xml:space="preserve"> </w:t>
      </w:r>
      <w:r>
        <w:t xml:space="preserve">Regret and radii are in percentage points. Repeated seed/cell records and the fixed diagnostic</w:t>
      </w:r>
      <w:r>
        <w:t xml:space="preserve"> </w:t>
      </w:r>
      <w:r>
        <w:t xml:space="preserve">cells do not provide independent prospective trials.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11. Opened DomainNet painting development, kept separate from the canonical primary panel. Regret and radii are in percentage points. Repeated seed/cell records and the fixed diagnostic cells do not provide independent prospective trials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49"/>
        <w:gridCol w:w="3955"/>
        <w:gridCol w:w="3956"/>
      </w:tblGrid>
      <w:tr>
        <w:trPr>
          <w:tblHeader w:val="true"/>
          <w:cantSplit w:val="true"/>
        </w:trPr>
        <w:tc>
          <w:tcPr>
            <w:tcW w:w="20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Saved evaluation</w:t>
            </w:r>
          </w:p>
        </w:tc>
        <w:tc>
          <w:tcPr>
            <w:tcW w:w="395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Units and measured effects</w:t>
            </w:r>
          </w:p>
        </w:tc>
        <w:tc>
          <w:tcPr>
            <w:tcW w:w="39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Gate or diagnostic result</w:t>
            </w:r>
          </w:p>
        </w:tc>
      </w:tr>
      <w:tr>
        <w:trPr>
          <w:cantSplit w:val="true"/>
        </w:trPr>
        <w:tc>
          <w:tcPr>
            <w:tcW w:w="20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Five-checkpoint recipe</w:t>
            </w:r>
          </w:p>
        </w:tc>
        <w:tc>
          <w:tcPr>
            <w:tcW w:w="395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120 seed-cell records; 12 helpful, 15 harmful, 93 tied</w:t>
            </w:r>
          </w:p>
        </w:tc>
        <w:tc>
          <w:tcPr>
            <w:tcW w:w="39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120 ABSTAIN; equal-seed regret 0.1106770833 for gate/freeze, 0.1235465116 for adapt</w:t>
            </w:r>
          </w:p>
        </w:tc>
      </w:tr>
      <w:tr>
        <w:trPr>
          <w:cantSplit w:val="true"/>
        </w:trPr>
        <w:tc>
          <w:tcPr>
            <w:tcW w:w="20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R50 local entropy</w:t>
            </w:r>
          </w:p>
        </w:tc>
        <w:tc>
          <w:tcPr>
            <w:tcW w:w="395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24 check cells; 7 helpful, 14 harmful, 3 tied</w:t>
            </w:r>
          </w:p>
        </w:tc>
        <w:tc>
          <w:tcPr>
            <w:tcW w:w="39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24 ABSTAIN; radius 2.6099386731; inclusion 21/24 (87.5%); regret 0.390625 gate/freeze, 1.07421875 adapt</w:t>
            </w:r>
          </w:p>
        </w:tc>
      </w:tr>
      <w:tr>
        <w:trPr>
          <w:cantSplit w:val="true"/>
        </w:trPr>
        <w:tc>
          <w:tcPr>
            <w:tcW w:w="20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AdaContrast-derived bridge</w:t>
            </w:r>
          </w:p>
        </w:tc>
        <w:tc>
          <w:tcPr>
            <w:tcW w:w="395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24 check cells; 1 helpful, 23 harmful, 0 tied</w:t>
            </w:r>
          </w:p>
        </w:tc>
        <w:tc>
          <w:tcPr>
            <w:tcW w:w="39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24 ABSTAIN; radius 10.8115435382; inclusion 24/24; regret 0.0651041667 gate/freeze, 8.2995195413 adapt</w:t>
            </w:r>
          </w:p>
        </w:tc>
      </w:tr>
      <w:tr>
        <w:trPr>
          <w:cantSplit w:val="true"/>
        </w:trPr>
        <w:tc>
          <w:tcPr>
            <w:tcW w:w="20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Fixed queue diagnostic</w:t>
            </w:r>
          </w:p>
        </w:tc>
        <w:tc>
          <w:tcPr>
            <w:tcW w:w="395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First 4 DEV_fit cells; 512 paired image evaluations</w:t>
            </w:r>
          </w:p>
        </w:tc>
        <w:tc>
          <w:tcPr>
            <w:tcW w:w="39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Correct totals: capacity 16384, 187; capacity 64, 181; freeze, 243. Smaller queue loses 6/512 (1.171875 points); 3 cells worse, 1 better</w:t>
            </w:r>
          </w:p>
        </w:tc>
      </w:tr>
      <w:tr>
        <w:trPr>
          <w:cantSplit w:val="true"/>
        </w:trPr>
        <w:tc>
          <w:tcPr>
            <w:tcW w:w="20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Fixed BN decomposition</w:t>
            </w:r>
          </w:p>
        </w:tc>
        <w:tc>
          <w:tcPr>
            <w:tcW w:w="395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Same 4 DEV_fit cells and 512 evaluations</w:t>
            </w:r>
          </w:p>
        </w:tc>
        <w:tc>
          <w:tcPr>
            <w:tcW w:w="39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Correct totals: freeze 243; stats-only 107; other-state-only 133; actual adaptation 187. Every altered condition harms all 4 cells</w:t>
            </w:r>
          </w:p>
        </w:tc>
      </w:tr>
    </w:tbl>
    <w:p>
      <w:pPr>
        <w:pStyle w:val="BodyText"/>
        <w:widowControl/>
      </w:pPr>
      <w:r>
        <w:t xml:space="preserve">All three check evaluations have zero ADAPT and zero FREEZE exposure. Their conditional false-ADAPT</w:t>
      </w:r>
      <w:r>
        <w:t xml:space="preserve"> </w:t>
      </w:r>
      <w:r>
        <w:t xml:space="preserve">and false-FREEZE rates are undefined; zero false commitments under universal abstention supply no</w:t>
      </w:r>
      <w:r>
        <w:t xml:space="preserve"> </w:t>
      </w:r>
      <w:r>
        <w:t xml:space="preserve">directional exposure. The inclusion rates are descriptive, not validation of nominal coverage on</w:t>
      </w:r>
      <w:r>
        <w:t xml:space="preserve"> </w:t>
      </w:r>
      <w:r>
        <w:t xml:space="preserve">unseen groups. These development results do not establish a selective-routing gain over freeze.</w:t>
      </w:r>
    </w:p>
    <w:p>
      <w:pPr>
        <w:pStyle w:val="BodyText"/>
        <w:widowControl/>
      </w:pPr>
      <w:r>
        <w:t xml:space="preserve">The queue intervention changed capacity, negative-pool size, memory age, and the inherited</w:t>
      </w:r>
      <w:r>
        <w:t xml:space="preserve"> </w:t>
      </w:r>
      <w:r>
        <w:t xml:space="preserve">class-aware masking interaction; it does not isolate random initialization. The BN experiment</w:t>
      </w:r>
      <w:r>
        <w:t xml:space="preserve"> </w:t>
      </w:r>
      <w:r>
        <w:t xml:space="preserve">crossed original/adapted running buffers with original/adapted remaining state after identical</w:t>
      </w:r>
      <w:r>
        <w:t xml:space="preserve"> </w:t>
      </w:r>
      <w:r>
        <w:t xml:space="preserve">baseline training; other state includes BN affine parameters. Its accuracy-scale interaction is</w:t>
      </w:r>
      <w:r>
        <w:t xml:space="preserve"> </w:t>
      </w:r>
      <w:r>
        <w:t xml:space="preserve">+37.109375 percentage points. These non-additive effects do not identify a BN-only cause of harm; restoring source</w:t>
      </w:r>
      <w:r>
        <w:t xml:space="preserve"> </w:t>
      </w:r>
      <w:r>
        <w:t xml:space="preserve">statistics alone does not rescue the adapted model. Neither follow-up selects a new adapter,</w:t>
      </w:r>
      <w:r>
        <w:t xml:space="preserve"> </w:t>
      </w:r>
      <w:r>
        <w:t xml:space="preserve">radius, or decision rule. Any retrospective radius or predictor checks remain exploratory.</w:t>
      </w:r>
    </w:p>
    <w:bookmarkEnd w:id="88"/>
    <w:bookmarkStart w:id="90" w:name="b.12-office-home-mechanism-check"/>
    <w:p>
      <w:pPr>
        <w:pStyle w:val="Heading2"/>
        <w:widowControl/>
      </w:pPr>
      <w:r>
        <w:t xml:space="preserve">B.12 Office-Home mechanism check</w:t>
      </w:r>
    </w:p>
    <w:bookmarkStart w:id="89" w:name="Xc1b986a2974b7c6fa2e3d767badd9ce18707c65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Office-Home: archival selection and changed-recipe smoke.</w:t>
      </w:r>
    </w:p>
    <w:p>
      <w:pPr>
        <w:pStyle w:val="FirstParagraph"/>
        <w:widowControl/>
      </w:pPr>
      <w:r>
        <w:t xml:space="preserve">On the opened 54-cell stream-seed archive, the post-hoc rule</w:t>
      </w:r>
      <w:r>
        <w:t xml:space="preserve"> </w:t>
      </w:r>
      <w:r>
        <w:t xml:space="preserve">“serve SAR iff its</w:t>
      </w:r>
      <w:r>
        <w:t xml:space="preserve"> </w:t>
      </w:r>
      <w:r>
        <w:t xml:space="preserve">recorded affine update norm equals zero exactly”</w:t>
      </w:r>
      <w:r>
        <w:t xml:space="preserve"> </w:t>
      </w:r>
      <w:r>
        <w:t xml:space="preserve">selects 35 candidates and freezes</w:t>
      </w:r>
      <w:r>
        <w:t xml:space="preserve"> </w:t>
      </w:r>
      <w:r>
        <w:t xml:space="preserve">19 cells. Its accuracy regret is</w:t>
      </w:r>
      <w:r>
        <w:t xml:space="preserve"> </w:t>
      </w:r>
      <m:oMath>
        <m:r>
          <m:t>0.00035613</m:t>
        </m:r>
      </m:oMath>
      <w:r>
        <w:t xml:space="preserve">, versus</w:t>
      </w:r>
      <w:r>
        <w:t xml:space="preserve"> </w:t>
      </w:r>
      <m:oMath>
        <m:r>
          <m:t>0.04579772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always-adapt and</w:t>
      </w:r>
      <w:r>
        <w:t xml:space="preserve"> </w:t>
      </w:r>
      <m:oMath>
        <m:r>
          <m:t>0.02172365</m:t>
        </m:r>
      </m:oMath>
      <w:r>
        <w:t xml:space="preserve"> </w:t>
      </w:r>
      <w:r>
        <w:t xml:space="preserve">for always-freeze. This rule is not the calibrated</w:t>
      </w:r>
      <w:r>
        <w:t xml:space="preserve"> </w:t>
      </w:r>
      <w:r>
        <w:t xml:space="preserve">KGA gate, and choosing it after inspecting the archive does not constitute a</w:t>
      </w:r>
      <w:r>
        <w:t xml:space="preserve"> </w:t>
      </w:r>
      <w:r>
        <w:t xml:space="preserve">new held-out result. A zero affine norm also does not imply frozen predictions:</w:t>
      </w:r>
      <w:r>
        <w:t xml:space="preserve"> </w:t>
      </w:r>
      <w:r>
        <w:t xml:space="preserve">candidate inference can replace source BatchNorm statistics with current-batch statistics.</w:t>
      </w:r>
    </w:p>
    <w:p>
      <w:pPr>
        <w:pStyle w:val="BodyText"/>
        <w:widowControl/>
      </w:pPr>
      <w:r>
        <w:t xml:space="preserve">A separate MPS execution smoke used one class-balanced validation episode in each</w:t>
      </w:r>
      <w:r>
        <w:t xml:space="preserve"> </w:t>
      </w:r>
      <w:r>
        <w:t xml:space="preserve">of Art, Clipart and Product: 65 evaluation images and 16 disjoint adaptation images</w:t>
      </w:r>
      <w:r>
        <w:t xml:space="preserve"> </w:t>
      </w:r>
      <w:r>
        <w:t xml:space="preserve">per domain. All three arms used the same 65-image evaluation batch. They were</w:t>
      </w:r>
      <w:r>
        <w:t xml:space="preserve"> </w:t>
      </w:r>
      <w:r>
        <w:t xml:space="preserve">frozen source statistics, batch statistics without parameter updates, and the local</w:t>
      </w:r>
      <w:r>
        <w:t xml:space="preserve"> </w:t>
      </w:r>
      <w:r>
        <w:t xml:space="preserve">SAR helper with one pass over two batches of eight,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0.05</m:t>
        </m:r>
      </m:oMath>
      <w:r>
        <w:t xml:space="preserve">, entropy threshold</w:t>
      </w:r>
      <w:r>
        <w:t xml:space="preserve"> </w:t>
      </w:r>
      <m:oMath>
        <m:r>
          <m:t>0.4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65</m:t>
        </m:r>
        <m:r>
          <m:rPr>
            <m:sty m:val="p"/>
          </m:rPr>
          <m:t>)</m:t>
        </m:r>
      </m:oMath>
      <w:r>
        <w:t xml:space="preserve"> </w:t>
      </w:r>
      <w:r>
        <w:t xml:space="preserve">and reset threshold</w:t>
      </w:r>
      <w:r>
        <w:t xml:space="preserve"> </w:t>
      </w:r>
      <m:oMath>
        <m:r>
          <m:t>0.2</m:t>
        </m:r>
      </m:oMath>
      <w:r>
        <w:t xml:space="preserve">.</w:t>
      </w:r>
      <w:r>
        <w:t xml:space="preserve"> </w:t>
      </w:r>
      <w:r>
        <w:t xml:space="preserve">This deliberately smaller recipe differs from the archived aggressive SAR recipe.</w:t>
      </w:r>
      <w:r>
        <w:t xml:space="preserve"> </w:t>
      </w:r>
      <w:r>
        <w:t xml:space="preserve">The checkpoint is identified by observed local bytes and metadata; its published</w:t>
      </w:r>
      <w:r>
        <w:t xml:space="preserve"> </w:t>
      </w:r>
      <w:r>
        <w:t xml:space="preserve">training recipe was not authenticated.</w:t>
      </w:r>
    </w:p>
    <w:p>
      <w:pPr>
        <w:pStyle w:val="TableCaption"/>
        <w:widowControl/>
      </w:pPr>
      <w:r>
        <w:t xml:space="preserve">Table 12. Three-arm Office-Home execution smoke: correct predictions out of 65 per</w:t>
      </w:r>
      <w:r>
        <w:t xml:space="preserve"> </w:t>
      </w:r>
      <w:r>
        <w:t xml:space="preserve">domain. These are three development episodes, not independent confirmatory trials.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12. Three-arm Office-Home execution smoke: correct predictions out of 65 per domain. These are three development episodes, not independent confirmatory trials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992"/>
        <w:gridCol w:w="1992"/>
        <w:gridCol w:w="1992"/>
        <w:gridCol w:w="1992"/>
        <w:gridCol w:w="1992"/>
      </w:tblGrid>
      <w:tr>
        <w:trPr>
          <w:tblHeader w:val="true"/>
          <w:cantSplit w:val="true"/>
        </w:trPr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Domain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Frozen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Batch stats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SAR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SAR steps</w:t>
            </w:r>
          </w:p>
        </w:tc>
      </w:tr>
      <w:tr>
        <w:trPr>
          <w:cantSplit w:val="true"/>
        </w:trPr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Art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37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34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34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Clipart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26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30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30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</w:tr>
      <w:tr>
        <w:trPr>
          <w:cantSplit w:val="true"/>
        </w:trPr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Product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41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43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43</w:t>
            </w:r>
          </w:p>
        </w:tc>
        <w:tc>
          <w:tcPr>
            <w:tcW w:w="199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</w:tr>
    </w:tbl>
    <w:p>
      <w:pPr>
        <w:pStyle w:val="BodyText"/>
        <w:widowControl/>
      </w:pPr>
      <w:r>
        <w:t xml:space="preserve">Batch-statistics-only and SAR predictions agree on all 195 evaluation images,</w:t>
      </w:r>
      <w:r>
        <w:t xml:space="preserve"> </w:t>
      </w:r>
      <w:r>
        <w:t xml:space="preserve">including Product, where one optimizer step was accepted and the affine update norm</w:t>
      </w:r>
      <w:r>
        <w:t xml:space="preserve"> </w:t>
      </w:r>
      <w:r>
        <w:t xml:space="preserve">was nonzero. Their totals are both 107/195, versus 104/195 for frozen inference.</w:t>
      </w:r>
      <w:r>
        <w:t xml:space="preserve"> </w:t>
      </w:r>
      <w:r>
        <w:t xml:space="preserve">The archival exact-zero rule applied descriptively to this smoke yields 105/195,</w:t>
      </w:r>
      <w:r>
        <w:t xml:space="preserve"> </w:t>
      </w:r>
      <w:r>
        <w:t xml:space="preserve">below always-SAR. The smoke therefore does not reproduce the archival selector’s</w:t>
      </w:r>
      <w:r>
        <w:t xml:space="preserve"> </w:t>
      </w:r>
      <w:r>
        <w:t xml:space="preserve">advantage. Source tensors and buffers were preserved, and all prediction receipts</w:t>
      </w:r>
      <w:r>
        <w:t xml:space="preserve"> </w:t>
      </w:r>
      <w:r>
        <w:t xml:space="preserve">were written before scoring. No KGA predictor or radius was fitted, calibrated or</w:t>
      </w:r>
      <w:r>
        <w:t xml:space="preserve"> </w:t>
      </w:r>
      <w:r>
        <w:t xml:space="preserve">evaluated. Passing the smoke establishes execution of the three arms and one SAR</w:t>
      </w:r>
      <w:r>
        <w:t xml:space="preserve"> </w:t>
      </w:r>
      <w:r>
        <w:t xml:space="preserve">update branch; it does not establish statistical efficacy or the cause of historical gains.</w:t>
      </w:r>
    </w:p>
    <w:p>
      <w:pPr>
        <w:pStyle w:val="BodyText"/>
        <w:widowControl/>
      </w:pPr>
      <w:r>
        <w:t xml:space="preserve">The runner-recorded interval was</w:t>
      </w:r>
      <w:r>
        <w:t xml:space="preserve"> </w:t>
      </w:r>
      <m:oMath>
        <m:r>
          <m:t>20.43</m:t>
        </m:r>
      </m:oMath>
      <w:r>
        <w:t xml:space="preserve"> </w:t>
      </w:r>
      <w:r>
        <w:t xml:space="preserve">seconds, beginning after</w:t>
      </w:r>
      <w:r>
        <w:t xml:space="preserve"> </w:t>
      </w:r>
      <w:r>
        <w:t xml:space="preserve">argument parsing and output-directory creation and excluding process startup and</w:t>
      </w:r>
      <w:r>
        <w:t xml:space="preserve"> </w:t>
      </w:r>
      <w:r>
        <w:t xml:space="preserve">module imports. It includes subsequent setup and integrity work as well as execution</w:t>
      </w:r>
      <w:r>
        <w:t xml:space="preserve"> </w:t>
      </w:r>
      <w:r>
        <w:t xml:space="preserve">of all three arms. Per-arm latency,</w:t>
      </w:r>
      <w:r>
        <w:t xml:space="preserve"> </w:t>
      </w:r>
      <w:r>
        <w:t xml:space="preserve">tail latency, sustained throughput and peak memory were not measured; the saved</w:t>
      </w:r>
      <w:r>
        <w:t xml:space="preserve"> </w:t>
      </w:r>
      <w:r>
        <w:t xml:space="preserve">before/after allocator readings are snapshots, not a peak-memory estimate.</w:t>
      </w:r>
    </w:p>
    <w:bookmarkEnd w:id="89"/>
    <w:bookmarkEnd w:id="90"/>
    <w:bookmarkStart w:id="91" w:name="X266d7964cc25234a20979439f2e2c1dab0e0192"/>
    <w:p>
      <w:pPr>
        <w:pStyle w:val="Heading2"/>
        <w:widowControl/>
      </w:pPr>
      <w:r>
        <w:t xml:space="preserve">B.13 Withdrawn Development Proxy for the Population Budget</w:t>
      </w:r>
    </w:p>
    <w:p>
      <w:pPr>
        <w:pStyle w:val="FirstParagraph"/>
        <w:widowControl/>
      </w:pPr>
      <w:r>
        <w:rPr>
          <w:b/>
          <w:bCs/>
        </w:rPr>
        <w:t xml:space="preserve">Status: negative retrospective diagnostic; estimation route withdrawn.</w:t>
      </w:r>
    </w:p>
    <w:p>
      <w:pPr>
        <w:pStyle w:val="BodyText"/>
        <w:widowControl/>
      </w:pPr>
      <w:r>
        <w:t xml:space="preserve">Without additional structural information, label-free evidence cannot uniformly validate a</w:t>
      </w:r>
      <w:r>
        <w:t xml:space="preserve"> </w:t>
      </w:r>
      <w:r>
        <w:t xml:space="preserve">residual bound below the unresolved radius of its compatible fibre. This does not exclude a</w:t>
      </w:r>
      <w:r>
        <w:t xml:space="preserve"> </w:t>
      </w:r>
      <w:r>
        <w:t xml:space="preserve">valid constant bound at or above that radius, 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 a safe default.</w:t>
      </w:r>
      <w:r>
        <w:t xml:space="preserve"> </w:t>
      </w:r>
      <w:r>
        <w:t xml:space="preserve">The tested source-like development proxy was</w:t>
      </w:r>
      <w:r>
        <w:t xml:space="preserve"> </w:t>
      </w:r>
      <m:oMath>
        <m:r>
          <m:t>1.4</m:t>
        </m:r>
      </m:oMath>
      <w:r>
        <w:t xml:space="preserve">–</w:t>
      </w:r>
      <m:oMath>
        <m:r>
          <m:t>50</m:t>
        </m:r>
        <m:r>
          <m:rPr>
            <m:sty m:val="p"/>
          </m:rPr>
          <m:t>×</m:t>
        </m:r>
      </m:oMath>
      <w:r>
        <w:t xml:space="preserve"> </w:t>
      </w:r>
      <w:r>
        <w:t xml:space="preserve">too small on real</w:t>
      </w:r>
      <w:r>
        <w:t xml:space="preserve"> </w:t>
      </w:r>
      <w:r>
        <w:t xml:space="preserve">evaluation cells: 24–73% fell outside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C</m:t>
            </m:r>
          </m:e>
          <m:sub>
            <m:r>
              <m:t>β</m:t>
            </m:r>
          </m:sub>
        </m:sSub>
      </m:oMath>
      <w:r>
        <w:t xml:space="preserve">, commit error was 0.4–16.6%, and five</w:t>
      </w:r>
      <w:r>
        <w:t xml:space="preserve"> </w:t>
      </w:r>
      <w:r>
        <w:t xml:space="preserve">of ten configurations returned zero commitments on all 405 ImageNet-C cells. The proxy did not</w:t>
      </w:r>
      <w:r>
        <w:t xml:space="preserve"> </w:t>
      </w:r>
      <w:r>
        <w:t xml:space="preserve">observe the theorem’s disagreement-conditional residual, and its named raw artifact is not</w:t>
      </w:r>
      <w:r>
        <w:t xml:space="preserve"> </w:t>
      </w:r>
      <w:r>
        <w:t xml:space="preserve">regenerable from the canonical bundle. We therefore withdraw estimation and require domain</w:t>
      </w:r>
      <w:r>
        <w:t xml:space="preserve"> </w:t>
      </w:r>
      <w:r>
        <w:t xml:space="preserve">knowledge, a declared coupling, or historical labeled deployments under a transfer assumption.</w:t>
      </w:r>
    </w:p>
    <w:p>
      <w:pPr>
        <w:pStyle w:val="BodyText"/>
        <w:widowControl/>
      </w:pPr>
      <w:r>
        <w:t xml:space="preserve">The population layer targets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, whereas empirical calibration targets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. Appendix A states the additional sampling</w:t>
      </w:r>
      <w:r>
        <w:t xml:space="preserve"> </w:t>
      </w:r>
      <w:r>
        <w:t xml:space="preserve">argument needed to bridge them. Neither layer establishes risk alignment, estimator transfer, or</w:t>
      </w:r>
      <w:r>
        <w:t xml:space="preserve"> </w:t>
      </w:r>
      <w:r>
        <w:t xml:space="preserve">residual coverage in a new domain.</w:t>
      </w:r>
    </w:p>
    <w:bookmarkEnd w:id="91"/>
    <w:bookmarkEnd w:id="92"/>
    <w:bookmarkStart w:id="93" w:name="c-compact-assumption-and-claim-ledger"/>
    <w:p>
      <w:pPr>
        <w:pStyle w:val="Heading1"/>
        <w:widowControl/>
      </w:pPr>
      <w:r>
        <w:t xml:space="preserve">C Compact Assumption and Claim Ledger</w:t>
      </w:r>
    </w:p>
    <w:p>
      <w:pPr>
        <w:pStyle w:val="FirstParagraph"/>
        <w:widowControl/>
      </w:pPr>
      <w:r>
        <w:t xml:space="preserve">Table 13 separates formal claims from empirical findings and records the</w:t>
      </w:r>
      <w:r>
        <w:t xml:space="preserve"> </w:t>
      </w:r>
      <w:r>
        <w:t xml:space="preserve">conditions and scope limits for each.</w:t>
      </w:r>
    </w:p>
    <w:p>
      <w:pPr>
        <w:pStyle w:val="TableCaption"/>
        <w:widowControl/>
      </w:pPr>
      <w:r>
        <w:t xml:space="preserve">Table 13. Formal half of the claim-to-support ledger. Each row separates its target and assumptions</w:t>
      </w:r>
      <w:r>
        <w:t xml:space="preserve"> </w:t>
      </w:r>
      <w:r>
        <w:t xml:space="preserve">from what is and is not supported.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13. Formal half of the claim-to-support ledger. Each row separates its target and assumptions from what is and is not supported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08"/>
        <w:gridCol w:w="2670"/>
        <w:gridCol w:w="2633"/>
        <w:gridCol w:w="2649"/>
      </w:tblGrid>
      <w:tr>
        <w:trPr>
          <w:tblHeader w:val="true"/>
          <w:cantSplit w:val="true"/>
        </w:trPr>
        <w:tc>
          <w:tcPr>
            <w:tcW w:w="20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Statement and target</w:t>
            </w:r>
          </w:p>
        </w:tc>
        <w:tc>
          <w:tcPr>
            <w:tcW w:w="26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Required assumption or protocol</w:t>
            </w:r>
          </w:p>
        </w:tc>
        <w:tc>
          <w:tcPr>
            <w:tcW w:w="26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Supported conclusion</w:t>
            </w:r>
          </w:p>
        </w:tc>
        <w:tc>
          <w:tcPr>
            <w:tcW w:w="26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Not supported</w:t>
            </w:r>
          </w:p>
        </w:tc>
      </w:tr>
      <w:tr>
        <w:trPr>
          <w:cantSplit w:val="true"/>
        </w:trPr>
        <w:tc>
          <w:tcPr>
            <w:tcW w:w="20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Disagreement reduction; population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  <w:tc>
          <w:tcPr>
            <w:tcW w:w="26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binary labels,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1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loss, fixed pair,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>
            <w:tcW w:w="26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w="26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calibration transfer or observability of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γ</m:t>
              </m:r>
            </m:oMath>
          </w:p>
        </w:tc>
      </w:tr>
      <w:tr>
        <w:trPr>
          <w:cantSplit w:val="true"/>
        </w:trPr>
        <w:tc>
          <w:tcPr>
            <w:tcW w:w="20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Interior ambiguity; population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  <w:tc>
          <w:tcPr>
            <w:tcW w:w="26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Thm. 1;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/>
                <w:sz w:val="16"/>
              </w:rPr>
              <w:t>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β</m:t>
              </m:r>
            </m:oMath>
            <w:r>
              <w:rPr>
                <w:rFonts w:ascii="Times New Roman" w:hAnsi="Times New Roman"/>
                <w:sz w:val="16"/>
              </w:rPr>
              <w:t>, fibre richness</w:t>
            </w:r>
          </w:p>
        </w:tc>
        <w:tc>
          <w:tcPr>
            <w:tcW w:w="26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evidence-identical laws with opposite nonzero benefit</w:t>
            </w:r>
          </w:p>
        </w:tc>
        <w:tc>
          <w:tcPr>
            <w:tcW w:w="26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ambiguity outside the declared class</w:t>
            </w:r>
          </w:p>
        </w:tc>
      </w:tr>
      <w:tr>
        <w:trPr>
          <w:cantSplit w:val="true"/>
        </w:trPr>
        <w:tc>
          <w:tcPr>
            <w:tcW w:w="20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Closed band; population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  <w:tc>
          <w:tcPr>
            <w:tcW w:w="26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Prop. 1; strict semantics and richness</w:t>
            </w:r>
          </w:p>
        </w:tc>
        <w:tc>
          <w:tcPr>
            <w:tcW w:w="26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no uniformly sound strict action on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β</m:t>
              </m:r>
            </m:oMath>
          </w:p>
        </w:tc>
        <w:tc>
          <w:tcPr>
            <w:tcW w:w="26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unequal task risk at every boundary law</w:t>
            </w:r>
          </w:p>
        </w:tc>
      </w:tr>
      <w:tr>
        <w:trPr>
          <w:cantSplit w:val="true"/>
        </w:trPr>
        <w:tc>
          <w:tcPr>
            <w:tcW w:w="20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Strict frontier; population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</m:oMath>
          </w:p>
        </w:tc>
        <w:tc>
          <w:tcPr>
            <w:tcW w:w="26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Thm. 2; fixed evidence and declared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C</m:t>
                  </m:r>
                </m:e>
                <m:sub>
                  <m:r>
                    <m:t>β</m:t>
                  </m:r>
                </m:sub>
              </m:sSub>
            </m:oMath>
          </w:p>
        </w:tc>
        <w:tc>
          <w:tcPr>
            <w:tcW w:w="26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pointwise maximal sound three-action rule</w:t>
            </w:r>
          </w:p>
        </w:tc>
        <w:tc>
          <w:tcPr>
            <w:tcW w:w="26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learning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β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from the unlabeled batch</w:t>
            </w:r>
          </w:p>
        </w:tc>
      </w:tr>
      <w:tr>
        <w:trPr>
          <w:cantSplit w:val="true"/>
        </w:trPr>
        <w:tc>
          <w:tcPr>
            <w:tcW w:w="20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Audit floor; residual radius</w:t>
            </w:r>
          </w:p>
        </w:tc>
        <w:tc>
          <w:tcPr>
            <w:tcW w:w="26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nonempty fibre, bounded attainable residuals, measurable audit, common joint evidence/randomization law, and uniform validity</w:t>
            </w:r>
          </w:p>
        </w:tc>
        <w:tc>
          <w:tcPr>
            <w:tcW w:w="26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≥</m:t>
              </m:r>
              <m:sSub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t>z</m:t>
                  </m:r>
                </m:sub>
              </m:sSub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with the stated probability</w:t>
            </w:r>
          </w:p>
        </w:tc>
        <w:tc>
          <w:tcPr>
            <w:tcW w:w="26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 finite-batch estimator or data-learned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β</m:t>
              </m:r>
            </m:oMath>
          </w:p>
        </w:tc>
      </w:tr>
      <w:tr>
        <w:trPr>
          <w:cantSplit w:val="true"/>
        </w:trPr>
        <w:tc>
          <w:tcPr>
            <w:tcW w:w="20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Coverage-to-action; declared cell target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B</m:t>
              </m:r>
            </m:oMath>
          </w:p>
        </w:tc>
        <w:tc>
          <w:tcPr>
            <w:tcW w:w="26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Prop. 2 and Eq. (9)</w:t>
            </w:r>
          </w:p>
        </w:tc>
        <w:tc>
          <w:tcPr>
            <w:tcW w:w="263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marginal false ADAPT and false FREEZE control for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B</m:t>
              </m:r>
            </m:oMath>
          </w:p>
        </w:tc>
        <w:tc>
          <w:tcPr>
            <w:tcW w:w="26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population-risk, conditional, group, or anytime control</w:t>
            </w:r>
          </w:p>
        </w:tc>
      </w:tr>
    </w:tbl>
    <w:p>
      <w:pPr>
        <w:widowControl/>
      </w:pPr>
    </w:p>
    <w:p>
      <w:pPr>
        <w:pStyle w:val="TableCaption"/>
        <w:widowControl/>
      </w:pPr>
      <w:r>
        <w:t xml:space="preserve">Table 14. Empirical and future-evidence half of the claim-to-support ledger. Evaluation units and</w:t>
      </w:r>
      <w:r>
        <w:t xml:space="preserve"> </w:t>
      </w:r>
      <w:r>
        <w:t xml:space="preserve">statuses remain protocol-specific; no row upgrades retrospective evidence.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14. Empirical and future-evidence half of the claim-to-support ledger. Evaluation units and statuses remain protocol-specific; no row upgrades retrospective evidenc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022"/>
        <w:gridCol w:w="2646"/>
        <w:gridCol w:w="2646"/>
        <w:gridCol w:w="2646"/>
      </w:tblGrid>
      <w:tr>
        <w:trPr>
          <w:tblHeader w:val="true"/>
          <w:cantSplit w:val="true"/>
        </w:trPr>
        <w:tc>
          <w:tcPr>
            <w:tcW w:w="202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Statement and target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Required assumption or protocol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Supported conclusion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Not supported</w:t>
            </w:r>
          </w:p>
        </w:tc>
      </w:tr>
      <w:tr>
        <w:trPr>
          <w:cantSplit w:val="true"/>
        </w:trPr>
        <w:tc>
          <w:tcPr>
            <w:tcW w:w="202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CIFAR-10-C; measured cells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opened one-checkpoint grid and outcome-disjoint cross-fit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candidate-specific actions, errors, and point regret; Tent nominal intervals favorable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prospective confirmation; six-contrast Holm rejection</w:t>
            </w:r>
          </w:p>
        </w:tc>
      </w:tr>
      <w:tr>
        <w:trPr>
          <w:cantSplit w:val="true"/>
        </w:trPr>
        <w:tc>
          <w:tcPr>
            <w:tcW w:w="202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CCT-20; measured cells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locked 45-cell protocol and declared utility endpoint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all-frozen utility preservation with 0/44/1 actions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selective routing, improvement over always-freeze, or population safety</w:t>
            </w:r>
          </w:p>
        </w:tc>
      </w:tr>
      <w:tr>
        <w:trPr>
          <w:cantSplit w:val="true"/>
        </w:trPr>
        <w:tc>
          <w:tcPr>
            <w:tcW w:w="202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Other natural replays; measured cells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Tables 8–9; fixed splits and candidates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protocol-specific retention or adverse behavior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one pooled success claim</w:t>
            </w:r>
          </w:p>
        </w:tc>
      </w:tr>
      <w:tr>
        <w:trPr>
          <w:cantSplit w:val="true"/>
        </w:trPr>
        <w:tc>
          <w:tcPr>
            <w:tcW w:w="202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So2Sat; development eligibility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Sec. 8.4; locked feasibility rules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no candidate passed the pre-target screen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gate calibration or a target score</w:t>
            </w:r>
          </w:p>
        </w:tc>
      </w:tr>
      <w:tr>
        <w:trPr>
          <w:cantSplit w:val="true"/>
        </w:trPr>
        <w:tc>
          <w:tcPr>
            <w:tcW w:w="202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DomainNet; opened development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Sec. B.11; shared cells, separate candidates and fixed diagnostics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universal abstention and adverse diagnostic outcomes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independent confirmation, pooled-trial inference, or selective-routing success</w:t>
            </w:r>
          </w:p>
        </w:tc>
      </w:tr>
      <w:tr>
        <w:trPr>
          <w:cantSplit w:val="true"/>
        </w:trPr>
        <w:tc>
          <w:tcPr>
            <w:tcW w:w="202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ImageNet-C; measured cells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Table 8; candidates and operating points kept separate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candidate-specific diagnostic evidence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dataset-wide or published-default conclusion</w:t>
            </w:r>
          </w:p>
        </w:tc>
      </w:tr>
      <w:tr>
        <w:trPr>
          <w:cantSplit w:val="true"/>
        </w:trPr>
        <w:tc>
          <w:tcPr>
            <w:tcW w:w="202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Other replay scope; recorded units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Tables 8–9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observed protocol behavior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structural unknowability or universal transfer</w:t>
            </w:r>
          </w:p>
        </w:tc>
      </w:tr>
      <w:tr>
        <w:trPr>
          <w:cantSplit w:val="true"/>
        </w:trPr>
        <w:tc>
          <w:tcPr>
            <w:tcW w:w="202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Prospective confirmation; future targets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Sec. K; diverse unopened environments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 frozen evaluation design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 current empirical result</w:t>
            </w:r>
          </w:p>
        </w:tc>
      </w:tr>
      <w:tr>
        <w:trPr>
          <w:cantSplit w:val="true"/>
        </w:trPr>
        <w:tc>
          <w:tcPr>
            <w:tcW w:w="202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Physical camera; future sessions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locked session split and held-out recordings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protocol infrastructure only</w:t>
            </w:r>
          </w:p>
        </w:tc>
        <w:tc>
          <w:tcPr>
            <w:tcW w:w="264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 completed camera result</w:t>
            </w:r>
          </w:p>
        </w:tc>
      </w:tr>
    </w:tbl>
    <w:bookmarkEnd w:id="93"/>
    <w:bookmarkStart w:id="98" w:name="d-calibration-and-evaluation-contracts"/>
    <w:p>
      <w:pPr>
        <w:pStyle w:val="Heading1"/>
        <w:widowControl/>
      </w:pPr>
      <w:r>
        <w:t xml:space="preserve">D Calibration and Evaluation Contracts</w:t>
      </w:r>
    </w:p>
    <w:bookmarkStart w:id="94" w:name="d.1-controlled-grid-contract"/>
    <w:p>
      <w:pPr>
        <w:pStyle w:val="Heading2"/>
        <w:widowControl/>
      </w:pPr>
      <w:r>
        <w:t xml:space="preserve">D.1 Controlled-Grid Contract</w:t>
      </w:r>
    </w:p>
    <w:p>
      <w:pPr>
        <w:pStyle w:val="FirstParagraph"/>
        <w:widowControl/>
      </w:pPr>
      <w:r>
        <w:t xml:space="preserve">The CIFAR-10-C grid is an opened, dependent, constructed six-family diagnostic. Its fitting unit is</w:t>
      </w:r>
      <w:r>
        <w:t xml:space="preserve"> </w:t>
      </w:r>
      <w:r>
        <w:t xml:space="preserve">the condition cell. Stable identifiers assign deterministic score folds. For each fold, its</w:t>
      </w:r>
      <w:r>
        <w:t xml:space="preserve"> </w:t>
      </w:r>
      <w:r>
        <w:t xml:space="preserve">complement is divided into disjoint estimator-fit and residual-calibration subsets.</w:t>
      </w:r>
      <w:r>
        <w:t xml:space="preserve"> </w:t>
      </w:r>
      <w:r>
        <w:t xml:space="preserve">The fitted predictor and exact-rank radius are then applied only to the score fold. Consequently,</w:t>
      </w:r>
      <w:r>
        <w:t xml:space="preserve"> </w:t>
      </w:r>
      <w:r>
        <w:t xml:space="preserve">the scored outcome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</m:oMath>
      <w:r>
        <w:t xml:space="preserve"> </w:t>
      </w:r>
      <w:r>
        <w:t xml:space="preserve">enters neither the fit nor the calibration set that</w:t>
      </w:r>
      <w:r>
        <w:t xml:space="preserve"> </w:t>
      </w:r>
      <w:r>
        <w:t xml:space="preserve">determines its own prediction, radius, or action. This is a three-way cell-outcome-disjoint</w:t>
      </w:r>
      <w:r>
        <w:t xml:space="preserve"> </w:t>
      </w:r>
      <w:r>
        <w:t xml:space="preserve">cross-fit, not leave-one-cell-out calibration.</w:t>
      </w:r>
    </w:p>
    <w:p>
      <w:pPr>
        <w:pStyle w:val="BodyText"/>
        <w:widowControl/>
      </w:pPr>
      <w:r>
        <w:t xml:space="preserve">The CIFAR-10-C grid uses one ResNet-18 checkpoint and five RNG stream/run seeds. Within each seed it</w:t>
      </w:r>
      <w:r>
        <w:t xml:space="preserve"> </w:t>
      </w:r>
      <w:r>
        <w:t xml:space="preserve">crosses six corruption families, severities 1 and 5, batch sizes 200/16/8, IID/imbalanced/single-class</w:t>
      </w:r>
      <w:r>
        <w:t xml:space="preserve"> </w:t>
      </w:r>
      <w:r>
        <w:t xml:space="preserve">composition, two update schedules (10 steps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and 50 steps at</w:t>
      </w:r>
      <w:r>
        <w:t xml:space="preserve"> </w:t>
      </w:r>
      <m:oMath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and</w:t>
      </w:r>
      <w:r>
        <w:t xml:space="preserve"> </w:t>
      </w:r>
      <w:r>
        <w:t xml:space="preserve">two repeats: 432 cells per seed and 2,160 per candidate. Point summaries weight cells equally. The</w:t>
      </w:r>
      <w:r>
        <w:t xml:space="preserve"> </w:t>
      </w:r>
      <w:r>
        <w:t xml:space="preserve">family analysis first averages seeds and cells within a family and then weights the six family means</w:t>
      </w:r>
      <w:r>
        <w:t xml:space="preserve"> </w:t>
      </w:r>
      <w:r>
        <w:t xml:space="preserve">equally. These are opened, dependent, constructed cells coupled through one corpus and checkpoint;</w:t>
      </w:r>
      <w:r>
        <w:t xml:space="preserve"> </w:t>
      </w:r>
      <w:r>
        <w:t xml:space="preserve">the cross-fit does not make them exchangeable or validate coverage on unseen environments.</w:t>
      </w:r>
    </w:p>
    <w:p>
      <w:pPr>
        <w:pStyle w:val="BodyText"/>
        <w:widowControl/>
      </w:pPr>
      <w:r>
        <w:t xml:space="preserve">Tent, EATA, and SAR are local protocol-matched ports. Candidate preview runs in training mode with</w:t>
      </w:r>
      <w:r>
        <w:t xml:space="preserve"> </w:t>
      </w:r>
      <w:r>
        <w:t xml:space="preserve">BatchNorm running statistics disabled, so the measured delta combines evaluation-batch statistic</w:t>
      </w:r>
      <w:r>
        <w:t xml:space="preserve"> </w:t>
      </w:r>
      <w:r>
        <w:t xml:space="preserve">replacement with gradient updates to normalization affine parameters. The two recorded update</w:t>
      </w:r>
      <w:r>
        <w:t xml:space="preserve"> </w:t>
      </w:r>
      <w:r>
        <w:t xml:space="preserve">schedules are part of the grid. They are not untouched reproductions of each method’s published</w:t>
      </w:r>
      <w:r>
        <w:t xml:space="preserve"> </w:t>
      </w:r>
      <w:r>
        <w:t xml:space="preserve">default operating point; the main text gives the additional SAR-specific departure.</w:t>
      </w:r>
    </w:p>
    <w:bookmarkEnd w:id="94"/>
    <w:bookmarkStart w:id="95" w:name="d.2-natural-shift-contract"/>
    <w:p>
      <w:pPr>
        <w:pStyle w:val="Heading2"/>
        <w:widowControl/>
      </w:pPr>
      <w:r>
        <w:t xml:space="preserve">D.2 Natural-Shift Contract</w:t>
      </w:r>
    </w:p>
    <w:p>
      <w:pPr>
        <w:pStyle w:val="FirstParagraph"/>
        <w:widowControl/>
      </w:pPr>
      <w:r>
        <w:t xml:space="preserve">Development conditions fit the benefit model; a disjoint calibration partition supplies residuals;</w:t>
      </w:r>
      <w:r>
        <w:t xml:space="preserve"> </w:t>
      </w:r>
      <w:r>
        <w:t xml:space="preserve">choices are frozen; and the target partition is scored once where the archived protocol records all</w:t>
      </w:r>
      <w:r>
        <w:t xml:space="preserve"> </w:t>
      </w:r>
      <w:r>
        <w:t xml:space="preserve">three stages. When the saved evidence does not support that complete chain, the row is marked</w:t>
      </w:r>
      <w:r>
        <w:t xml:space="preserve"> </w:t>
      </w:r>
      <w:r>
        <w:t xml:space="preserve">descriptive or diagnostic. Replaying a table does not strengthen its original design.</w:t>
      </w:r>
    </w:p>
    <w:p>
      <w:pPr>
        <w:pStyle w:val="BodyText"/>
        <w:widowControl/>
      </w:pPr>
      <w:r>
        <w:t xml:space="preserve">The candidate TTA step itself is transductive. Episodic candidates update on each unlabeled</w:t>
      </w:r>
      <w:r>
        <w:t xml:space="preserve"> </w:t>
      </w:r>
      <w:r>
        <w:t xml:space="preserve">evaluation batch before predicting that batch. Online candidates update on a separate auxiliary</w:t>
      </w:r>
      <w:r>
        <w:t xml:space="preserve"> </w:t>
      </w:r>
      <w:r>
        <w:t xml:space="preserve">stream, but prediction still uses evaluation-batch BatchNorm statistics. Thus</w:t>
      </w:r>
      <w:r>
        <w:t xml:space="preserve"> </w:t>
      </w:r>
      <w:r>
        <w:t xml:space="preserve">“disjoint”</w:t>
      </w:r>
      <w:r>
        <w:t xml:space="preserve"> </w:t>
      </w:r>
      <w:r>
        <w:t xml:space="preserve">above</w:t>
      </w:r>
      <w:r>
        <w:t xml:space="preserve"> </w:t>
      </w:r>
      <w:r>
        <w:t xml:space="preserve">refers to development, residual-calibration, and target partitions (and to the recorded auxiliary</w:t>
      </w:r>
      <w:r>
        <w:t xml:space="preserve"> </w:t>
      </w:r>
      <w:r>
        <w:t xml:space="preserve">stream versus evaluation sample identities); it does not mean that candidate inference is</w:t>
      </w:r>
      <w:r>
        <w:t xml:space="preserve"> </w:t>
      </w:r>
      <w:r>
        <w:t xml:space="preserve">inductive. No target labels enter adaptation, prediction, evidence, or the action.</w:t>
      </w:r>
    </w:p>
    <w:bookmarkEnd w:id="95"/>
    <w:bookmarkStart w:id="96" w:name="d.3-action-contract"/>
    <w:p>
      <w:pPr>
        <w:pStyle w:val="Heading2"/>
        <w:widowControl/>
      </w:pPr>
      <w:r>
        <w:t xml:space="preserve">D.3 Action Contract</w:t>
      </w:r>
    </w:p>
    <w:p>
      <w:pPr>
        <w:pStyle w:val="FirstParagraph"/>
        <w:widowControl/>
      </w:pPr>
      <w:r>
        <w:t xml:space="preserve">Every action is computed from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</m:oMath>
      <w:r>
        <w:t xml:space="preserve">, 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without target labels.</w:t>
      </w:r>
      <w:r>
        <w:t xml:space="preserve"> </w:t>
      </w:r>
      <w:r>
        <w:t xml:space="preserve">Offline labels determine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, the measured oracle action, empirical regret,</w:t>
      </w:r>
      <w:r>
        <w:t xml:space="preserve"> </w:t>
      </w:r>
      <w:r>
        <w:t xml:space="preserve">and false-commit indicators only after the action is fixed. Existing artifact fields named</w:t>
      </w:r>
      <w:r>
        <w:t xml:space="preserve"> </w:t>
      </w:r>
      <w:r>
        <w:rPr>
          <w:rStyle w:val="VerbatimChar"/>
        </w:rPr>
        <w:t xml:space="preserve">delta</w:t>
      </w:r>
      <w:r>
        <w:t xml:space="preserve"> </w:t>
      </w:r>
      <w:r>
        <w:t xml:space="preserve">store this cell outcome; their schema and numerical values are unchanged.</w:t>
      </w:r>
      <w:r>
        <w:t xml:space="preserve"> </w:t>
      </w:r>
      <w:r>
        <w:t xml:space="preserve">Abstention resolves to the frozen prediction for measured task-performance accounting, while its log</w:t>
      </w:r>
      <w:r>
        <w:t xml:space="preserve"> </w:t>
      </w:r>
      <w:r>
        <w:t xml:space="preserve">retains the distinction from an interval-supported FREEZE decision.</w:t>
      </w:r>
    </w:p>
    <w:p>
      <w:pPr>
        <w:pStyle w:val="BodyText"/>
        <w:widowControl/>
      </w:pPr>
      <w:r>
        <w:t xml:space="preserve">The whole-pipeline invariant is tested by perturbing one scored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rerunning all fits. Its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Δ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and action must remain unchanged. The maintained test</w:t>
      </w:r>
      <w:r>
        <w:t xml:space="preserve"> </w:t>
      </w:r>
      <w:r>
        <w:rPr>
          <w:rStyle w:val="VerbatimChar"/>
        </w:rPr>
        <w:t xml:space="preserve">tests/test_controlled_grid_crossfit.py</w:t>
      </w:r>
      <w:r>
        <w:t xml:space="preserve"> </w:t>
      </w:r>
      <w:r>
        <w:t xml:space="preserve">checks this for the implementation and also exhibits</w:t>
      </w:r>
      <w:r>
        <w:t xml:space="preserve"> </w:t>
      </w:r>
      <w:r>
        <w:t xml:space="preserve">the old radius leak as a negative control. This is a software non-leakage result for the scored cell;</w:t>
      </w:r>
      <w:r>
        <w:t xml:space="preserve"> </w:t>
      </w:r>
      <w:r>
        <w:t xml:space="preserve">it does not prove exchangeability, estimator validity, or future-domain coverage.</w:t>
      </w:r>
    </w:p>
    <w:bookmarkEnd w:id="96"/>
    <w:bookmarkStart w:id="97" w:name="d.4-configuration-contract"/>
    <w:p>
      <w:pPr>
        <w:pStyle w:val="Heading2"/>
        <w:widowControl/>
      </w:pPr>
      <w:r>
        <w:t xml:space="preserve">D.4 Configuration Contract</w:t>
      </w:r>
    </w:p>
    <w:p>
      <w:pPr>
        <w:pStyle w:val="FirstParagraph"/>
        <w:widowControl/>
      </w:pPr>
      <w:r>
        <w:t xml:space="preserve">A configuration identity binds the checkpoint, adapter and update settings, evidence schema,</w:t>
      </w:r>
      <w:r>
        <w:t xml:space="preserve"> </w:t>
      </w:r>
      <w:r>
        <w:t xml:space="preserve">benefit estimator, residual construction,</w:t>
      </w:r>
      <w:r>
        <w:t xml:space="preserve"> </w:t>
      </w:r>
      <m:oMath>
        <m:r>
          <m:t>α</m:t>
        </m:r>
      </m:oMath>
      <w:r>
        <w:t xml:space="preserve">, and action unit. Section</w:t>
      </w:r>
      <w:r>
        <w:t xml:space="preserve"> </w:t>
      </w:r>
      <w:r>
        <w:t xml:space="preserve">H records that identity once. Any mismatch requires a declared</w:t>
      </w:r>
      <w:r>
        <w:t xml:space="preserve"> </w:t>
      </w:r>
      <w:r>
        <w:t xml:space="preserve">transfer argument or recalibration; otherwise the controller does not commit.</w:t>
      </w:r>
    </w:p>
    <w:bookmarkEnd w:id="97"/>
    <w:bookmarkEnd w:id="98"/>
    <w:bookmarkStart w:id="99" w:name="e-decision-exposure-and-repetition-audit"/>
    <w:p>
      <w:pPr>
        <w:pStyle w:val="Heading1"/>
        <w:widowControl/>
      </w:pPr>
      <w:r>
        <w:t xml:space="preserve">E Decision Exposure and Repetition Audit</w:t>
      </w:r>
    </w:p>
    <w:p>
      <w:pPr>
        <w:pStyle w:val="FirstParagraph"/>
        <w:widowControl/>
      </w:pPr>
      <w:r>
        <w:t xml:space="preserve">Point regret alone can conceal whether a conservative match exercised the ADAPT branch. Table</w:t>
      </w:r>
      <w:r>
        <w:t xml:space="preserve"> </w:t>
      </w:r>
      <w:r>
        <w:t xml:space="preserve">15 therefore reconstructs action counts from the same canonical panel used</w:t>
      </w:r>
      <w:r>
        <w:t xml:space="preserve"> </w:t>
      </w:r>
      <w:r>
        <w:t xml:space="preserve">in the main-paper primary CIFAR table 5</w:t>
      </w:r>
      <w:r>
        <w:t xml:space="preserve"> </w:t>
      </w:r>
      <w:r>
        <w:t xml:space="preserve">and Tables 8 and 9. The three additional DomainNet</w:t>
      </w:r>
      <w:r>
        <w:t xml:space="preserve"> </w:t>
      </w:r>
      <w:r>
        <w:t xml:space="preserve">rows use the separate saved development summaries in Sec. B.11; they do</w:t>
      </w:r>
      <w:r>
        <w:t xml:space="preserve"> </w:t>
      </w:r>
      <w:r>
        <w:t xml:space="preserve">not change that canonical panel or form a pooled set of independent trials.</w:t>
      </w:r>
      <w:r>
        <w:t xml:space="preserve"> </w:t>
      </w:r>
      <w:r>
        <w:t xml:space="preserve">A/F/U denote adapt, freeze, and abstain. PACS is omitted from</w:t>
      </w:r>
      <w:r>
        <w:t xml:space="preserve"> </w:t>
      </w:r>
      <w:r>
        <w:t xml:space="preserve">the action table because the released aggregate cross-checks regret but does not contain the</w:t>
      </w:r>
      <w:r>
        <w:t xml:space="preserve"> </w:t>
      </w:r>
      <w:r>
        <w:t xml:space="preserve">per-cell benefit estimates and residuals required for a complete gate replay. We omit iWildCam</w:t>
      </w:r>
      <w:r>
        <w:t xml:space="preserve"> </w:t>
      </w:r>
      <w:r>
        <w:t xml:space="preserve">because its archived actions were scored under the wrong macro-F1 contract.</w:t>
      </w:r>
    </w:p>
    <w:p>
      <w:pPr>
        <w:pStyle w:val="TableCaption"/>
        <w:widowControl/>
      </w:pPr>
      <w:r>
        <w:t xml:space="preserve">Table 15. Action exposure in replayable rows. A/F/U denotes ADAPT/FREEZE/ABSTAIN. Counts are</w:t>
      </w:r>
      <w:r>
        <w:t xml:space="preserve"> </w:t>
      </w:r>
      <w:r>
        <w:t xml:space="preserve">unweighted evaluation cells, not independent experiments; regret tables use the weighting declared</w:t>
      </w:r>
      <w:r>
        <w:t xml:space="preserve"> </w:t>
      </w:r>
      <w:r>
        <w:t xml:space="preserve">by each protocol. False A/A and false F/F use the corresponding action denominator. A dash means</w:t>
      </w:r>
      <w:r>
        <w:t xml:space="preserve"> </w:t>
      </w:r>
      <w:r>
        <w:t xml:space="preserve">that the direction was unexposed or was not reconstructed by the maintained authority; it does not</w:t>
      </w:r>
      <w:r>
        <w:t xml:space="preserve"> </w:t>
      </w:r>
      <w:r>
        <w:t xml:space="preserve">mean zero error. Controlled-grid rows use the current three-way cross-fit; the remaining rows retain</w:t>
      </w:r>
      <w:r>
        <w:t xml:space="preserve"> </w:t>
      </w:r>
      <w:r>
        <w:t xml:space="preserve">their stated diagnostic protocol. The canonical numerical panel is bound to SHA-256</w:t>
      </w:r>
      <w:r>
        <w:t xml:space="preserve"> </w:t>
      </w:r>
      <w:r>
        <w:t xml:space="preserve">35d4c165843de1ece3cb35ffb4ac50dbfcbfa33b646754e2b6d133fbdfa78c6e; its input inventory is bound separately by the source manifest.</w:t>
      </w:r>
      <w:r>
        <w:t xml:space="preserve"> </w:t>
      </w:r>
      <w:r>
        <w:t xml:space="preserve">DomainNet rows have separate development authorities and are not part of that canonical panel.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15. Action exposure in replayable rows. A/F/U denotes ADAPT/FREEZE/ABSTAIN. Counts are unweighted evaluation cells, not independent experiments; regret tables use the weighting declared by each protocol. False A/A and false F/F use the corresponding action denominator. A dash means that the direction was unexposed or was not reconstructed by the maintained authority; it does not mean zero error. Controlled-grid rows use the current three-way cross-fit; the remaining rows retain their stated diagnostic protocol. The canonical numerical panel is bound to SHA-256 35d4c165843de1ece3cb35ffb4ac50dbfcbfa33b646754e2b6d133fbdfa78c6e; its input inventory is bound separately by the source manifest. DomainNet rows have separate development authorities and are not part of that canonical panel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121"/>
        <w:gridCol w:w="707"/>
        <w:gridCol w:w="707"/>
        <w:gridCol w:w="707"/>
        <w:gridCol w:w="707"/>
        <w:gridCol w:w="707"/>
        <w:gridCol w:w="707"/>
        <w:gridCol w:w="3597"/>
      </w:tblGrid>
      <w:tr>
        <w:trPr>
          <w:tblHeader w:val="true"/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Row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n</m:t>
              </m:r>
            </m:oMath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A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U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false A/A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false F/F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repetition / scope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Office–Home primary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35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11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2 test-stream seeds; ties freeze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Office–Home stream-seed repl.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54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39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0/1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3 test-stream seeds; point-only edge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ImageNet–C SAR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135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9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98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0/28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5 seeds</w:t>
            </w:r>
            <w:r>
              <w:rPr>
                <w:rFonts w:ascii="Times New Roman" w:hAnsi="Times New Roman"/>
                <w:sz w:val="14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27 cells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ImageNet–C Tent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135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3/3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5 seeds</w:t>
            </w:r>
            <w:r>
              <w:rPr>
                <w:rFonts w:ascii="Times New Roman" w:hAnsi="Times New Roman"/>
                <w:sz w:val="14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27 cells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ImageNet–C EATA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135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26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1/108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5 seeds</w:t>
            </w:r>
            <w:r>
              <w:rPr>
                <w:rFonts w:ascii="Times New Roman" w:hAnsi="Times New Roman"/>
                <w:sz w:val="14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27 cells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ImageNet–R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480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179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34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267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6/179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4 seeds</w:t>
            </w:r>
            <w:r>
              <w:rPr>
                <w:rFonts w:ascii="Times New Roman" w:hAnsi="Times New Roman"/>
                <w:sz w:val="14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10 backbones</w:t>
            </w:r>
            <w:r>
              <w:rPr>
                <w:rFonts w:ascii="Times New Roman" w:hAnsi="Times New Roman"/>
                <w:sz w:val="14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12 cells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CIFAR–10–C Tent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2160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1091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337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732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2/1091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1/337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5 seeds</w:t>
            </w:r>
            <w:r>
              <w:rPr>
                <w:rFonts w:ascii="Times New Roman" w:hAnsi="Times New Roman"/>
                <w:sz w:val="14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432 cells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CIFAR–10–C EATA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2160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1207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105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848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0/1207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0/105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5 seeds</w:t>
            </w:r>
            <w:r>
              <w:rPr>
                <w:rFonts w:ascii="Times New Roman" w:hAnsi="Times New Roman"/>
                <w:sz w:val="14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432 cells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CIFAR–10–C SAR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2160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1414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746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0/1414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no FREEZE exposure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CCT–20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45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44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1/44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5 checkpoints</w:t>
            </w:r>
            <w:r>
              <w:rPr>
                <w:rFonts w:ascii="Times New Roman" w:hAnsi="Times New Roman"/>
                <w:sz w:val="14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9 locations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DomainNet five-checkpoint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5 checkpoints</w:t>
            </w:r>
            <w:r>
              <w:rPr>
                <w:rFonts w:ascii="Times New Roman" w:hAnsi="Times New Roman"/>
                <w:sz w:val="14"/>
              </w:rP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rPr>
                <w:rFonts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24 shared development cells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DomainNet R50 entropy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separate opened development evaluation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DomainNet AdaContrast-derived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24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separate opened development evaluation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Camelyon17 OOD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0/18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opened helpful-only OOD subset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Camelyon17 B–v2 Tent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27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81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0/27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3 within-seed grids; diagnostic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Camelyon17 B–v2 EATA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51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57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3/51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3 within-seed grids; diagnostic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Camelyon17 B–v2 SAR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52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56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1/52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3 within-seed grids; diagnostic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RxRx1 J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60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model seed 0; 3-checkpoint audit also all-freeze</w:t>
            </w:r>
          </w:p>
        </w:tc>
      </w:tr>
      <w:tr>
        <w:trPr>
          <w:cantSplit w:val="true"/>
        </w:trPr>
        <w:tc>
          <w:tcPr>
            <w:tcW w:w="212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CIFAR–10.1 K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48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22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26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7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–</w:t>
            </w:r>
          </w:p>
        </w:tc>
        <w:tc>
          <w:tcPr>
            <w:tcW w:w="359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locked cross-seed replay</w:t>
            </w:r>
          </w:p>
        </w:tc>
      </w:tr>
    </w:tbl>
    <w:p>
      <w:pPr>
        <w:pStyle w:val="BodyText"/>
        <w:widowControl/>
      </w:pPr>
      <w:r>
        <w:t xml:space="preserve">The largest adapt exposure occurs on CIFAR-10-C, making it the main diagnostic of the adapt branch.</w:t>
      </w:r>
      <w:r>
        <w:t xml:space="preserve"> </w:t>
      </w:r>
      <w:r>
        <w:t xml:space="preserve">Tent records two false adaptations among 1,091 ADAPT decisions and one false FREEZE among 337</w:t>
      </w:r>
      <w:r>
        <w:t xml:space="preserve"> </w:t>
      </w:r>
      <w:r>
        <w:t xml:space="preserve">FREEZE decisions; EATA and SAR record no false adaptations, although SAR never exposes FREEZE.</w:t>
      </w:r>
      <w:r>
        <w:t xml:space="preserve"> </w:t>
      </w:r>
      <w:r>
        <w:t xml:space="preserve">The CCT-20 row supplies the complementary all-frozen case: one false FREEZE among 44 FREEZE</w:t>
      </w:r>
      <w:r>
        <w:t xml:space="preserve"> </w:t>
      </w:r>
      <w:r>
        <w:t xml:space="preserve">decisions and no ADAPT exposure. Primary Office-Home</w:t>
      </w:r>
      <w:r>
        <w:t xml:space="preserve"> </w:t>
      </w:r>
      <w:r>
        <w:t xml:space="preserve">and RxRx1 have zero adapt exposure, while the 54-cell Office-Home replication has one adapt decision.</w:t>
      </w:r>
      <w:r>
        <w:t xml:space="preserve"> </w:t>
      </w:r>
      <w:r>
        <w:t xml:space="preserve">Those rows chiefly test conservative retention. The invalid five-checkpoint Office-Home route and</w:t>
      </w:r>
      <w:r>
        <w:t xml:space="preserve"> </w:t>
      </w:r>
      <w:r>
        <w:t xml:space="preserve">the invalid-metric iWildCam archive are excluded. Camelyon17 OOD has the opposite limitation: every</w:t>
      </w:r>
      <w:r>
        <w:t xml:space="preserve"> </w:t>
      </w:r>
      <w:r>
        <w:t xml:space="preserve">archived cell is helpful and every action adapts. On ImageNet-C, Tent makes three ADAPT decisions and</w:t>
      </w:r>
      <w:r>
        <w:t xml:space="preserve"> </w:t>
      </w:r>
      <w:r>
        <w:t xml:space="preserve">all are false adaptations, whereas EATA makes 108 ADAPT decisions with one false adaptation and SAR</w:t>
      </w:r>
      <w:r>
        <w:t xml:space="preserve"> </w:t>
      </w:r>
      <w:r>
        <w:t xml:space="preserve">makes 28 with none. Similar regret values can therefore hide different operating behavior.</w:t>
      </w:r>
    </w:p>
    <w:p>
      <w:pPr>
        <w:pStyle w:val="BodyText"/>
        <w:widowControl/>
      </w:pPr>
      <w:r>
        <w:t xml:space="preserve">The repetition column also prevents a common inflation of evidence. Five seeds of one checkpoint</w:t>
      </w:r>
      <w:r>
        <w:t xml:space="preserve"> </w:t>
      </w:r>
      <w:r>
        <w:t xml:space="preserve">and grid protocol are not five independently designed studies. Ten ImageNet-R backbones are a panel</w:t>
      </w:r>
      <w:r>
        <w:t xml:space="preserve"> </w:t>
      </w:r>
      <w:r>
        <w:t xml:space="preserve">of candidate policies, not ten target domains for one frozen gate. Three Camelyon17 within-seed</w:t>
      </w:r>
      <w:r>
        <w:t xml:space="preserve"> </w:t>
      </w:r>
      <w:r>
        <w:t xml:space="preserve">grids permit a stability diagnostic but do not create an untouched hospital-domain replication.</w:t>
      </w:r>
      <w:r>
        <w:t xml:space="preserve"> </w:t>
      </w:r>
      <w:r>
        <w:t xml:space="preserve">RxRx1 is stronger on model variation because the source checkpoint is independently trained three</w:t>
      </w:r>
      <w:r>
        <w:t xml:space="preserve"> </w:t>
      </w:r>
      <w:r>
        <w:t xml:space="preserve">times, but its all-freeze behavior still provides no adapt exposure.</w:t>
      </w:r>
    </w:p>
    <w:bookmarkEnd w:id="99"/>
    <w:bookmarkStart w:id="105" w:name="f-inference-discipline"/>
    <w:p>
      <w:pPr>
        <w:pStyle w:val="Heading1"/>
        <w:widowControl/>
      </w:pPr>
      <w:r>
        <w:t xml:space="preserve">F Inference Discipline</w:t>
      </w:r>
    </w:p>
    <w:bookmarkStart w:id="100" w:name="X92ea673528478d63014280cded111ac8363548a"/>
    <w:p>
      <w:pPr>
        <w:pStyle w:val="Heading2"/>
        <w:widowControl/>
      </w:pPr>
      <w:r>
        <w:t xml:space="preserve">F.1 Point Estimates, Paired Gaps, and Clusters</w:t>
      </w:r>
    </w:p>
    <w:p>
      <w:pPr>
        <w:pStyle w:val="FirstParagraph"/>
        <w:widowControl/>
      </w:pPr>
      <w:r>
        <w:t xml:space="preserve">For a baseline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always-adapt</m:t>
        </m:r>
        <m:r>
          <m:rPr>
            <m:sty m:val="p"/>
          </m:rPr>
          <m:t>,</m:t>
        </m:r>
        <m:r>
          <m:rPr>
            <m:nor/>
            <m:sty m:val="p"/>
          </m:rPr>
          <m:t>always-freeze</m:t>
        </m:r>
        <m:r>
          <m:rPr>
            <m:sty m:val="p"/>
          </m:rPr>
          <m:t>}</m:t>
        </m:r>
      </m:oMath>
      <w:r>
        <w:t xml:space="preserve">, the paired routing gap at</w:t>
      </w:r>
      <w:r>
        <w:t xml:space="preserve"> </w:t>
      </w:r>
      <w:r>
        <w:t xml:space="preserve">condition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  <w:widowControl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b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regret</m:t>
              </m:r>
            </m:e>
            <m:sub>
              <m:r>
                <m:t>b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regret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A positive mean gap means lower regret for KGA. All paired routing-gap intervals reported in this</w:t>
      </w:r>
      <w:r>
        <w:t xml:space="preserve"> </w:t>
      </w:r>
      <w:r>
        <w:t xml:space="preserve">paper use this baseline-minus-KGA sign convention. The point-estimate two-comparator criterion requires both</w:t>
      </w:r>
      <w:r>
        <w:t xml:space="preserve"> </w:t>
      </w:r>
      <w:r>
        <w:t xml:space="preserve">means to be positive. Interval support additionally requires the lower confidence limit for both</w:t>
      </w:r>
      <w:r>
        <w:t xml:space="preserve"> </w:t>
      </w:r>
      <w:r>
        <w:t xml:space="preserve">paired means to exceed zero at the declared resampling unit. These definitions are intentionally separate:</w:t>
      </w:r>
      <w:r>
        <w:t xml:space="preserve"> </w:t>
      </w:r>
      <w:r>
        <w:t xml:space="preserve">Table 8 can establish a point ordering, but not an inference claim without</w:t>
      </w:r>
      <w:r>
        <w:t xml:space="preserve"> </w:t>
      </w:r>
      <w:r>
        <w:t xml:space="preserve">the associated unit, interval artifact, and justified coverage assumptions. A positive computed</w:t>
      </w:r>
      <w:r>
        <w:t xml:space="preserve"> </w:t>
      </w:r>
      <w:r>
        <w:t xml:space="preserve">lower endpoint is numerical interval support under the resampling model, not verified coverage.</w:t>
      </w:r>
      <w:r>
        <w:t xml:space="preserve"> </w:t>
      </w:r>
      <w:r>
        <w:t xml:space="preserve">Multiplicity adjustments do not repair invalid marginal intervals or tests.</w:t>
      </w:r>
    </w:p>
    <w:p>
      <w:pPr>
        <w:pStyle w:val="BodyText"/>
        <w:widowControl/>
      </w:pPr>
      <w:r>
        <w:t xml:space="preserve">Condition-level resampling treats cells as exchangeable and can understate uncertainty when</w:t>
      </w:r>
      <w:r>
        <w:t xml:space="preserve"> </w:t>
      </w:r>
      <w:r>
        <w:t xml:space="preserve">severities and compositions share a corruption family. Corruption-family resampling preserves</w:t>
      </w:r>
      <w:r>
        <w:t xml:space="preserve"> </w:t>
      </w:r>
      <w:r>
        <w:t xml:space="preserve">observed within-family dependence, but few clusters limit reliability; conservativeness is not</w:t>
      </w:r>
      <w:r>
        <w:t xml:space="preserve"> </w:t>
      </w:r>
      <w:r>
        <w:t xml:space="preserve">guaranteed. Seed resampling measures variation across repeated training or test streams only when</w:t>
      </w:r>
      <w:r>
        <w:t xml:space="preserve"> </w:t>
      </w:r>
      <w:r>
        <w:t xml:space="preserve">the seeds represent the intended deployment randomness. The compact paper therefore does not use</w:t>
      </w:r>
      <w:r>
        <w:t xml:space="preserve"> </w:t>
      </w:r>
      <w:r>
        <w:t xml:space="preserve">one generic</w:t>
      </w:r>
      <w:r>
        <w:t xml:space="preserve"> </w:t>
      </w:r>
      <w:r>
        <w:t xml:space="preserve">“bootstrap CI”</w:t>
      </w:r>
      <w:r>
        <w:t xml:space="preserve"> </w:t>
      </w:r>
      <w:r>
        <w:t xml:space="preserve">label. An inference claim must state whether the unit is cell,</w:t>
      </w:r>
      <w:r>
        <w:t xml:space="preserve"> </w:t>
      </w:r>
      <w:r>
        <w:t xml:space="preserve">corruption–severity pair, corruption family, seed, backbone, domain, or physical session.</w:t>
      </w:r>
    </w:p>
    <w:p>
      <w:pPr>
        <w:pStyle w:val="BodyText"/>
        <w:widowControl/>
      </w:pPr>
      <w:r>
        <w:t xml:space="preserve">For a vector of cluster gaps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, the exact sign-flip reference calculation uses</w:t>
      </w:r>
      <w:r>
        <w:t xml:space="preserve"> </w:t>
      </w:r>
      <w:r>
        <w:t xml:space="preserve">the joint null condition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t>G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t>d</m:t>
              </m:r>
            </m:lim>
          </m:limUpp>
          <m:r>
            <m:t>s</m:t>
          </m:r>
          <m:r>
            <m:rPr>
              <m:sty m:val="p"/>
            </m:rPr>
            <m:t>⊙</m:t>
          </m:r>
          <m:r>
            <m:t>G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s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}</m:t>
              </m:r>
            </m:e>
            <m:sup>
              <m:r>
                <m:t>m</m:t>
              </m:r>
            </m:sup>
          </m:sSup>
          <m:r>
            <m:t> </m:t>
          </m:r>
          <m:r>
            <m:rPr>
              <m:nor/>
              <m:sty m:val="p"/>
            </m:rPr>
            <m:t>(16)</m:t>
          </m:r>
        </m:oMath>
      </m:oMathPara>
    </w:p>
    <w:p>
      <w:pPr>
        <w:pStyle w:val="FirstParagraph"/>
        <w:widowControl/>
      </w:pPr>
      <w:r>
        <w:t xml:space="preserve">Independent zero-symmetric cluster gaps are sufficient. Exchangeability, marginal symmetry, or one</w:t>
      </w:r>
      <w:r>
        <w:t xml:space="preserve"> </w:t>
      </w:r>
      <w:r>
        <w:t xml:space="preserve">global sign symmetry alone is not sufficient. Enumeration removes Monte Carlo error but does not</w:t>
      </w:r>
      <w:r>
        <w:t xml:space="preserve"> </w:t>
      </w:r>
      <w:r>
        <w:t xml:space="preserve">establish this null condition.</w:t>
      </w:r>
    </w:p>
    <w:bookmarkEnd w:id="100"/>
    <w:bookmarkStart w:id="101" w:name="Xe169346623676858fbac37c3e96ae5655fe6c2f"/>
    <w:p>
      <w:pPr>
        <w:pStyle w:val="Heading2"/>
        <w:widowControl/>
      </w:pPr>
      <w:r>
        <w:t xml:space="preserve">F.2 Current-Policy Corruption-Family Sensitivity</w:t>
      </w:r>
    </w:p>
    <w:p>
      <w:pPr>
        <w:pStyle w:val="FirstParagraph"/>
        <w:widowControl/>
      </w:pPr>
      <w:r>
        <w:t xml:space="preserve">The retrospective family contains all six candidate-by-baseline contrasts. The replay policy,</w:t>
      </w:r>
      <w:r>
        <w:t xml:space="preserve"> </w:t>
      </w:r>
      <w:r>
        <w:t xml:space="preserve">corruption-family unit, sign-flip reference test, and Holm adjustment were selected after the</w:t>
      </w:r>
      <w:r>
        <w:t xml:space="preserve"> </w:t>
      </w:r>
      <w:r>
        <w:t xml:space="preserve">underlying CIFAR outcomes were open.</w:t>
      </w:r>
      <w:r>
        <w:t xml:space="preserve"> </w:t>
      </w:r>
      <w:r>
        <w:t xml:space="preserve">The current-policy artifact averages run seeds and condition cells within each of the six families.</w:t>
      </w:r>
      <w:r>
        <w:t xml:space="preserve"> </w:t>
      </w:r>
      <w:r>
        <w:t xml:space="preserve">Tent’s nominal intervals favor KGA against always-adapt (</w:t>
      </w:r>
      <m:oMath>
        <m:r>
          <m:rPr>
            <m:sty m:val="p"/>
          </m:rPr>
          <m:t>[</m:t>
        </m:r>
        <m:r>
          <m:t>0.002087</m:t>
        </m:r>
        <m:r>
          <m:rPr>
            <m:sty m:val="p"/>
          </m:rPr>
          <m:t>,</m:t>
        </m:r>
        <m:r>
          <m:t>0.009537</m:t>
        </m:r>
        <m:r>
          <m:rPr>
            <m:sty m:val="p"/>
          </m:rPr>
          <m:t>]</m:t>
        </m:r>
      </m:oMath>
      <w:r>
        <w:t xml:space="preserve">) and always-freeze</w:t>
      </w:r>
      <w:r>
        <w:t xml:space="preserve"> </w:t>
      </w:r>
      <w:r>
        <w:t xml:space="preserve">(</w:t>
      </w:r>
      <m:oMath>
        <m:r>
          <m:rPr>
            <m:sty m:val="p"/>
          </m:rPr>
          <m:t>[</m:t>
        </m:r>
        <m:r>
          <m:t>0.062822</m:t>
        </m:r>
        <m:r>
          <m:rPr>
            <m:sty m:val="p"/>
          </m:rPr>
          <m:t>,</m:t>
        </m:r>
        <m:r>
          <m:t>0.177573</m:t>
        </m:r>
        <m:r>
          <m:rPr>
            <m:sty m:val="p"/>
          </m:rPr>
          <m:t>]</m:t>
        </m:r>
      </m:oMath>
      <w:r>
        <w:t xml:space="preserve">). EATA’s adapt-side interval crosses zero</w:t>
      </w:r>
      <w:r>
        <w:t xml:space="preserve"> </w:t>
      </w:r>
      <w:r>
        <w:t xml:space="preserve">(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0.001348</m:t>
        </m:r>
        <m:r>
          <m:rPr>
            <m:sty m:val="p"/>
          </m:rPr>
          <m:t>,</m:t>
        </m:r>
        <m:r>
          <m:t>0.004382</m:t>
        </m:r>
        <m:r>
          <m:rPr>
            <m:sty m:val="p"/>
          </m:rPr>
          <m:t>]</m:t>
        </m:r>
      </m:oMath>
      <w:r>
        <w:t xml:space="preserve">), although its freeze-side interval is positive. SAR is worse than</w:t>
      </w:r>
      <w:r>
        <w:t xml:space="preserve"> </w:t>
      </w:r>
      <w:r>
        <w:t xml:space="preserve">always-adapt. These nominal bootstrap intervals are distinct from the retrospective sign-flip/Holm</w:t>
      </w:r>
      <w:r>
        <w:t xml:space="preserve"> </w:t>
      </w:r>
      <w:r>
        <w:t xml:space="preserve">analysis. The within-Tent two-contrast Holm calculation is itself post hoc and is not the six-test</w:t>
      </w:r>
      <w:r>
        <w:t xml:space="preserve"> </w:t>
      </w:r>
      <w:r>
        <w:t xml:space="preserve">family reported in Table 16.</w:t>
      </w:r>
    </w:p>
    <w:p>
      <w:pPr>
        <w:pStyle w:val="TableCaption"/>
        <w:widowControl/>
      </w:pPr>
      <w:r>
        <w:t xml:space="preserve">Table 16. Retrospective sensitivity over six opened CIFAR-10-C corruption families. Each candidate</w:t>
      </w:r>
      <w:r>
        <w:t xml:space="preserve"> </w:t>
      </w:r>
      <w:r>
        <w:t xml:space="preserve">uses 2,160 cells from one checkpoint; seeds and conditions are averaged within family, and the six</w:t>
      </w:r>
      <w:r>
        <w:t xml:space="preserve"> </w:t>
      </w:r>
      <w:r>
        <w:t xml:space="preserve">family means receive equal weight. Entries are baseline regret minus KGA regret with nominal,</w:t>
      </w:r>
      <w:r>
        <w:t xml:space="preserve"> </w:t>
      </w:r>
      <w:r>
        <w:t xml:space="preserve">unadjusted 95% family-bootstrap intervals; positive values favor KGA. Holm values adjust the six</w:t>
      </w:r>
      <w:r>
        <w:t xml:space="preserve"> </w:t>
      </w:r>
      <w:r>
        <w:t xml:space="preserve">retrospective sign-flip reference tests. For Tent, the post-hoc within-candidate Holm values are</w:t>
      </w:r>
      <w:r>
        <w:t xml:space="preserve"> </w:t>
      </w:r>
      <m:oMath>
        <m:r>
          <m:t>0.046875</m:t>
        </m:r>
      </m:oMath>
      <w:r>
        <w:t xml:space="preserve"> </w:t>
      </w:r>
      <w:r>
        <w:t xml:space="preserve">(adapt) and</w:t>
      </w:r>
      <w:r>
        <w:t xml:space="preserve"> </w:t>
      </w:r>
      <m:oMath>
        <m:r>
          <m:t>0.03125</m:t>
        </m:r>
      </m:oMath>
      <w:r>
        <w:t xml:space="preserve"> </w:t>
      </w:r>
      <w:r>
        <w:t xml:space="preserve">(freeze), while the six-contrast values are</w:t>
      </w:r>
      <w:r>
        <w:t xml:space="preserve"> </w:t>
      </w:r>
      <m:oMath>
        <m:r>
          <m:t>0.140625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0.09375</m:t>
        </m:r>
      </m:oMath>
      <w:r>
        <w:t xml:space="preserve">. The replay, unit, tests, and adjustment were not preregistered. The table supplies no</w:t>
      </w:r>
      <w:r>
        <w:t xml:space="preserve"> </w:t>
      </w:r>
      <w:r>
        <w:t xml:space="preserve">verified coverage, independent-checkpoint inference, prospective confirmation, natural-shift</w:t>
      </w:r>
      <w:r>
        <w:t xml:space="preserve"> </w:t>
      </w:r>
      <w:r>
        <w:t xml:space="preserve">evidence, or official POEM/AETTA comparison.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16. Retrospective sensitivity over six opened CIFAR-10-C corruption families. Each candidate uses 2,160 cells from one checkpoint; seeds and conditions are averaged within family, and the six family means receive equal weight. Entries are baseline regret minus KGA regret with nominal, unadjusted 95% family-bootstrap intervals; positive values favor KGA. Holm values adjust the six retrospective sign-flip reference tests. For Tent, the post-hoc within-candidate Holm values are 0.046875 (adapt) and 0.03125 (freeze), while the six-contrast values are 0.140625 and 0.09375. The replay, unit, tests, and adjustment were not preregistered. The table supplies no verified coverage, independent-checkpoint inference, prospective confirmation, natural-shift evidence, or official POEM/AETTA comparison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23"/>
        <w:gridCol w:w="3495"/>
        <w:gridCol w:w="3284"/>
        <w:gridCol w:w="2258"/>
      </w:tblGrid>
      <w:tr>
        <w:trPr>
          <w:tblHeader w:val="true"/>
          <w:cantSplit w:val="true"/>
        </w:trPr>
        <w:tc>
          <w:tcPr>
            <w:tcW w:w="92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Candidate</w:t>
            </w:r>
          </w:p>
        </w:tc>
        <w:tc>
          <w:tcPr>
            <w:tcW w:w="349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Adapt gap [95% CI]</w:t>
            </w:r>
          </w:p>
        </w:tc>
        <w:tc>
          <w:tcPr>
            <w:tcW w:w="328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Freeze gap [95% CI]</w:t>
            </w:r>
          </w:p>
        </w:tc>
        <w:tc>
          <w:tcPr>
            <w:tcW w:w="22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Six-way Holm</w:t>
            </w:r>
            <w:r>
              <w:rPr>
                <w:rFonts w:ascii="Times New Roman" w:hAnsi="Times New Roman"/>
                <w:b/>
                <w:sz w:val="16"/>
              </w:rPr>
              <w:t xml:space="preserve"> </w:t>
            </w:r>
            <m:oMath>
              <m:r>
                <m:t>p</m:t>
              </m:r>
            </m:oMath>
            <w:r>
              <w:rPr>
                <w:rFonts w:ascii="Times New Roman" w:hAnsi="Times New Roman"/>
                <w:b/>
                <w:sz w:val="16"/>
              </w:rPr>
              <w:t xml:space="preserve"> </w:t>
            </w:r>
            <w:r>
              <w:rPr>
                <w:rFonts w:ascii="Times New Roman" w:hAnsi="Times New Roman"/>
                <w:b/>
                <w:sz w:val="16"/>
              </w:rPr>
              <w:t>(A/F)</w:t>
            </w:r>
          </w:p>
        </w:tc>
      </w:tr>
      <w:tr>
        <w:trPr>
          <w:cantSplit w:val="true"/>
        </w:trPr>
        <w:tc>
          <w:tcPr>
            <w:tcW w:w="92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Tent</w:t>
            </w:r>
          </w:p>
        </w:tc>
        <w:tc>
          <w:tcPr>
            <w:tcW w:w="349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0.00606 [0.00209, 0.00954]</w:t>
            </w:r>
          </w:p>
        </w:tc>
        <w:tc>
          <w:tcPr>
            <w:tcW w:w="328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0.12202 [0.06282, 0.17757]</w:t>
            </w:r>
          </w:p>
        </w:tc>
        <w:tc>
          <w:tcPr>
            <w:tcW w:w="22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0.14062/0.09375</w:t>
            </w:r>
          </w:p>
        </w:tc>
      </w:tr>
      <w:tr>
        <w:trPr>
          <w:cantSplit w:val="true"/>
        </w:trPr>
        <w:tc>
          <w:tcPr>
            <w:tcW w:w="92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EATA</w:t>
            </w:r>
          </w:p>
        </w:tc>
        <w:tc>
          <w:tcPr>
            <w:tcW w:w="349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0.00164 [-0.00135, 0.00438]</w:t>
            </w:r>
          </w:p>
        </w:tc>
        <w:tc>
          <w:tcPr>
            <w:tcW w:w="328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0.12970 [0.06893, 0.18746]</w:t>
            </w:r>
          </w:p>
        </w:tc>
        <w:tc>
          <w:tcPr>
            <w:tcW w:w="22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0.31250/0.09375</w:t>
            </w:r>
          </w:p>
        </w:tc>
      </w:tr>
      <w:tr>
        <w:trPr>
          <w:cantSplit w:val="true"/>
        </w:trPr>
        <w:tc>
          <w:tcPr>
            <w:tcW w:w="92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SAR</w:t>
            </w:r>
          </w:p>
        </w:tc>
        <w:tc>
          <w:tcPr>
            <w:tcW w:w="349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-0.00145 [-0.00294, -0.00027]</w:t>
            </w:r>
          </w:p>
        </w:tc>
        <w:tc>
          <w:tcPr>
            <w:tcW w:w="328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0.13869 [0.07972, 0.19683]</w:t>
            </w:r>
          </w:p>
        </w:tc>
        <w:tc>
          <w:tcPr>
            <w:tcW w:w="22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6"/>
              </w:rPr>
              <w:t>0.90625/0.09375</w:t>
            </w:r>
          </w:p>
        </w:tc>
      </w:tr>
    </w:tbl>
    <w:bookmarkEnd w:id="101"/>
    <w:bookmarkStart w:id="102" w:name="X438b288f42c3f87918d141c127c3c01c9d2bb3b"/>
    <w:p>
      <w:pPr>
        <w:pStyle w:val="Heading2"/>
        <w:widowControl/>
      </w:pPr>
      <w:r>
        <w:t xml:space="preserve">F.3 Retrospective Interval Inclusion by Family</w:t>
      </w:r>
    </w:p>
    <w:p>
      <w:pPr>
        <w:pStyle w:val="FirstParagraph"/>
        <w:widowControl/>
      </w:pPr>
      <w:r>
        <w:t xml:space="preserve">This audit summarizes the stored per-cell authority produced by the three-way cross-fit. For every</w:t>
      </w:r>
      <w:r>
        <w:t xml:space="preserve"> </w:t>
      </w:r>
      <w:r>
        <w:t xml:space="preserve">scored cell, its measured outcome was absent from both estimator fitting and residual calibration.</w:t>
      </w:r>
      <w:r>
        <w:t xml:space="preserve"> </w:t>
      </w:r>
      <w:r>
        <w:t xml:space="preserve">The audit performs no tuning, new target access, or training; it verifies the stored predictions,</w:t>
      </w:r>
      <w:r>
        <w:t xml:space="preserve"> </w:t>
      </w:r>
      <w:r>
        <w:t xml:space="preserve">radii, actions, and input/code/output digests.</w:t>
      </w:r>
    </w:p>
    <w:p>
      <w:pPr>
        <w:pStyle w:val="BodyText"/>
        <w:widowControl/>
      </w:pPr>
      <w:r>
        <w:t xml:space="preserve">The observed inclusion counts are 1,976/2,160 for Tent, 1,950/2,160 for EATA, and 1,949/2,160 for</w:t>
      </w:r>
      <w:r>
        <w:t xml:space="preserve"> </w:t>
      </w:r>
      <w:r>
        <w:t xml:space="preserve">SAR. Tent also has one false FREEZE among 337 FREEZE decisions. These are in-sample cross-fit</w:t>
      </w:r>
      <w:r>
        <w:t xml:space="preserve"> </w:t>
      </w:r>
      <w:r>
        <w:t xml:space="preserve">diagnostics on opened, dependent cells, not independent estimates for new environments. Family rows</w:t>
      </w:r>
      <w:r>
        <w:t xml:space="preserve"> </w:t>
      </w:r>
      <w:r>
        <w:t xml:space="preserve">localize misses and widths but do not supply group-conditional guarantees. The nominal 90% setting</w:t>
      </w:r>
      <w:r>
        <w:t xml:space="preserve"> </w:t>
      </w:r>
      <w:r>
        <w:t xml:space="preserve">is therefore not a validated coverage promise.</w:t>
      </w:r>
    </w:p>
    <w:p>
      <w:pPr>
        <w:pStyle w:val="TableCaption"/>
        <w:widowControl/>
      </w:pPr>
      <w:r>
        <w:t xml:space="preserve">Table 17. Overall retrospective interval diagnostics for 2,160 equally weighted cells per</w:t>
      </w:r>
      <w:r>
        <w:t xml:space="preserve"> </w:t>
      </w:r>
      <w:r>
        <w:t xml:space="preserve">CIFAR-10-C candidate. Inclusion concerns measured cell benefit, not population benefit. Marginal</w:t>
      </w:r>
      <w:r>
        <w:t xml:space="preserve"> </w:t>
      </w:r>
      <w:r>
        <w:t xml:space="preserve">directional errors divide by all cells; conditional errors divide by the corresponding action</w:t>
      </w:r>
      <w:r>
        <w:t xml:space="preserve"> </w:t>
      </w:r>
      <w:r>
        <w:t xml:space="preserve">count and are undefined when that action is absent.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17. Overall retrospective interval diagnostics for 2,160 equally weighted cells per CIFAR-10-C candidate. Inclusion concerns measured cell benefit, not population benefit. Marginal directional errors divide by all cells; conditional errors divide by the corresponding action count and are undefined when that action is absent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882"/>
        <w:gridCol w:w="882"/>
        <w:gridCol w:w="882"/>
        <w:gridCol w:w="958"/>
        <w:gridCol w:w="1025"/>
        <w:gridCol w:w="1160"/>
        <w:gridCol w:w="1025"/>
        <w:gridCol w:w="1638"/>
        <w:gridCol w:w="1508"/>
      </w:tblGrid>
      <w:tr>
        <w:trPr>
          <w:tblHeader w:val="true"/>
          <w:cantSplit w:val="true"/>
        </w:trPr>
        <w:tc>
          <w:tcPr>
            <w:tcW w:w="8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Candidate</w:t>
            </w:r>
          </w:p>
        </w:tc>
        <w:tc>
          <w:tcPr>
            <w:tcW w:w="8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n</m:t>
              </m:r>
            </m:oMath>
          </w:p>
        </w:tc>
        <w:tc>
          <w:tcPr>
            <w:tcW w:w="8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Nominal</w:t>
            </w:r>
          </w:p>
        </w:tc>
        <w:tc>
          <w:tcPr>
            <w:tcW w:w="9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Inclusion</w:t>
            </w:r>
          </w:p>
        </w:tc>
        <w:tc>
          <w:tcPr>
            <w:tcW w:w="102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Mean width</w:t>
            </w:r>
          </w:p>
        </w:tc>
        <w:tc>
          <w:tcPr>
            <w:tcW w:w="11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Median width</w:t>
            </w:r>
          </w:p>
        </w:tc>
        <w:tc>
          <w:tcPr>
            <w:tcW w:w="102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Commitment</w:t>
            </w:r>
          </w:p>
        </w:tc>
        <w:tc>
          <w:tcPr>
            <w:tcW w:w="16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5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rPr>
          <w:cantSplit w:val="true"/>
        </w:trPr>
        <w:tc>
          <w:tcPr>
            <w:tcW w:w="8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TENT</w:t>
            </w:r>
          </w:p>
        </w:tc>
        <w:tc>
          <w:tcPr>
            <w:tcW w:w="8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2160</w:t>
            </w:r>
          </w:p>
        </w:tc>
        <w:tc>
          <w:tcPr>
            <w:tcW w:w="8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0.9000</w:t>
            </w:r>
          </w:p>
        </w:tc>
        <w:tc>
          <w:tcPr>
            <w:tcW w:w="9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0.9148</w:t>
            </w:r>
          </w:p>
        </w:tc>
        <w:tc>
          <w:tcPr>
            <w:tcW w:w="102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0.0478</w:t>
            </w:r>
          </w:p>
        </w:tc>
        <w:tc>
          <w:tcPr>
            <w:tcW w:w="11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0.0457</w:t>
            </w:r>
          </w:p>
        </w:tc>
        <w:tc>
          <w:tcPr>
            <w:tcW w:w="102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0.6611</w:t>
            </w:r>
          </w:p>
        </w:tc>
        <w:tc>
          <w:tcPr>
            <w:tcW w:w="16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0.0009/0.0018</w:t>
            </w:r>
          </w:p>
        </w:tc>
        <w:tc>
          <w:tcPr>
            <w:tcW w:w="15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0.0005/0.0030</w:t>
            </w:r>
          </w:p>
        </w:tc>
      </w:tr>
      <w:tr>
        <w:trPr>
          <w:cantSplit w:val="true"/>
        </w:trPr>
        <w:tc>
          <w:tcPr>
            <w:tcW w:w="8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EATA</w:t>
            </w:r>
          </w:p>
        </w:tc>
        <w:tc>
          <w:tcPr>
            <w:tcW w:w="8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2160</w:t>
            </w:r>
          </w:p>
        </w:tc>
        <w:tc>
          <w:tcPr>
            <w:tcW w:w="8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0.9000</w:t>
            </w:r>
          </w:p>
        </w:tc>
        <w:tc>
          <w:tcPr>
            <w:tcW w:w="9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0.9028</w:t>
            </w:r>
          </w:p>
        </w:tc>
        <w:tc>
          <w:tcPr>
            <w:tcW w:w="102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0.0397</w:t>
            </w:r>
          </w:p>
        </w:tc>
        <w:tc>
          <w:tcPr>
            <w:tcW w:w="11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0.0389</w:t>
            </w:r>
          </w:p>
        </w:tc>
        <w:tc>
          <w:tcPr>
            <w:tcW w:w="102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0.6074</w:t>
            </w:r>
          </w:p>
        </w:tc>
        <w:tc>
          <w:tcPr>
            <w:tcW w:w="16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0.0000/0.0000</w:t>
            </w:r>
          </w:p>
        </w:tc>
        <w:tc>
          <w:tcPr>
            <w:tcW w:w="15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0.0000/0.0000</w:t>
            </w:r>
          </w:p>
        </w:tc>
      </w:tr>
      <w:tr>
        <w:trPr>
          <w:cantSplit w:val="true"/>
        </w:trPr>
        <w:tc>
          <w:tcPr>
            <w:tcW w:w="8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SAR</w:t>
            </w:r>
          </w:p>
        </w:tc>
        <w:tc>
          <w:tcPr>
            <w:tcW w:w="8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2160</w:t>
            </w:r>
          </w:p>
        </w:tc>
        <w:tc>
          <w:tcPr>
            <w:tcW w:w="88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0.9000</w:t>
            </w:r>
          </w:p>
        </w:tc>
        <w:tc>
          <w:tcPr>
            <w:tcW w:w="9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0.9023</w:t>
            </w:r>
          </w:p>
        </w:tc>
        <w:tc>
          <w:tcPr>
            <w:tcW w:w="102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0.0286</w:t>
            </w:r>
          </w:p>
        </w:tc>
        <w:tc>
          <w:tcPr>
            <w:tcW w:w="11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0.0290</w:t>
            </w:r>
          </w:p>
        </w:tc>
        <w:tc>
          <w:tcPr>
            <w:tcW w:w="102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0.6546</w:t>
            </w:r>
          </w:p>
        </w:tc>
        <w:tc>
          <w:tcPr>
            <w:tcW w:w="16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0.0000/0.0000</w:t>
            </w:r>
          </w:p>
        </w:tc>
        <w:tc>
          <w:tcPr>
            <w:tcW w:w="150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0.0000/–</w:t>
            </w:r>
          </w:p>
        </w:tc>
      </w:tr>
    </w:tbl>
    <w:p>
      <w:pPr>
        <w:widowControl/>
      </w:pPr>
    </w:p>
    <w:p>
      <w:pPr>
        <w:pStyle w:val="TableCaption"/>
        <w:widowControl/>
      </w:pPr>
      <w:r>
        <w:t xml:space="preserve">Table 18. Current-policy interval and decision diagnostics by corruption family. Each row aggregates</w:t>
      </w:r>
      <w:r>
        <w:t xml:space="preserve"> </w:t>
      </w:r>
      <w:r>
        <w:t xml:space="preserve">equal-weight opened cells after the three-way cross-fit; the scored cell outcome enters neither its</w:t>
      </w:r>
      <w:r>
        <w:t xml:space="preserve"> </w:t>
      </w:r>
      <w:r>
        <w:t xml:space="preserve">fit nor calibration set. Width is</w:t>
      </w:r>
      <w:r>
        <w:t xml:space="preserve"> </w:t>
      </w:r>
      <m:oMath>
        <m:r>
          <m:t>2</m:t>
        </m:r>
        <m:r>
          <m:t>ε</m:t>
        </m:r>
      </m:oMath>
      <w:r>
        <w:t xml:space="preserve">, and A/F/U means ADAPT/FREEZE/ABSTAIN.</w:t>
      </w:r>
      <w:r>
        <w:t xml:space="preserve"> </w:t>
      </w:r>
      <w:r>
        <w:t xml:space="preserve">Conditional errors use the corresponding action count as denominator and are undefined when that</w:t>
      </w:r>
      <w:r>
        <w:t xml:space="preserve"> </w:t>
      </w:r>
      <w:r>
        <w:t xml:space="preserve">action is absent. The table is retrospective and is not held-out group-coverage validation.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18. Current-policy interval and decision diagnostics by corruption family. Each row aggregates equal-weight opened cells after the three-way cross-fit; the scored cell outcome enters neither its fit nor calibration set. Width is 2\varepsilon, and A/F/U means ADAPT/FREEZE/ABSTAIN. Conditional errors use the corresponding action count as denominator and are undefined when that action is absent. The table is retrospective and is not held-out group-coverage validation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966"/>
        <w:gridCol w:w="1691"/>
        <w:gridCol w:w="966"/>
        <w:gridCol w:w="999"/>
        <w:gridCol w:w="1056"/>
        <w:gridCol w:w="1056"/>
        <w:gridCol w:w="1776"/>
        <w:gridCol w:w="1450"/>
      </w:tblGrid>
      <w:tr>
        <w:trPr>
          <w:tblHeader w:val="true"/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Candidate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Family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n</m:t>
              </m:r>
            </m:oMath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Inclusion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Mean width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Commitment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False A/A;</w:t>
            </w:r>
            <w:r>
              <w:rPr>
                <w:rFonts w:ascii="Times New Roman" w:hAnsi="Times New Roman"/>
                <w:b/>
                <w:sz w:val="14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False F/F;</w:t>
            </w:r>
            <w:r>
              <w:rPr>
                <w:rFonts w:ascii="Times New Roman" w:hAnsi="Times New Roman"/>
                <w:b/>
                <w:sz w:val="14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TENT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contrast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0.8361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0.0478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0.6917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0/180;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0/69; 0.0000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TENT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defocus_blur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0.9417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0.0480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0.7083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0/180;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0/75; 0.0000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TENT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fog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0.9472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0.0480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0.6917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0/180;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0/69; 0.0000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TENT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gaussian_noise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0.8667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0.0480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0.8556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0/305;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1/3; 0.3333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TENT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jpeg_compression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0.9694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0.0478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0.3472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2/66; 0.0303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0/59; 0.0000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TENT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pixelate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0.9278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0.0475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0.6722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0/180;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0/62; 0.0000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EATA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contrast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0.8417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0.0396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0.5694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0/180;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0/25; 0.0000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EATA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defocus_blur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0.9278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0.0398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0.5694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0/180;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0/25; 0.0000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EATA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fog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0.9139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0.0399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0.5750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0/180;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0/27; 0.0000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EATA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gaussian_noise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0.8528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0.0399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0.9722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0/350;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0/0; –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EATA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jpeg_compression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0.9694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0.0396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0.4056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0/137;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0/9; 0.0000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EATA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pixelate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0.9111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0.0393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0.5528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0/180;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0/19; 0.0000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SAR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contrast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0.8694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0.0287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0.5000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0/180;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0/0; –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SAR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defocus_blur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0.9306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0.0287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0.5000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0/180;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0/0; –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SAR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fog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0.8944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0.0283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0.5000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0/180;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0/0; –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SAR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gaussian_noise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0.8417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0.0286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1.0000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0/360;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0/0; –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SAR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jpeg_compression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0.9667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0.0283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0.8944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0/322;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0/0; –</w:t>
            </w:r>
          </w:p>
        </w:tc>
      </w:tr>
      <w:tr>
        <w:trPr>
          <w:cantSplit w:val="true"/>
        </w:trPr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SAR</w:t>
            </w:r>
          </w:p>
        </w:tc>
        <w:tc>
          <w:tcPr>
            <w:tcW w:w="169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pixelate</w:t>
            </w:r>
          </w:p>
        </w:tc>
        <w:tc>
          <w:tcPr>
            <w:tcW w:w="9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360</w:t>
            </w:r>
          </w:p>
        </w:tc>
        <w:tc>
          <w:tcPr>
            <w:tcW w:w="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0.9111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0.0288</w:t>
            </w:r>
          </w:p>
        </w:tc>
        <w:tc>
          <w:tcPr>
            <w:tcW w:w="105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0.5333</w:t>
            </w:r>
          </w:p>
        </w:tc>
        <w:tc>
          <w:tcPr>
            <w:tcW w:w="177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0/192; 0.0000</w:t>
            </w:r>
          </w:p>
        </w:tc>
        <w:tc>
          <w:tcPr>
            <w:tcW w:w="145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4"/>
              </w:rPr>
              <w:t>0/0; –</w:t>
            </w:r>
          </w:p>
        </w:tc>
      </w:tr>
    </w:tbl>
    <w:bookmarkEnd w:id="102"/>
    <w:bookmarkStart w:id="103" w:name="X8c2c30ae9fd03ff44490d855c42734835845804"/>
    <w:p>
      <w:pPr>
        <w:pStyle w:val="Heading2"/>
        <w:widowControl/>
      </w:pPr>
      <w:r>
        <w:t xml:space="preserve">F.4 False-Adapt and False-Freeze Accounting</w:t>
      </w:r>
    </w:p>
    <w:p>
      <w:pPr>
        <w:pStyle w:val="FirstParagraph"/>
        <w:widowControl/>
      </w:pPr>
      <w:r>
        <w:t xml:space="preserve">The event in Eq. (4) is unconditional</w:t>
      </w:r>
      <w:r>
        <w:t xml:space="preserve"> </w:t>
      </w:r>
      <w:r>
        <w:t xml:space="preserve">and concerns measured cell benefit.</w:t>
      </w:r>
      <w:r>
        <w:t xml:space="preserve"> </w:t>
      </w:r>
      <w:r>
        <w:t xml:space="preserve">Its reported frequency divides ADAPT decisions with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j</m:t>
            </m:r>
          </m:sub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b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by all</w:t>
      </w:r>
      <w:r>
        <w:t xml:space="preserve"> </w:t>
      </w:r>
      <w:r>
        <w:t xml:space="preserve">evaluated units, including freezes and abstentions. This need not estimate the population-harm</w:t>
      </w:r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{</m:t>
        </m:r>
        <m:r>
          <m:t>g</m:t>
        </m:r>
        <m:r>
          <m:rPr>
            <m:sty m:val="p"/>
          </m:rPr>
          <m:t>=</m:t>
        </m:r>
        <m:r>
          <m:rPr>
            <m:nor/>
            <m:sty m:val="p"/>
          </m:rPr>
          <m:t>adapt</m:t>
        </m:r>
        <m:r>
          <m:rPr>
            <m:sty m:val="p"/>
          </m:rPr>
          <m:t>,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}</m:t>
        </m:r>
      </m:oMath>
      <w:r>
        <w:t xml:space="preserve">. Conditional false-adapt</w:t>
      </w:r>
      <w:r>
        <w:t xml:space="preserve"> </w:t>
      </w:r>
      <w:r>
        <w:t xml:space="preserve">divides by adapt decisions and is undefined when no adaptation occurs. A zero observed count should</w:t>
      </w:r>
      <w:r>
        <w:t xml:space="preserve"> </w:t>
      </w:r>
      <w:r>
        <w:t xml:space="preserve">be accompanied by the number of adapt decisions; otherwise a controller that never adapts appears</w:t>
      </w:r>
      <w:r>
        <w:t xml:space="preserve"> </w:t>
      </w:r>
      <w:r>
        <w:t xml:space="preserve">perfect. Table 15 exposes that denominator.</w:t>
      </w:r>
    </w:p>
    <w:p>
      <w:pPr>
        <w:pStyle w:val="BodyText"/>
        <w:widowControl/>
      </w:pPr>
      <w:r>
        <w:t xml:space="preserve">False FREEZE is the symmetric event: the policy chooses FREEZE when measured cell benefit is</w:t>
      </w:r>
      <w:r>
        <w:t xml:space="preserve"> </w:t>
      </w:r>
      <w:r>
        <w:t xml:space="preserve">nonnegative. Its marginal rate divides by all evaluated units, whereas its conditional rate divides</w:t>
      </w:r>
      <w:r>
        <w:t xml:space="preserve"> </w:t>
      </w:r>
      <w:r>
        <w:t xml:space="preserve">by FREEZE exposure. The latter is undefined when the policy never freezes, as in the current SAR</w:t>
      </w:r>
      <w:r>
        <w:t xml:space="preserve"> </w:t>
      </w:r>
      <w:r>
        <w:t xml:space="preserve">grid. Every directional-error statement therefore appears with its action denominator.</w:t>
      </w:r>
    </w:p>
    <w:p>
      <w:pPr>
        <w:pStyle w:val="BodyText"/>
        <w:widowControl/>
      </w:pPr>
      <w:r>
        <w:t xml:space="preserve">The three-way split removes the direct path from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its own prediction, radius, and action.</w:t>
      </w:r>
      <w:r>
        <w:t xml:space="preserve"> </w:t>
      </w:r>
      <w:r>
        <w:t xml:space="preserve">It does not make the overlapping fitted models or the constructed cells independent. Pooled</w:t>
      </w:r>
      <w:r>
        <w:t xml:space="preserve"> </w:t>
      </w:r>
      <w:r>
        <w:t xml:space="preserve">cross-fit inclusion therefore remains a descriptive reuse of the opened panel and supplies neither</w:t>
      </w:r>
      <w:r>
        <w:t xml:space="preserve"> </w:t>
      </w:r>
      <w:r>
        <w:t xml:space="preserve">exchangeability nor a finite-sample guarantee for the next corruption family. A genuinely held-out</w:t>
      </w:r>
      <w:r>
        <w:t xml:space="preserve"> </w:t>
      </w:r>
      <w:r>
        <w:t xml:space="preserve">family or environment remains a different protocol.</w:t>
      </w:r>
    </w:p>
    <w:bookmarkEnd w:id="103"/>
    <w:bookmarkStart w:id="104" w:name="f.5-multiplicity-and-search-history"/>
    <w:p>
      <w:pPr>
        <w:pStyle w:val="Heading2"/>
        <w:widowControl/>
      </w:pPr>
      <w:r>
        <w:t xml:space="preserve">F.5 Multiplicity and Search History</w:t>
      </w:r>
    </w:p>
    <w:p>
      <w:pPr>
        <w:pStyle w:val="FirstParagraph"/>
        <w:widowControl/>
      </w:pPr>
      <w:r>
        <w:t xml:space="preserve">The repository contains many exploratory configurations. One superseded census reported 1,387</w:t>
      </w:r>
      <w:r>
        <w:t xml:space="preserve"> </w:t>
      </w:r>
      <w:r>
        <w:t xml:space="preserve">determinations and 326 positives (23.5%); a broader archived scan reported 1,427 determinations and</w:t>
      </w:r>
      <w:r>
        <w:t xml:space="preserve"> </w:t>
      </w:r>
      <w:r>
        <w:t xml:space="preserve">345 positives (24.2%). Neither census froze one family definition, file list, and commit, so neither</w:t>
      </w:r>
      <w:r>
        <w:t xml:space="preserve"> </w:t>
      </w:r>
      <w:r>
        <w:t xml:space="preserve">is the release multiplicity family. The reconciled panel is also post hoc, although some component</w:t>
      </w:r>
      <w:r>
        <w:t xml:space="preserve"> </w:t>
      </w:r>
      <w:r>
        <w:t xml:space="preserve">protocols were individually locked. Confirmatory work must declare every candidate–track test,</w:t>
      </w:r>
      <w:r>
        <w:t xml:space="preserve"> </w:t>
      </w:r>
      <w:r>
        <w:t xml:space="preserve">calibration and target unit, seed structure, inference unit, and two-comparator criterion before</w:t>
      </w:r>
      <w:r>
        <w:t xml:space="preserve"> </w:t>
      </w:r>
      <w:r>
        <w:t xml:space="preserve">labels are opened, while retaining failures and incomplete runs.</w:t>
      </w:r>
    </w:p>
    <w:bookmarkEnd w:id="104"/>
    <w:bookmarkEnd w:id="105"/>
    <w:bookmarkStart w:id="111" w:name="g-track-level-provenance-and-cct-ledger"/>
    <w:p>
      <w:pPr>
        <w:pStyle w:val="Heading1"/>
        <w:widowControl/>
      </w:pPr>
      <w:r>
        <w:t xml:space="preserve">G Track-Level Provenance and CCT Ledger</w:t>
      </w:r>
    </w:p>
    <w:p>
      <w:pPr>
        <w:pStyle w:val="FirstParagraph"/>
        <w:widowControl/>
      </w:pPr>
      <w:r>
        <w:t xml:space="preserve">Separate archival records preserve two additional scope checks outside the canonical panel. FMoW</w:t>
      </w:r>
      <w:r>
        <w:t xml:space="preserve"> </w:t>
      </w:r>
      <w:r>
        <w:t xml:space="preserve">Protocol L reached held-out scoring and matched always-freeze, while always-adapt had lower regret;</w:t>
      </w:r>
      <w:r>
        <w:t xml:space="preserve"> </w:t>
      </w:r>
      <w:r>
        <w:t xml:space="preserve">its status remains not-cleared. PovertyMap stopped at its preregistered development screen because</w:t>
      </w:r>
      <w:r>
        <w:t xml:space="preserve"> </w:t>
      </w:r>
      <w:r>
        <w:t xml:space="preserve">the harm-detection AUC was</w:t>
      </w:r>
      <w:r>
        <w:t xml:space="preserve"> </w:t>
      </w:r>
      <m:oMath>
        <m:r>
          <m:t>0.637</m:t>
        </m:r>
      </m:oMath>
      <w:r>
        <w:t xml:space="preserve">, below the</w:t>
      </w:r>
      <w:r>
        <w:t xml:space="preserve"> </w:t>
      </w:r>
      <m:oMath>
        <m:r>
          <m:t>0.65</m:t>
        </m:r>
      </m:oMath>
      <w:r>
        <w:t xml:space="preserve"> </w:t>
      </w:r>
      <w:r>
        <w:t xml:space="preserve">threshold, so held-out validation and test</w:t>
      </w:r>
      <w:r>
        <w:t xml:space="preserve"> </w:t>
      </w:r>
      <w:r>
        <w:t xml:space="preserve">scoring did not run. These records remain in the claim inventory and are not pooled with the</w:t>
      </w:r>
      <w:r>
        <w:t xml:space="preserve"> </w:t>
      </w:r>
      <w:r>
        <w:t xml:space="preserve">canonical rows.</w:t>
      </w:r>
    </w:p>
    <w:p>
      <w:pPr>
        <w:pStyle w:val="BodyText"/>
        <w:widowControl/>
      </w:pPr>
      <w:r>
        <w:t xml:space="preserve">The provenance table is part of the result, not administrative metadata. A reviewer can trace a</w:t>
      </w:r>
      <w:r>
        <w:t xml:space="preserve"> </w:t>
      </w:r>
      <w:r>
        <w:t xml:space="preserve">canonical row to compact records and their original archive hashes. If the original large artifact</w:t>
      </w:r>
      <w:r>
        <w:t xml:space="preserve"> </w:t>
      </w:r>
      <w:r>
        <w:t xml:space="preserve">is not shipped, the manifest still records its byte count and digest. This guards against silent</w:t>
      </w:r>
      <w:r>
        <w:t xml:space="preserve"> </w:t>
      </w:r>
      <w:r>
        <w:t xml:space="preserve">replacement of a result while allowing the release to omit raw datasets and oversized transient</w:t>
      </w:r>
      <w:r>
        <w:t xml:space="preserve"> </w:t>
      </w:r>
      <w:r>
        <w:t xml:space="preserve">checkpoints.</w:t>
      </w:r>
    </w:p>
    <w:p>
      <w:pPr>
        <w:pStyle w:val="TableCaption"/>
        <w:widowControl/>
      </w:pPr>
      <w:r>
        <w:t xml:space="preserve">Table 19. Release-status inventory, not a performance comparison.</w:t>
      </w:r>
      <w:r>
        <w:t xml:space="preserve"> </w:t>
      </w:r>
      <w:r>
        <w:t xml:space="preserve">“Replayable”</w:t>
      </w:r>
      <w:r>
        <w:t xml:space="preserve"> </w:t>
      </w:r>
      <w:r>
        <w:t xml:space="preserve">means stored</w:t>
      </w:r>
      <w:r>
        <w:t xml:space="preserve"> </w:t>
      </w:r>
      <w:r>
        <w:t xml:space="preserve">quantities suffice to recompute the displayed gate output under the named scorer; it does not imply</w:t>
      </w:r>
      <w:r>
        <w:t xml:space="preserve"> </w:t>
      </w:r>
      <w:r>
        <w:t xml:space="preserve">fresh data, independent units, or confirmatory status. Units and weighting remain protocol-specific.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19. Release-status inventory, not a performance comparison. “Replayable” means stored quantities suffice to recompute the displayed gate output under the named scorer; it does not imply fresh data, independent units, or confirmatory status. Units and weighting remain protocol-specific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800"/>
        <w:gridCol w:w="1600"/>
        <w:gridCol w:w="3100"/>
        <w:gridCol w:w="3460"/>
      </w:tblGrid>
      <w:tr>
        <w:trPr>
          <w:tblHeader w:val="true"/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Track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Released status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Present evidence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Remaining limitation</w:t>
            </w:r>
          </w:p>
        </w:tc>
      </w:tr>
      <w:tr>
        <w:trPr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CIFAR-10-C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replayable diagnostic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per-cell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Δ</m:t>
                  </m:r>
                </m:e>
                <m:sup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l</m:t>
                  </m:r>
                </m:sup>
              </m:sSup>
            </m:oMath>
            <w:r>
              <w:rPr>
                <w:rFonts w:ascii="Times New Roman" w:hAnsi="Times New Roman"/>
                <w:sz w:val="16"/>
              </w:rPr>
              <w:t>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</m:oMath>
            <w:r>
              <w:rPr>
                <w:rFonts w:ascii="Times New Roman" w:hAnsi="Times New Roman"/>
                <w:sz w:val="16"/>
              </w:rPr>
              <w:t>, radius, action; 5 RNG seeds; 3 candidates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opened, dependent, constructed grid from one checkpoint; no untouched family</w:t>
            </w:r>
          </w:p>
        </w:tc>
      </w:tr>
      <w:tr>
        <w:trPr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ImageNet-C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replayable diagnostic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per-condition records for 5 seeds and Tent/EATA/SAR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opened 27-cell controlled configuration; candidate-specific, not one policy</w:t>
            </w:r>
          </w:p>
        </w:tc>
      </w:tr>
      <w:tr>
        <w:trPr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Office-Home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replayable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canonical primary and 54-cell stream-seed records; later five-checkpoint audit reported separately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full-fit-versus-OOF transfer-stability premise not predeclared</w:t>
            </w:r>
          </w:p>
        </w:tc>
      </w:tr>
      <w:tr>
        <w:trPr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iWildCam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invalid archived diagnostic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opened test-split records scored with the wrong macro-F1 definition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no completed current-protocol or official-metric result; population and overlap were not sealed</w:t>
            </w:r>
          </w:p>
        </w:tc>
      </w:tr>
      <w:tr>
        <w:trPr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Camelyon17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replayable diagnostic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archived opened OOD row plus separate B–v2 diagnostics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OOD row is one-sided and non-prospective; B–v2 is not untouched-domain evidence</w:t>
            </w:r>
          </w:p>
        </w:tc>
      </w:tr>
      <w:tr>
        <w:trPr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RxRx1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replayable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displayed model-seed-0 row plus three model-checkpoint records and source hashes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all three checkpoints freeze throughout; no helpful test conditions</w:t>
            </w:r>
          </w:p>
        </w:tc>
      </w:tr>
      <w:tr>
        <w:trPr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CCT-20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release-complete; cell-outcome-unopened, internally sealed execution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5 independent checkpoints, 9 target locations, actions, predictions, score, manifest, and receipts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aggregate target-label metadata had previously been inspected; not globally label-unopened or publicly preregistered; only two fit locations; no ADAPT exposure; trans-target extrapolation remains an assumption</w:t>
            </w:r>
          </w:p>
        </w:tc>
      </w:tr>
      <w:tr>
        <w:trPr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So2Sat-LCZ42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sealed development stop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Tent and SAR candidate bundles; multi-city, multi-checkpoint gate-fit screen; no gate-calibration or target access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no feasible candidate; gate-fit outcomes are open; no gate calibration or target result</w:t>
            </w:r>
          </w:p>
        </w:tc>
      </w:tr>
      <w:tr>
        <w:trPr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PACS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partial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three-seed aggregate and source cross-checks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missing per-cell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and residuals prevent full gate replay</w:t>
            </w:r>
          </w:p>
        </w:tc>
      </w:tr>
      <w:tr>
        <w:trPr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ImageNet-R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replayable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4 seeds, 10 candidate backbones, 12 conditions each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architecture aggregate is diagnostic, not one deployable router</w:t>
            </w:r>
          </w:p>
        </w:tc>
      </w:tr>
      <w:tr>
        <w:trPr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CIFAR-10.1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replayable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locked cross-seed condition records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low-margin conservative match; selective routing not exercised</w:t>
            </w:r>
          </w:p>
        </w:tc>
      </w:tr>
      <w:tr>
        <w:trPr>
          <w:cantSplit w:val="true"/>
        </w:trPr>
        <w:tc>
          <w:tcPr>
            <w:tcW w:w="18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Physical camera</w:t>
            </w:r>
          </w:p>
        </w:tc>
        <w:tc>
          <w:tcPr>
            <w:tcW w:w="16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protocol only</w:t>
            </w:r>
          </w:p>
        </w:tc>
        <w:tc>
          <w:tcPr>
            <w:tcW w:w="31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dashboard, logging schema, and planned session split</w:t>
            </w:r>
          </w:p>
        </w:tc>
        <w:tc>
          <w:tcPr>
            <w:tcW w:w="34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no completed fresh recording, held-out session, or result table</w:t>
            </w:r>
          </w:p>
        </w:tc>
      </w:tr>
    </w:tbl>
    <w:bookmarkStart w:id="110" w:name="X70d84f40c09bb5f77e6b004cc7ba8ca8bcbd23b"/>
    <w:p>
      <w:pPr>
        <w:pStyle w:val="Heading2"/>
        <w:widowControl/>
      </w:pPr>
      <w:r>
        <w:t xml:space="preserve">G.1 CCT-20 Inference, Location, and Release Ledger</w:t>
      </w:r>
    </w:p>
    <w:bookmarkStart w:id="106" w:name="provenance-ledger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Provenance ledger.</w:t>
      </w:r>
    </w:p>
    <w:p>
      <w:pPr>
        <w:pStyle w:val="FirstParagraph"/>
        <w:widowControl/>
      </w:pPr>
      <w:r>
        <w:t xml:space="preserve">This was a cell-outcome-unopened, internally sealed execution: individual cell outcomes remained</w:t>
      </w:r>
      <w:r>
        <w:t xml:space="preserve"> </w:t>
      </w:r>
      <w:r>
        <w:t xml:space="preserve">unopened until one-shot scoring. Aggregate target-label metadata had previously been inspected, so</w:t>
      </w:r>
      <w:r>
        <w:t xml:space="preserve"> </w:t>
      </w:r>
      <w:r>
        <w:t xml:space="preserve">the study was not globally label-unopened or publicly preregistered.</w:t>
      </w:r>
      <w:r>
        <w:t xml:space="preserve"> </w:t>
      </w:r>
      <w:r>
        <w:t xml:space="preserve">Item-level target labels were deserialized once, after the one-shot scoring marker was spent. The</w:t>
      </w:r>
      <w:r>
        <w:t xml:space="preserve"> </w:t>
      </w:r>
      <w:r>
        <w:t xml:space="preserve">release chain also records the numeric-v2 repair in a sealed addendum created before outcome access.</w:t>
      </w:r>
      <w:r>
        <w:t xml:space="preserve"> </w:t>
      </w:r>
      <w:r>
        <w:t xml:space="preserve">That repair replaced an unstable divergence calculation with a stable Gaussian KL computation; it</w:t>
      </w:r>
      <w:r>
        <w:t xml:space="preserve"> </w:t>
      </w:r>
      <w:r>
        <w:t xml:space="preserve">did not change the model, data split, or scoring rule. We treat it as protocol provenance, not</w:t>
      </w:r>
      <w:r>
        <w:t xml:space="preserve"> </w:t>
      </w:r>
      <w:r>
        <w:t xml:space="preserve">result-driven tuning. All primary outcomes and action/effect counts come from</w:t>
      </w:r>
      <w:r>
        <w:t xml:space="preserve"> </w:t>
      </w:r>
      <w:r>
        <w:rPr>
          <w:rStyle w:val="VerbatimChar"/>
        </w:rPr>
        <w:t xml:space="preserve">paper/generated/cct20_release_manifest.json</w:t>
      </w:r>
      <w:r>
        <w:t xml:space="preserve">. Its sidecar</w:t>
      </w:r>
      <w:r>
        <w:t xml:space="preserve"> </w:t>
      </w:r>
      <w:r>
        <w:rPr>
          <w:rStyle w:val="VerbatimChar"/>
        </w:rPr>
        <w:t xml:space="preserve">paper/generated/cct20_release_manifest.json.receipt.json</w:t>
      </w:r>
      <w:r>
        <w:t xml:space="preserve"> </w:t>
      </w:r>
      <w:r>
        <w:t xml:space="preserve">binds the file-level digest; the</w:t>
      </w:r>
      <w:r>
        <w:t xml:space="preserve"> </w:t>
      </w:r>
      <w:r>
        <w:t xml:space="preserve">generated macros instead record canonicalized inference-document SHA-256</w:t>
      </w:r>
      <w:r>
        <w:t xml:space="preserve"> </w:t>
      </w:r>
      <w:r>
        <w:t xml:space="preserve">5d1ba74d9a8b16ef24746ca3d95969e635d34fd4112806f6bf91b4b45a6cf907.</w:t>
      </w:r>
    </w:p>
    <w:bookmarkEnd w:id="106"/>
    <w:bookmarkStart w:id="107" w:name="locked-thresholds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Locked thresholds.</w:t>
      </w:r>
    </w:p>
    <w:p>
      <w:pPr>
        <w:pStyle w:val="FirstParagraph"/>
        <w:widowControl/>
      </w:pPr>
      <w:r>
        <w:t xml:space="preserve">Strong success required all six conditions: all 45 cells complete; both nominal 97.5%</w:t>
      </w:r>
      <w:r>
        <w:t xml:space="preserve"> </w:t>
      </w:r>
      <w:r>
        <w:t xml:space="preserve">Bonferroni intervals strictly above zero; both exact nine-location sign-flip tests surviving Holm</w:t>
      </w:r>
      <w:r>
        <w:t xml:space="preserve"> </w:t>
      </w:r>
      <w:r>
        <w:t xml:space="preserve">at</w:t>
      </w:r>
      <w:r>
        <w:t xml:space="preserve"> </w:t>
      </w:r>
      <m:oMath>
        <m:r>
          <m:t>0.05</m:t>
        </m:r>
      </m:oMath>
      <w:r>
        <w:t xml:space="preserve">; ADAPT rate at least</w:t>
      </w:r>
      <w:r>
        <w:t xml:space="preserve"> </w:t>
      </w:r>
      <m:oMath>
        <m:r>
          <m:t>0.10</m:t>
        </m:r>
      </m:oMath>
      <w:r>
        <w:t xml:space="preserve">; FREEZE rate at least</w:t>
      </w:r>
      <w:r>
        <w:t xml:space="preserve"> </w:t>
      </w:r>
      <m:oMath>
        <m:r>
          <m:t>0.10</m:t>
        </m:r>
      </m:oMath>
      <w:r>
        <w:t xml:space="preserve">; and total commitment at least</w:t>
      </w:r>
      <w:r>
        <w:t xml:space="preserve"> </w:t>
      </w:r>
      <m:oMath>
        <m:r>
          <m:t>0.30</m:t>
        </m:r>
      </m:oMath>
      <w:r>
        <w:t xml:space="preserve">. Completion, freeze exposure, and commitment passed. The interval and test requirements</w:t>
      </w:r>
      <w:r>
        <w:t xml:space="preserve"> </w:t>
      </w:r>
      <w:r>
        <w:t xml:space="preserve">failed against always-freeze, and ADAPT exposure was zero. The release therefore fails the</w:t>
      </w:r>
      <w:r>
        <w:t xml:space="preserve"> </w:t>
      </w:r>
      <w:r>
        <w:t xml:space="preserve">strong-success criterion.</w:t>
      </w:r>
    </w:p>
    <w:p>
      <w:pPr>
        <w:pStyle w:val="BodyText"/>
        <w:widowControl/>
      </w:pPr>
      <w:r>
        <w:t xml:space="preserve">The nominal pointwise 95% intervals in the CCT utility-preservation</w:t>
      </w:r>
      <w:r>
        <w:t xml:space="preserve"> </w:t>
      </w:r>
      <w:r>
        <w:t xml:space="preserve">table 6 belong to the locked utility-preservation</w:t>
      </w:r>
      <w:r>
        <w:t xml:space="preserve"> </w:t>
      </w:r>
      <w:r>
        <w:t xml:space="preserve">endpoint. The nominal 97.5% Bonferroni intervals in the strong-success audit in</w:t>
      </w:r>
      <w:r>
        <w:t xml:space="preserve"> </w:t>
      </w:r>
      <w:r>
        <w:t xml:space="preserve">Table 20 belong to a separate, stricter two-comparison criterion; they are not</w:t>
      </w:r>
      <w:r>
        <w:t xml:space="preserve"> </w:t>
      </w:r>
      <w:r>
        <w:t xml:space="preserve">alternate versions of the same interval.</w:t>
      </w:r>
    </w:p>
    <w:p>
      <w:pPr>
        <w:pStyle w:val="TableCaption"/>
        <w:widowControl/>
      </w:pPr>
      <w:r>
        <w:t xml:space="preserve">Table 20. Locked CCT-20 primary contrasts over 45 equal-weight checkpoint–location cells from five</w:t>
      </w:r>
      <w:r>
        <w:t xml:space="preserve"> </w:t>
      </w:r>
      <w:r>
        <w:t xml:space="preserve">independent checkpoints and nine location clusters. The estimand is baseline regret minus KGA</w:t>
      </w:r>
      <w:r>
        <w:t xml:space="preserve"> </w:t>
      </w:r>
      <w:r>
        <w:t xml:space="preserve">regret, so positive values favor KGA. A paired two-way product bootstrap resamples checkpoint rows</w:t>
      </w:r>
      <w:r>
        <w:t xml:space="preserve"> </w:t>
      </w:r>
      <w:r>
        <w:t xml:space="preserve">and location columns. Two nominal 97.5% intervals target a nominal 95% Bonferroni family level;</w:t>
      </w:r>
      <w:r>
        <w:t xml:space="preserve"> </w:t>
      </w:r>
      <w:r>
        <w:t xml:space="preserve">actual family coverage still requires valid marginals. Reference</w:t>
      </w:r>
      <w:r>
        <w:t xml:space="preserve"> </w:t>
      </w:r>
      <m:oMath>
        <m:r>
          <m:t>p</m:t>
        </m:r>
      </m:oMath>
      <w:r>
        <w:t xml:space="preserve">-values enumerate one-sided</w:t>
      </w:r>
      <w:r>
        <w:t xml:space="preserve"> </w:t>
      </w:r>
      <w:r>
        <w:t xml:space="preserve">sign flips of nine location means, with Holm adjustment. This cell-outcome-unopened execution reproduces</w:t>
      </w:r>
      <w:r>
        <w:t xml:space="preserve"> </w:t>
      </w:r>
      <w:r>
        <w:t xml:space="preserve">the locked calculation but does not establish a population guarantee.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20. Locked CCT-20 primary contrasts over 45 equal-weight checkpoint–location cells from five independent checkpoints and nine location clusters. The estimand is baseline regret minus KGA regret, so positive values favor KGA. A paired two-way product bootstrap resamples checkpoint rows and location columns. Two nominal 97.5% intervals target a nominal 95% Bonferroni family level; actual family coverage still requires valid marginals. Reference p-values enumerate one-sided sign flips of nine location means, with Holm adjustment. This cell-outcome-unopened execution reproduces the locked calculation but does not establish a population guarante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636"/>
        <w:gridCol w:w="2435"/>
        <w:gridCol w:w="2559"/>
        <w:gridCol w:w="1066"/>
        <w:gridCol w:w="941"/>
        <w:gridCol w:w="1323"/>
      </w:tblGrid>
      <w:tr>
        <w:trPr>
          <w:tblHeader w:val="true"/>
          <w:cantSplit w:val="true"/>
        </w:trPr>
        <w:tc>
          <w:tcPr>
            <w:tcW w:w="163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Comparator</w:t>
            </w:r>
          </w:p>
        </w:tc>
        <w:tc>
          <w:tcPr>
            <w:tcW w:w="243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Baseline regret</w:t>
            </w:r>
            <w:r>
              <w:rPr>
                <w:rFonts w:ascii="Times New Roman" w:hAnsi="Times New Roman"/>
                <w:b/>
                <w:sz w:val="15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Fonts w:ascii="Times New Roman" w:hAnsi="Times New Roman"/>
                <w:b/>
                <w:sz w:val="15"/>
              </w:rPr>
              <w:t xml:space="preserve"> </w:t>
            </w:r>
            <w:r>
              <w:rPr>
                <w:rFonts w:ascii="Times New Roman" w:hAnsi="Times New Roman"/>
                <w:b/>
                <w:sz w:val="15"/>
              </w:rPr>
              <w:t>KGA regret</w:t>
            </w:r>
          </w:p>
        </w:tc>
        <w:tc>
          <w:tcPr>
            <w:tcW w:w="255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Nominal 97.5% CI</w:t>
            </w:r>
          </w:p>
        </w:tc>
        <w:tc>
          <w:tcPr>
            <w:tcW w:w="10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Sign-flip</w:t>
            </w:r>
            <w:r>
              <w:rPr>
                <w:rFonts w:ascii="Times New Roman" w:hAnsi="Times New Roman"/>
                <w:b/>
                <w:sz w:val="15"/>
              </w:rPr>
              <w:t xml:space="preserve"> </w:t>
            </w:r>
            <m:oMath>
              <m:r>
                <m:t>p</m:t>
              </m:r>
            </m:oMath>
          </w:p>
        </w:tc>
        <w:tc>
          <w:tcPr>
            <w:tcW w:w="94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Holm</w:t>
            </w:r>
            <w:r>
              <w:rPr>
                <w:rFonts w:ascii="Times New Roman" w:hAnsi="Times New Roman"/>
                <w:b/>
                <w:sz w:val="15"/>
              </w:rPr>
              <w:t xml:space="preserve"> </w:t>
            </w:r>
            <m:oMath>
              <m:r>
                <m:t>p</m:t>
              </m:r>
            </m:oMath>
          </w:p>
        </w:tc>
        <w:tc>
          <w:tcPr>
            <w:tcW w:w="132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Holm flag (.05)</w:t>
            </w:r>
          </w:p>
        </w:tc>
      </w:tr>
      <w:tr>
        <w:trPr>
          <w:cantSplit w:val="true"/>
        </w:trPr>
        <w:tc>
          <w:tcPr>
            <w:tcW w:w="163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Always adapt</w:t>
            </w:r>
          </w:p>
        </w:tc>
        <w:tc>
          <w:tcPr>
            <w:tcW w:w="243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0.18190227</w:t>
            </w:r>
          </w:p>
        </w:tc>
        <w:tc>
          <w:tcPr>
            <w:tcW w:w="255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[0.08501071, 0.31066374]</w:t>
            </w:r>
          </w:p>
        </w:tc>
        <w:tc>
          <w:tcPr>
            <w:tcW w:w="10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0.00195312</w:t>
            </w:r>
          </w:p>
        </w:tc>
        <w:tc>
          <w:tcPr>
            <w:tcW w:w="94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0.00390625</w:t>
            </w:r>
          </w:p>
        </w:tc>
        <w:tc>
          <w:tcPr>
            <w:tcW w:w="132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yes</w:t>
            </w:r>
          </w:p>
        </w:tc>
      </w:tr>
      <w:tr>
        <w:trPr>
          <w:cantSplit w:val="true"/>
        </w:trPr>
        <w:tc>
          <w:tcPr>
            <w:tcW w:w="163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Always freeze</w:t>
            </w:r>
          </w:p>
        </w:tc>
        <w:tc>
          <w:tcPr>
            <w:tcW w:w="2435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0</w:t>
            </w:r>
          </w:p>
        </w:tc>
        <w:tc>
          <w:tcPr>
            <w:tcW w:w="255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[⁠0, 0⁠]</w:t>
            </w:r>
          </w:p>
        </w:tc>
        <w:tc>
          <w:tcPr>
            <w:tcW w:w="10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941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</w:t>
            </w:r>
          </w:p>
        </w:tc>
        <w:tc>
          <w:tcPr>
            <w:tcW w:w="132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no</w:t>
            </w:r>
          </w:p>
        </w:tc>
      </w:tr>
    </w:tbl>
    <w:p>
      <w:pPr>
        <w:pStyle w:val="BodyText"/>
        <w:widowControl/>
      </w:pPr>
      <w:r>
        <w:t xml:space="preserve">Finite-sample sign-flip validity requires the null joint law of the nine location gaps to satisfy</w:t>
      </w:r>
      <w:r>
        <w:t xml:space="preserve"> </w:t>
      </w:r>
      <w:r>
        <w:t xml:space="preserve">Eq. (16).</w:t>
      </w:r>
      <w:r>
        <w:t xml:space="preserve"> </w:t>
      </w:r>
      <w:r>
        <w:t xml:space="preserve">Independent zero-symmetric location gaps conditional on the</w:t>
      </w:r>
      <w:r>
        <w:t xml:space="preserve"> </w:t>
      </w:r>
      <w:r>
        <w:t xml:space="preserve">evaluated checkpoints would suffice, but that assumption is unverified here. Exchangeability alone</w:t>
      </w:r>
      <w:r>
        <w:t xml:space="preserve"> </w:t>
      </w:r>
      <w:r>
        <w:t xml:space="preserve">does not suffice. The sign-flip analysis conditions on the evaluated checkpoints, whereas the</w:t>
      </w:r>
      <w:r>
        <w:t xml:space="preserve"> </w:t>
      </w:r>
      <w:r>
        <w:t xml:space="preserve">two-way bootstrap also resamples checkpoint levels. These are different uncertainty models, and</w:t>
      </w:r>
      <w:r>
        <w:t xml:space="preserve"> </w:t>
      </w:r>
      <w:r>
        <w:t xml:space="preserve">neither establishes distribution-free safety for unseen locations.</w:t>
      </w:r>
    </w:p>
    <w:bookmarkEnd w:id="107"/>
    <w:bookmarkStart w:id="108" w:name="primary-result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Primary result.</w:t>
      </w:r>
    </w:p>
    <w:p>
      <w:pPr>
        <w:pStyle w:val="FirstParagraph"/>
        <w:widowControl/>
      </w:pPr>
      <w:r>
        <w:t xml:space="preserve">KGA exactly matched always-freeze. Its contrast against always-freeze was 0 with</w:t>
      </w:r>
      <w:r>
        <w:t xml:space="preserve"> </w:t>
      </w:r>
      <w:r>
        <w:t xml:space="preserve">nominal Bonferroni-adjusted 97.5% bootstrap interval [0, 0],</w:t>
      </w:r>
      <w:r>
        <w:t xml:space="preserve"> </w:t>
      </w:r>
      <w:r>
        <w:t xml:space="preserve">enumerated location sign-flip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 Holm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 Against always-adapt, the contrast was</w:t>
      </w:r>
      <w:r>
        <w:t xml:space="preserve"> </w:t>
      </w:r>
      <w:r>
        <w:t xml:space="preserve">0.18190227 with interval [0.08501071, 0.31066374], sign-flip reference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0.00195312</m:t>
        </m:r>
      </m:oMath>
      <w:r>
        <w:t xml:space="preserve">, and Holm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0.00390625</m:t>
        </m:r>
      </m:oMath>
      <w:r>
        <w:t xml:space="preserve">. Measured cell benefit is adapted accuracy minus</w:t>
      </w:r>
      <w:r>
        <w:t xml:space="preserve"> </w:t>
      </w:r>
      <w:r>
        <w:t xml:space="preserve">frozen accuracy: 1 cell was helpful, 0 were exactly zero, and</w:t>
      </w:r>
      <w:r>
        <w:t xml:space="preserve"> </w:t>
      </w:r>
      <w:r>
        <w:t xml:space="preserve">44 were harmful. These counts explain why freezing was useful here. They do not</w:t>
      </w:r>
      <w:r>
        <w:t xml:space="preserve"> </w:t>
      </w:r>
      <w:r>
        <w:t xml:space="preserve">show that the gate learned when to adapt. KGA made</w:t>
      </w:r>
      <w:r>
        <w:t xml:space="preserve"> </w:t>
      </w:r>
      <w:r>
        <w:t xml:space="preserve">0/44/1 ADAPT/FREEZE/ABSTAIN decisions. All</w:t>
      </w:r>
      <w:r>
        <w:t xml:space="preserve"> </w:t>
      </w:r>
      <w:r>
        <w:t xml:space="preserve">45 served predictions used the frozen model, but the sole helpful cell received an</w:t>
      </w:r>
      <w:r>
        <w:t xml:space="preserve"> </w:t>
      </w:r>
      <w:r>
        <w:t xml:space="preserve">interval-supported FREEZE, yielding one false FREEZE among</w:t>
      </w:r>
      <w:r>
        <w:t xml:space="preserve"> </w:t>
      </w:r>
      <w:r>
        <w:t xml:space="preserve">44 FREEZE</w:t>
      </w:r>
      <w:r>
        <w:t xml:space="preserve"> </w:t>
      </w:r>
      <w:r>
        <w:t xml:space="preserve">actions (1/45 overall). This is all-frozen</w:t>
      </w:r>
      <w:r>
        <w:t xml:space="preserve"> </w:t>
      </w:r>
      <w:r>
        <w:t xml:space="preserve">fail-closed service. It passes only the locked utility-preservation rule and does not demonstrate selective</w:t>
      </w:r>
      <w:r>
        <w:t xml:space="preserve"> </w:t>
      </w:r>
      <w:r>
        <w:t xml:space="preserve">routing or strong success.</w:t>
      </w:r>
    </w:p>
    <w:bookmarkEnd w:id="108"/>
    <w:bookmarkStart w:id="109" w:name="limits-and-next-step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Limits and next step.</w:t>
      </w:r>
    </w:p>
    <w:p>
      <w:pPr>
        <w:pStyle w:val="FirstParagraph"/>
        <w:widowControl/>
      </w:pPr>
      <w:r>
        <w:t xml:space="preserve">All 55 development cells showed lower performance after Tent than under the frozen model, so the</w:t>
      </w:r>
      <w:r>
        <w:t xml:space="preserve"> </w:t>
      </w:r>
      <w:r>
        <w:t xml:space="preserve">gate had no helpful ADAPT example. The</w:t>
      </w:r>
      <w:r>
        <w:t xml:space="preserve"> </w:t>
      </w:r>
      <w:r>
        <w:t xml:space="preserve">ridge fit used 10 checkpoint–location rows from only two camera units for 11 recorded features.</w:t>
      </w:r>
      <w:r>
        <w:t xml:space="preserve"> </w:t>
      </w:r>
      <w:r>
        <w:t xml:space="preserve">Calibration used 45 rows collapsed to nine calibration camera locations, while the locked targets</w:t>
      </w:r>
      <w:r>
        <w:t xml:space="preserve"> </w:t>
      </w:r>
      <w:r>
        <w:t xml:space="preserve">came from held-out target locations. Coverage therefore needs an unverified cross-split exchangeability</w:t>
      </w:r>
      <w:r>
        <w:t xml:space="preserve"> </w:t>
      </w:r>
      <w:r>
        <w:t xml:space="preserve">assumption. Target Mahalanobis diagnostics ranged from 7.12 to 485.67 (median 28.73), showing strong</w:t>
      </w:r>
      <w:r>
        <w:t xml:space="preserve"> </w:t>
      </w:r>
      <w:r>
        <w:t xml:space="preserve">extrapolation; this diagnostic never changed an action and is not a formal coverage guarantee. One</w:t>
      </w:r>
      <w:r>
        <w:t xml:space="preserve"> </w:t>
      </w:r>
      <w:r>
        <w:t xml:space="preserve">natural target study also cannot establish transfer of selective routing across natural shifts.</w:t>
      </w:r>
      <w:r>
        <w:t xml:space="preserve"> </w:t>
      </w:r>
      <w:r>
        <w:t xml:space="preserve">Cell-level 16-indicator macro-F1 is archived as descriptive secondary evidence; no post-hoc aggregate or inference claim is made.</w:t>
      </w:r>
    </w:p>
    <w:p>
      <w:pPr>
        <w:pStyle w:val="BodyText"/>
        <w:widowControl/>
      </w:pPr>
      <w:r>
        <w:t xml:space="preserve">Table 21 reports all nine location clusters. Evaluation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</w:t>
      </w:r>
      <w:r>
        <w:t xml:space="preserve"> </w:t>
      </w:r>
      <w:r>
        <w:t xml:space="preserve">evaluation images per checkpoint at that location. Each A/F/U triplet and each</w:t>
      </w:r>
      <w:r>
        <w:t xml:space="preserve"> </w:t>
      </w:r>
      <w:r>
        <w:t xml:space="preserve">helpful/zero/harmful triplet therefore has denominator five, one cell for each checkpoint. These</w:t>
      </w:r>
      <w:r>
        <w:t xml:space="preserve"> </w:t>
      </w:r>
      <w:r>
        <w:t xml:space="preserve">labels describe measured cell outcomes. Accuracy differences use one sign throughout: adapted minus frozen for adaptation benefit, and KGA minus the</w:t>
      </w:r>
      <w:r>
        <w:t xml:space="preserve"> </w:t>
      </w:r>
      <w:r>
        <w:t xml:space="preserve">named fixed policy for the two policy columns.</w:t>
      </w:r>
    </w:p>
    <w:p>
      <w:pPr>
        <w:pStyle w:val="TableCaption"/>
        <w:widowControl/>
      </w:pPr>
      <w:r>
        <w:t xml:space="preserve">Table 21. Complete cell-outcome-unopened CCT-20 location ledger. A/F/U denotes</w:t>
      </w:r>
      <w:r>
        <w:t xml:space="preserve"> </w:t>
      </w:r>
      <w:r>
        <w:t xml:space="preserve">ADAPT/FREEZE/ABSTAIN, and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/</m:t>
        </m:r>
        <m:r>
          <m:t>0</m:t>
        </m:r>
        <m:r>
          <m:rPr>
            <m:sty m:val="p"/>
          </m:rPr>
          <m:t>/</m:t>
        </m:r>
        <m:r>
          <m:rPr>
            <m:sty m:val="p"/>
          </m:rPr>
          <m:t>−</m:t>
        </m:r>
      </m:oMath>
      <w:r>
        <w:t xml:space="preserve"> </w:t>
      </w:r>
      <w:r>
        <w:t xml:space="preserve">counts positive/zero/negative measured-benefit cells. Difference</w:t>
      </w:r>
      <w:r>
        <w:t xml:space="preserve"> </w:t>
      </w:r>
      <w:r>
        <w:t xml:space="preserve">columns are equal-weight means over five checkpoint cells; positive policy differences favor KGA.</w:t>
      </w:r>
      <w:r>
        <w:t xml:space="preserve"> </w:t>
      </w:r>
      <w:r>
        <w:t xml:space="preserve">Values are rounded to four decimals, while the sealed manifest retains full precision. Cells are</w:t>
      </w:r>
      <w:r>
        <w:t xml:space="preserve"> </w:t>
      </w:r>
      <w:r>
        <w:t xml:space="preserve">repeated-model observations, and the inferential cluster unit is the camera location.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21. Complete cell-outcome-unopened CCT-20 location ledger. A/F/U denotes ADAPT/FREEZE/ABSTAIN, and +/0/- counts positive/zero/negative measured-benefit cells. Difference columns are equal-weight means over five checkpoint cells; positive policy differences favor KGA. Values are rounded to four decimals, while the sealed manifest retains full precision. Cells are repeated-model observations, and the inferential cluster unit is the camera location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300"/>
        <w:gridCol w:w="1300"/>
        <w:gridCol w:w="1300"/>
        <w:gridCol w:w="1300"/>
        <w:gridCol w:w="1793"/>
        <w:gridCol w:w="1443"/>
        <w:gridCol w:w="1524"/>
      </w:tblGrid>
      <w:tr>
        <w:trPr>
          <w:tblHeader w:val="true"/>
          <w:cantSplit w:val="true"/>
        </w:trPr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Location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/>
                <w:b/>
                <w:sz w:val="14"/>
              </w:rPr>
              <w:t>/checkpoint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A/F/U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Benefit</w:t>
            </w:r>
            <w:r>
              <w:rPr>
                <w:rFonts w:ascii="Times New Roman" w:hAnsi="Times New Roman"/>
                <w:b/>
                <w:sz w:val="14"/>
              </w:rP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/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−</m:t>
              </m:r>
            </m:oMath>
          </w:p>
        </w:tc>
        <w:tc>
          <w:tcPr>
            <w:tcW w:w="179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Adapt</w:t>
            </w:r>
            <w:r>
              <w:rPr>
                <w:rFonts w:ascii="Times New Roman" w:hAnsi="Times New Roman"/>
                <w:b/>
                <w:sz w:val="14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Fonts w:ascii="Times New Roman" w:hAnsi="Times New Roman"/>
                <w:b/>
                <w:sz w:val="14"/>
              </w:rPr>
              <w:t xml:space="preserve"> </w:t>
            </w:r>
            <w:r>
              <w:rPr>
                <w:rFonts w:ascii="Times New Roman" w:hAnsi="Times New Roman"/>
                <w:b/>
                <w:sz w:val="14"/>
              </w:rPr>
              <w:t>freeze</w:t>
            </w:r>
          </w:p>
        </w:tc>
        <w:tc>
          <w:tcPr>
            <w:tcW w:w="14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KGA</w:t>
            </w:r>
            <w:r>
              <w:rPr>
                <w:rFonts w:ascii="Times New Roman" w:hAnsi="Times New Roman"/>
                <w:b/>
                <w:sz w:val="14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Fonts w:ascii="Times New Roman" w:hAnsi="Times New Roman"/>
                <w:b/>
                <w:sz w:val="14"/>
              </w:rPr>
              <w:t xml:space="preserve"> </w:t>
            </w:r>
            <w:r>
              <w:rPr>
                <w:rFonts w:ascii="Times New Roman" w:hAnsi="Times New Roman"/>
                <w:b/>
                <w:sz w:val="14"/>
              </w:rPr>
              <w:t>adapt</w:t>
            </w:r>
          </w:p>
        </w:tc>
        <w:tc>
          <w:tcPr>
            <w:tcW w:w="15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4"/>
              </w:rPr>
              <w:t>KGA</w:t>
            </w:r>
            <w:r>
              <w:rPr>
                <w:rFonts w:ascii="Times New Roman" w:hAnsi="Times New Roman"/>
                <w:b/>
                <w:sz w:val="14"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rPr>
                <w:rFonts w:ascii="Times New Roman" w:hAnsi="Times New Roman"/>
                <w:b/>
                <w:sz w:val="14"/>
              </w:rPr>
              <w:t xml:space="preserve"> </w:t>
            </w:r>
            <w:r>
              <w:rPr>
                <w:rFonts w:ascii="Times New Roman" w:hAnsi="Times New Roman"/>
                <w:b/>
                <w:sz w:val="14"/>
              </w:rPr>
              <w:t>freeze</w:t>
            </w:r>
          </w:p>
        </w:tc>
      </w:tr>
      <w:tr>
        <w:trPr>
          <w:cantSplit w:val="true"/>
        </w:trPr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1302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0/5/0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0/0/5</w:t>
            </w:r>
          </w:p>
        </w:tc>
        <w:tc>
          <w:tcPr>
            <w:tcW w:w="179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-0.5418</w:t>
            </w:r>
          </w:p>
        </w:tc>
        <w:tc>
          <w:tcPr>
            <w:tcW w:w="14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0.5418</w:t>
            </w:r>
          </w:p>
        </w:tc>
        <w:tc>
          <w:tcPr>
            <w:tcW w:w="15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</w:tr>
      <w:tr>
        <w:trPr>
          <w:cantSplit w:val="true"/>
        </w:trPr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7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1283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0/5/0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1/0/4</w:t>
            </w:r>
          </w:p>
        </w:tc>
        <w:tc>
          <w:tcPr>
            <w:tcW w:w="179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-0.0293</w:t>
            </w:r>
          </w:p>
        </w:tc>
        <w:tc>
          <w:tcPr>
            <w:tcW w:w="14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0.0293</w:t>
            </w:r>
          </w:p>
        </w:tc>
        <w:tc>
          <w:tcPr>
            <w:tcW w:w="15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</w:tr>
      <w:tr>
        <w:trPr>
          <w:cantSplit w:val="true"/>
        </w:trPr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28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911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0/5/0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0/0/5</w:t>
            </w:r>
          </w:p>
        </w:tc>
        <w:tc>
          <w:tcPr>
            <w:tcW w:w="179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-0.0562</w:t>
            </w:r>
          </w:p>
        </w:tc>
        <w:tc>
          <w:tcPr>
            <w:tcW w:w="14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0.0562</w:t>
            </w:r>
          </w:p>
        </w:tc>
        <w:tc>
          <w:tcPr>
            <w:tcW w:w="15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</w:tr>
      <w:tr>
        <w:trPr>
          <w:cantSplit w:val="true"/>
        </w:trPr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800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0/5/0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0/0/5</w:t>
            </w:r>
          </w:p>
        </w:tc>
        <w:tc>
          <w:tcPr>
            <w:tcW w:w="179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-0.1232</w:t>
            </w:r>
          </w:p>
        </w:tc>
        <w:tc>
          <w:tcPr>
            <w:tcW w:w="14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0.1232</w:t>
            </w:r>
          </w:p>
        </w:tc>
        <w:tc>
          <w:tcPr>
            <w:tcW w:w="15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</w:tr>
      <w:tr>
        <w:trPr>
          <w:cantSplit w:val="true"/>
        </w:trPr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46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4432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0/4/1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0/0/5</w:t>
            </w:r>
          </w:p>
        </w:tc>
        <w:tc>
          <w:tcPr>
            <w:tcW w:w="179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-0.0723</w:t>
            </w:r>
          </w:p>
        </w:tc>
        <w:tc>
          <w:tcPr>
            <w:tcW w:w="14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0.0723</w:t>
            </w:r>
          </w:p>
        </w:tc>
        <w:tc>
          <w:tcPr>
            <w:tcW w:w="15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</w:tr>
      <w:tr>
        <w:trPr>
          <w:cantSplit w:val="true"/>
        </w:trPr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78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1633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0/5/0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0/0/5</w:t>
            </w:r>
          </w:p>
        </w:tc>
        <w:tc>
          <w:tcPr>
            <w:tcW w:w="179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-0.0839</w:t>
            </w:r>
          </w:p>
        </w:tc>
        <w:tc>
          <w:tcPr>
            <w:tcW w:w="14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0.0839</w:t>
            </w:r>
          </w:p>
        </w:tc>
        <w:tc>
          <w:tcPr>
            <w:tcW w:w="15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</w:tr>
      <w:tr>
        <w:trPr>
          <w:cantSplit w:val="true"/>
        </w:trPr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3441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0/5/0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0/0/5</w:t>
            </w:r>
          </w:p>
        </w:tc>
        <w:tc>
          <w:tcPr>
            <w:tcW w:w="179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-0.2035</w:t>
            </w:r>
          </w:p>
        </w:tc>
        <w:tc>
          <w:tcPr>
            <w:tcW w:w="14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0.2035</w:t>
            </w:r>
          </w:p>
        </w:tc>
        <w:tc>
          <w:tcPr>
            <w:tcW w:w="15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</w:tr>
      <w:tr>
        <w:trPr>
          <w:cantSplit w:val="true"/>
        </w:trPr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105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1540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0/5/0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0/0/5</w:t>
            </w:r>
          </w:p>
        </w:tc>
        <w:tc>
          <w:tcPr>
            <w:tcW w:w="179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-0.2892</w:t>
            </w:r>
          </w:p>
        </w:tc>
        <w:tc>
          <w:tcPr>
            <w:tcW w:w="14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0.2892</w:t>
            </w:r>
          </w:p>
        </w:tc>
        <w:tc>
          <w:tcPr>
            <w:tcW w:w="15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</w:tr>
      <w:tr>
        <w:trPr>
          <w:cantSplit w:val="true"/>
        </w:trPr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130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983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0/5/0</w:t>
            </w:r>
          </w:p>
        </w:tc>
        <w:tc>
          <w:tcPr>
            <w:tcW w:w="1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0/0/5</w:t>
            </w:r>
          </w:p>
        </w:tc>
        <w:tc>
          <w:tcPr>
            <w:tcW w:w="179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-0.2376</w:t>
            </w:r>
          </w:p>
        </w:tc>
        <w:tc>
          <w:tcPr>
            <w:tcW w:w="144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0.2376</w:t>
            </w:r>
          </w:p>
        </w:tc>
        <w:tc>
          <w:tcPr>
            <w:tcW w:w="15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4"/>
              </w:rPr>
              <w:t>0.0000</w:t>
            </w:r>
          </w:p>
        </w:tc>
      </w:tr>
    </w:tbl>
    <w:p>
      <w:pPr>
        <w:pStyle w:val="BodyText"/>
        <w:widowControl/>
      </w:pPr>
      <w:r>
        <w:t xml:space="preserve">The release ledger contains all 45 cells: 0 ADAPT, 44</w:t>
      </w:r>
      <w:r>
        <w:t xml:space="preserve"> </w:t>
      </w:r>
      <w:r>
        <w:t xml:space="preserve">FREEZE, and 1 ABSTAIN actions; 1 helpful, 0 zero,</w:t>
      </w:r>
      <w:r>
        <w:t xml:space="preserve"> </w:t>
      </w:r>
      <w:r>
        <w:t xml:space="preserve">and 44 harmful adaptation effects. The release verdict remains</w:t>
      </w:r>
      <w:r>
        <w:t xml:space="preserve"> </w:t>
      </w:r>
      <w:r>
        <w:t xml:space="preserve">SAFE UTILITY ONLY</w:t>
      </w:r>
      <w:r>
        <w:t xml:space="preserve">. The</w:t>
      </w:r>
      <w:r>
        <w:t xml:space="preserve"> </w:t>
      </w:r>
      <w:r>
        <w:t xml:space="preserve">location table is descriptive; sign-flip enumeration uses the nine location means under the</w:t>
      </w:r>
      <w:r>
        <w:t xml:space="preserve"> </w:t>
      </w:r>
      <w:r>
        <w:t xml:space="preserve">reference model in Eq. (16), and no post-hoc</w:t>
      </w:r>
      <w:r>
        <w:t xml:space="preserve"> </w:t>
      </w:r>
      <w:r>
        <w:t xml:space="preserve">aggregate is claimed for the secondary macro-F1 outcome.</w:t>
      </w:r>
    </w:p>
    <w:bookmarkEnd w:id="109"/>
    <w:bookmarkEnd w:id="110"/>
    <w:bookmarkEnd w:id="111"/>
    <w:bookmarkStart w:id="116" w:name="h-extended-kga-implementation-contract"/>
    <w:p>
      <w:pPr>
        <w:pStyle w:val="Heading1"/>
        <w:widowControl/>
      </w:pPr>
      <w:r>
        <w:t xml:space="preserve">H Extended KGA Implementation Contract</w:t>
      </w:r>
    </w:p>
    <w:bookmarkStart w:id="112" w:name="h.1-state-isolation"/>
    <w:p>
      <w:pPr>
        <w:pStyle w:val="Heading2"/>
        <w:widowControl/>
      </w:pPr>
      <w:r>
        <w:t xml:space="preserve">H.1 State Isolation</w:t>
      </w:r>
    </w:p>
    <w:p>
      <w:pPr>
        <w:pStyle w:val="FirstParagraph"/>
        <w:widowControl/>
      </w:pPr>
      <w:r>
        <w:t xml:space="preserve">The frozen and candidate predictors must not share mutable normalization buffers, optimizer state,</w:t>
      </w:r>
      <w:r>
        <w:t xml:space="preserve"> </w:t>
      </w:r>
      <w:r>
        <w:t xml:space="preserve">or parameter storage during preview. The candidate is created from a checkpoint, adapted on the</w:t>
      </w:r>
      <w:r>
        <w:t xml:space="preserve"> </w:t>
      </w:r>
      <w:r>
        <w:t xml:space="preserve">unlabeled window, and evaluated without overwriting the active state. Only an adapt decision may</w:t>
      </w:r>
      <w:r>
        <w:t xml:space="preserve"> </w:t>
      </w:r>
      <w:r>
        <w:t xml:space="preserve">replace the active checkpoint. Freeze and abstain discard the temporary state. A proposed deployment test should</w:t>
      </w:r>
      <w:r>
        <w:t xml:space="preserve"> </w:t>
      </w:r>
      <w:r>
        <w:t xml:space="preserve">hash the active parameters before and after each non-adapt decision and require equality.</w:t>
      </w:r>
    </w:p>
    <w:bookmarkEnd w:id="112"/>
    <w:bookmarkStart w:id="113" w:name="h.2-evidence-determinism"/>
    <w:p>
      <w:pPr>
        <w:pStyle w:val="Heading2"/>
        <w:widowControl/>
      </w:pPr>
      <w:r>
        <w:t xml:space="preserve">H.2 Evidence Determinism</w:t>
      </w:r>
    </w:p>
    <w:p>
      <w:pPr>
        <w:pStyle w:val="FirstParagraph"/>
        <w:widowControl/>
      </w:pPr>
      <w:r>
        <w:t xml:space="preserve">Evidence extraction must define preprocessing, batch order, numerical precision, class ordering,</w:t>
      </w:r>
      <w:r>
        <w:t xml:space="preserve"> </w:t>
      </w:r>
      <w:r>
        <w:t xml:space="preserve">normalization constants, and missing-value behavior. Paired features require frozen and candidate</w:t>
      </w:r>
      <w:r>
        <w:t xml:space="preserve"> </w:t>
      </w:r>
      <w:r>
        <w:t xml:space="preserve">outputs on the same samples in the same order. Source statistics and ATC thresholds are immutable</w:t>
      </w:r>
      <w:r>
        <w:t xml:space="preserve"> </w:t>
      </w:r>
      <w:r>
        <w:t xml:space="preserve">calibration artifacts. Evidence schema versions should be explicit rather than inferred from vector</w:t>
      </w:r>
      <w:r>
        <w:t xml:space="preserve"> </w:t>
      </w:r>
      <w:r>
        <w:t xml:space="preserve">length, because two schemas can share a dimension while changing semantics.</w:t>
      </w:r>
    </w:p>
    <w:bookmarkEnd w:id="113"/>
    <w:bookmarkStart w:id="114" w:name="h.3-calibration-identity"/>
    <w:p>
      <w:pPr>
        <w:pStyle w:val="Heading2"/>
        <w:widowControl/>
      </w:pPr>
      <w:r>
        <w:t xml:space="preserve">H.3 Calibration Identity</w:t>
      </w:r>
    </w:p>
    <w:p>
      <w:pPr>
        <w:pStyle w:val="FirstParagraph"/>
        <w:widowControl/>
      </w:pPr>
      <w:r>
        <w:t xml:space="preserve">The calibration identity should hash the source checkpoint, candidate adapter class, adapted</w:t>
      </w:r>
      <w:r>
        <w:t xml:space="preserve"> </w:t>
      </w:r>
      <w:r>
        <w:t xml:space="preserve">parameter names, optimizer and learning rate, update steps, evidence schema, benefit-model</w:t>
      </w:r>
      <w:r>
        <w:t xml:space="preserve"> </w:t>
      </w:r>
      <w:r>
        <w:t xml:space="preserve">hyperparameters, feature scaler, residual construction,</w:t>
      </w:r>
      <w:r>
        <w:t xml:space="preserve"> </w:t>
      </w:r>
      <m:oMath>
        <m:r>
          <m:t>α</m:t>
        </m:r>
      </m:oMath>
      <w:r>
        <w:t xml:space="preserve">, and inference-unit definition.</w:t>
      </w:r>
      <w:r>
        <w:t xml:space="preserve"> </w:t>
      </w:r>
      <w:r>
        <w:t xml:space="preserve">The radius belongs to that identity. Reusing it after a candidate or evidence change is not a benign</w:t>
      </w:r>
      <w:r>
        <w:t xml:space="preserve"> </w:t>
      </w:r>
      <w:r>
        <w:t xml:space="preserve">software optimization; it changes the random variable whose residual is being covered.</w:t>
      </w:r>
    </w:p>
    <w:bookmarkEnd w:id="114"/>
    <w:bookmarkStart w:id="115" w:name="h.4-runtime-accounting"/>
    <w:p>
      <w:pPr>
        <w:pStyle w:val="Heading2"/>
        <w:widowControl/>
      </w:pPr>
      <w:r>
        <w:t xml:space="preserve">H.4 Runtime Accounting</w:t>
      </w:r>
    </w:p>
    <w:p>
      <w:pPr>
        <w:pStyle w:val="FirstParagraph"/>
        <w:widowControl/>
      </w:pPr>
      <w:r>
        <w:t xml:space="preserve">A deployment report should time capture/preprocessing, frozen inference, candidate adaptation,</w:t>
      </w:r>
      <w:r>
        <w:t xml:space="preserve"> </w:t>
      </w:r>
      <w:r>
        <w:t xml:space="preserve">candidate inference, evidence extraction, benefit prediction, interval decision, copy creation, and</w:t>
      </w:r>
      <w:r>
        <w:t xml:space="preserve"> </w:t>
      </w:r>
      <w:r>
        <w:t xml:space="preserve">rollback separately. Mean and tail latency should be reported at the decision-window level. Peak</w:t>
      </w:r>
      <w:r>
        <w:t xml:space="preserve"> </w:t>
      </w:r>
      <w:r>
        <w:t xml:space="preserve">memory should include both model states and optimizer buffers. The compact manuscript leaves these</w:t>
      </w:r>
      <w:r>
        <w:t xml:space="preserve"> </w:t>
      </w:r>
      <w:r>
        <w:t xml:space="preserve">cells unfilled because the canonical cross-dataset manifest does not provide one comparable runtime</w:t>
      </w:r>
      <w:r>
        <w:t xml:space="preserve"> </w:t>
      </w:r>
      <w:r>
        <w:t xml:space="preserve">measurement. Omitting an unsupported number is preferable to quoting controller-only latency as</w:t>
      </w:r>
      <w:r>
        <w:t xml:space="preserve"> </w:t>
      </w:r>
      <w:r>
        <w:t xml:space="preserve">end-to-end cost.</w:t>
      </w:r>
    </w:p>
    <w:bookmarkEnd w:id="115"/>
    <w:bookmarkEnd w:id="116"/>
    <w:bookmarkStart w:id="119" w:name="i-evidence-inventory"/>
    <w:p>
      <w:pPr>
        <w:pStyle w:val="Heading1"/>
        <w:widowControl/>
      </w:pPr>
      <w:r>
        <w:t xml:space="preserve">I Evidence Inventory</w:t>
      </w:r>
    </w:p>
    <w:bookmarkStart w:id="118" w:name="X33517bd32f649bb1539d4ee82b7461027322bb8"/>
    <w:p>
      <w:pPr>
        <w:pStyle w:val="Heading2"/>
        <w:widowControl/>
      </w:pPr>
      <w:r>
        <w:t xml:space="preserve">I.1 Protocol-Specific Feature and Model Schemas</w:t>
      </w:r>
    </w:p>
    <w:p>
      <w:pPr>
        <w:pStyle w:val="FirstParagraph"/>
        <w:widowControl/>
      </w:pPr>
      <w:r>
        <w:t xml:space="preserve">The controlled-grid implementation records 11 label-free coordinates. Two exact schema relations</w:t>
      </w:r>
      <w:r>
        <w:t xml:space="preserve"> </w:t>
      </w:r>
      <w:r>
        <w:t xml:space="preserve">imply row rank at most nine. The previously reported effective rank nine remains an unverified</w:t>
      </w:r>
      <w:r>
        <w:t xml:space="preserve"> </w:t>
      </w:r>
      <w:r>
        <w:t xml:space="preserve">empirical assertion here without a matrix-specific receipt and numerical tolerance; it is not</w:t>
      </w:r>
      <w:r>
        <w:t xml:space="preserve"> </w:t>
      </w:r>
      <w:r>
        <w:t xml:space="preserve">inferred from the proved upper bound. Two coordinates are deterministic differences:</w:t>
      </w:r>
    </w:p>
    <w:p>
      <w:pPr>
        <w:pStyle w:val="BodyText"/>
        <w:widowControl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entropy_drop</m:t>
          </m:r>
          <m:r>
            <m:rPr>
              <m:sty m:val="p"/>
            </m:rPr>
            <m:t>=</m:t>
          </m:r>
          <m:r>
            <m:rPr>
              <m:nor/>
              <m:scr m:val="monospace"/>
              <m:sty m:val="p"/>
            </m:rPr>
            <m:t>pre_entropy</m:t>
          </m:r>
          <m:r>
            <m:rPr>
              <m:sty m:val="p"/>
            </m:rPr>
            <m:t>−</m:t>
          </m:r>
          <m:r>
            <m:rPr>
              <m:nor/>
              <m:scr m:val="monospace"/>
              <m:sty m:val="p"/>
            </m:rPr>
            <m:t>post_entropy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  <w:widowControl/>
      </w:pPr>
      <m:oMathPara>
        <m:oMathParaPr>
          <m:jc m:val="center"/>
        </m:oMathParaPr>
        <m:oMath>
          <m:r>
            <m:rPr>
              <m:nor/>
              <m:scr m:val="monospace"/>
              <m:sty m:val="p"/>
            </m:rPr>
            <m:t>pbal_drop</m:t>
          </m:r>
          <m:r>
            <m:rPr>
              <m:sty m:val="p"/>
            </m:rPr>
            <m:t>=</m:t>
          </m:r>
          <m:r>
            <m:rPr>
              <m:nor/>
              <m:scr m:val="monospace"/>
              <m:sty m:val="p"/>
            </m:rPr>
            <m:t>pre_pbal</m:t>
          </m:r>
          <m:r>
            <m:rPr>
              <m:sty m:val="p"/>
            </m:rPr>
            <m:t>−</m:t>
          </m:r>
          <m:r>
            <m:rPr>
              <m:nor/>
              <m:scr m:val="monospace"/>
              <m:sty m:val="p"/>
            </m:rPr>
            <m:t>post_pbal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widowControl/>
      </w:pPr>
      <w:r>
        <w:t xml:space="preserve">The panel therefore contains 11</w:t>
      </w:r>
      <w:r>
        <w:t xml:space="preserve"> </w:t>
      </w:r>
      <w:r>
        <w:t xml:space="preserve">stored values, not 11 independent information sources. Together they describe confidence, class</w:t>
      </w:r>
      <w:r>
        <w:t xml:space="preserve"> </w:t>
      </w:r>
      <w:r>
        <w:t xml:space="preserve">balance, change from the frozen model, and update size.</w:t>
      </w:r>
    </w:p>
    <w:p>
      <w:pPr>
        <w:pStyle w:val="BodyText"/>
        <w:widowControl/>
      </w:pPr>
      <w:r>
        <w:t xml:space="preserve">The exact common coordinate order is</w:t>
      </w:r>
    </w:p>
    <w:p>
      <w:pPr>
        <w:pStyle w:val="BlockText"/>
        <w:widowControl/>
      </w:pPr>
      <w:r>
        <w:rPr>
          <w:rStyle w:val="VerbatimChar"/>
        </w:rPr>
        <w:t xml:space="preserve">pre_entropy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pre_conf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pre_pbal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post_entropy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post_pbal</w:t>
      </w:r>
      <w:r>
        <w:t xml:space="preserve">,</w:t>
      </w:r>
      <w:r>
        <w:t xml:space="preserve"> </w:t>
      </w:r>
      <w:r>
        <w:rPr>
          <w:rStyle w:val="VerbatimChar"/>
        </w:rPr>
        <w:t xml:space="preserve">pbal_drop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entropy_drop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frac_highconf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marginal_KL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update_norm</w:t>
      </w:r>
      <w:r>
        <w:t xml:space="preserve">.</w:t>
      </w:r>
    </w:p>
    <w:p>
      <w:pPr>
        <w:pStyle w:val="FirstParagraph"/>
        <w:widowControl/>
      </w:pPr>
      <w:r>
        <w:t xml:space="preserve">The canonical evidence-contract digest for this ordered schema is</w:t>
      </w:r>
      <w:r>
        <w:t xml:space="preserve"> </w:t>
      </w:r>
      <w:r>
        <w:t xml:space="preserve">76b3951e77c42bbb1359123abd8d937b087c9c42ba0f14e11e61f9aca132f7f7.</w:t>
      </w:r>
      <w:r>
        <w:t xml:space="preserve"> </w:t>
      </w:r>
      <w:r>
        <w:t xml:space="preserve">The current controlled cross-fit passes these recorded coordinates directly to the GBRT; it applies</w:t>
      </w:r>
      <w:r>
        <w:t xml:space="preserve"> </w:t>
      </w:r>
      <w:r>
        <w:t xml:space="preserve">no separate feature scaler. Nonfinite evidence or outcomes are rejected, and a split that cannot</w:t>
      </w:r>
      <w:r>
        <w:t xml:space="preserve"> </w:t>
      </w:r>
      <w:r>
        <w:t xml:space="preserve">support the exact rank receives an infinite radius and therefore no commitment.</w:t>
      </w:r>
    </w:p>
    <w:p>
      <w:pPr>
        <w:pStyle w:val="BodyText"/>
        <w:widowControl/>
      </w:pPr>
      <w:r>
        <w:t xml:space="preserve">The shared historical builders use natural-log predictive entropy. They normalize class-marginal</w:t>
      </w:r>
      <w:r>
        <w:t xml:space="preserve"> </w:t>
      </w:r>
      <w:r>
        <w:t xml:space="preserve">entropy by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stabilize logarithms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define the high-confidence fraction with a</w:t>
      </w:r>
      <w:r>
        <w:t xml:space="preserve"> </w:t>
      </w:r>
      <w:r>
        <w:t xml:space="preserve">fixed candidate-confidence threshold of</w:t>
      </w:r>
      <w:r>
        <w:t xml:space="preserve"> </w:t>
      </w:r>
      <m:oMath>
        <m:r>
          <m:t>0.9</m:t>
        </m:r>
      </m:oMath>
      <w:r>
        <w:t xml:space="preserve">, and retain marginal KL on its raw scale. The</w:t>
      </w:r>
      <w:r>
        <w:t xml:space="preserve"> </w:t>
      </w:r>
      <w:r>
        <w:t xml:space="preserve">Office-Home builder uses the analogous definitions with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log stabilization. These</w:t>
      </w:r>
      <w:r>
        <w:t xml:space="preserve"> </w:t>
      </w:r>
      <w:r>
        <w:t xml:space="preserve">constants are part of the recorded schema: changing one creates a new evidence variable even when</w:t>
      </w:r>
      <w:r>
        <w:t xml:space="preserve"> </w:t>
      </w:r>
      <w:r>
        <w:t xml:space="preserve">the coordinate name and dimension remain unchanged.</w:t>
      </w:r>
    </w:p>
    <w:p>
      <w:pPr>
        <w:pStyle w:val="TableCaption"/>
        <w:widowControl/>
      </w:pPr>
      <w:r>
        <w:t xml:space="preserve">Table 22. Evidence-schema identity crosswalk. Digests bind ordered names and dimensions for the</w:t>
      </w:r>
      <w:r>
        <w:t xml:space="preserve"> </w:t>
      </w:r>
      <w:r>
        <w:t xml:space="preserve">archived contracts; the CCT row instead records its explicit trace schema and sealed gate document.</w:t>
      </w:r>
      <w:r>
        <w:t xml:space="preserve"> </w:t>
      </w:r>
      <w:r>
        <w:t xml:space="preserve">Preprocessing and invalid-input behavior are part of the protocol, not interchangeable defaults.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22. Evidence-schema identity crosswalk. Digests bind ordered names and dimensions for the archived contracts; the CCT row instead records its explicit trace schema and sealed gate document. Preprocessing and invalid-input behavior are part of the protocol, not interchangeable defaults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070"/>
        <w:gridCol w:w="560"/>
        <w:gridCol w:w="2814"/>
        <w:gridCol w:w="2814"/>
        <w:gridCol w:w="2702"/>
      </w:tblGrid>
      <w:tr>
        <w:trPr>
          <w:tblHeader w:val="true"/>
          <w:cantSplit w:val="true"/>
        </w:trPr>
        <w:tc>
          <w:tcPr>
            <w:tcW w:w="10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Authority</w:t>
            </w:r>
          </w:p>
        </w:tc>
        <w:tc>
          <w:tcPr>
            <w:tcW w:w="5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Dim.</w:t>
            </w:r>
          </w:p>
        </w:tc>
        <w:tc>
          <w:tcPr>
            <w:tcW w:w="281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Schema identity</w:t>
            </w:r>
          </w:p>
        </w:tc>
        <w:tc>
          <w:tcPr>
            <w:tcW w:w="281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Model-side preprocessing</w:t>
            </w:r>
          </w:p>
        </w:tc>
        <w:tc>
          <w:tcPr>
            <w:tcW w:w="27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5"/>
              </w:rPr>
              <w:t>Invalid or unavailable state</w:t>
            </w:r>
          </w:p>
        </w:tc>
      </w:tr>
      <w:tr>
        <w:trPr>
          <w:cantSplit w:val="true"/>
        </w:trPr>
        <w:tc>
          <w:tcPr>
            <w:tcW w:w="10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Common controlled/archive</w:t>
            </w:r>
          </w:p>
        </w:tc>
        <w:tc>
          <w:tcPr>
            <w:tcW w:w="5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w="281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76b3951e77c42bbb1359123abd8d937b087c9c42ba0f14e11e61f9aca132f7f7</w:t>
            </w:r>
          </w:p>
        </w:tc>
        <w:tc>
          <w:tcPr>
            <w:tcW w:w="281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raw coordinates to candidate-specific GBRT</w:t>
            </w:r>
          </w:p>
        </w:tc>
        <w:tc>
          <w:tcPr>
            <w:tcW w:w="27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controlled cross-fit fail-closes malformed or nonfinite matrices</w:t>
            </w:r>
          </w:p>
        </w:tc>
      </w:tr>
      <w:tr>
        <w:trPr>
          <w:cantSplit w:val="true"/>
        </w:trPr>
        <w:tc>
          <w:tcPr>
            <w:tcW w:w="10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Camelyon17 OOD</w:t>
            </w:r>
          </w:p>
        </w:tc>
        <w:tc>
          <w:tcPr>
            <w:tcW w:w="5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17</w:t>
            </w:r>
          </w:p>
        </w:tc>
        <w:tc>
          <w:tcPr>
            <w:tcW w:w="281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bf6eb06e5048705c02293c85038c732e0aacc6e6737f6cb481b3bc5df83ca746</w:t>
            </w:r>
          </w:p>
        </w:tc>
        <w:tc>
          <w:tcPr>
            <w:tcW w:w="281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raw coordinates to archived GBRT</w:t>
            </w:r>
          </w:p>
        </w:tc>
        <w:tc>
          <w:tcPr>
            <w:tcW w:w="27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record validator rejects wrong width or nonfinite values</w:t>
            </w:r>
          </w:p>
        </w:tc>
      </w:tr>
      <w:tr>
        <w:trPr>
          <w:cantSplit w:val="true"/>
        </w:trPr>
        <w:tc>
          <w:tcPr>
            <w:tcW w:w="10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Office-Home</w:t>
            </w:r>
          </w:p>
        </w:tc>
        <w:tc>
          <w:tcPr>
            <w:tcW w:w="5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18</w:t>
            </w:r>
          </w:p>
        </w:tc>
        <w:tc>
          <w:tcPr>
            <w:tcW w:w="281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a363c05a2475f3170976b8f7efc30763859e29b9cfe1714f9c4f91a4f1e892bc</w:t>
            </w:r>
          </w:p>
        </w:tc>
        <w:tc>
          <w:tcPr>
            <w:tcW w:w="281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raw coordinates to archived GBRT</w:t>
            </w:r>
          </w:p>
        </w:tc>
        <w:tc>
          <w:tcPr>
            <w:tcW w:w="27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absent source logits use recorded zero fallbacks for energy shift and ATC</w:t>
            </w:r>
          </w:p>
        </w:tc>
      </w:tr>
      <w:tr>
        <w:trPr>
          <w:cantSplit w:val="true"/>
        </w:trPr>
        <w:tc>
          <w:tcPr>
            <w:tcW w:w="10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RxRx1</w:t>
            </w:r>
          </w:p>
        </w:tc>
        <w:tc>
          <w:tcPr>
            <w:tcW w:w="5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w="281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names unrecovered; 8444fd58264350b2379bff08f5ccc0259f381265db7a03f9e0b48415e562805e</w:t>
            </w:r>
          </w:p>
        </w:tc>
        <w:tc>
          <w:tcPr>
            <w:tcW w:w="281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archived model only; coordinate names are not inferred</w:t>
            </w:r>
          </w:p>
        </w:tc>
        <w:tc>
          <w:tcPr>
            <w:tcW w:w="27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validator rejects wrong width or nonfinite values</w:t>
            </w:r>
          </w:p>
        </w:tc>
      </w:tr>
      <w:tr>
        <w:trPr>
          <w:cantSplit w:val="true"/>
        </w:trPr>
        <w:tc>
          <w:tcPr>
            <w:tcW w:w="107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CCT-20</w:t>
            </w:r>
          </w:p>
        </w:tc>
        <w:tc>
          <w:tcPr>
            <w:tcW w:w="56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sz w:val="15"/>
              </w:rPr>
              <w:t>11</w:t>
            </w:r>
          </w:p>
        </w:tc>
        <w:tc>
          <w:tcPr>
            <w:tcW w:w="281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Style w:val="VerbatimChar"/>
                <w:rFonts w:ascii="Times New Roman" w:hAnsi="Times New Roman"/>
                <w:sz w:val="15"/>
              </w:rPr>
              <w:t>kbound_cct20_label_free_trace_features_v1</w:t>
            </w:r>
            <w:r>
              <w:rPr>
                <w:rFonts w:ascii="Times New Roman" w:hAnsi="Times New Roman"/>
                <w:sz w:val="15"/>
              </w:rPr>
              <w:t>; sealed gate document 74db83cca3641c505735bcc9db4f76c588148f1ebb4d7d7c2b713bfbb6eda0e7</w:t>
            </w:r>
          </w:p>
        </w:tc>
        <w:tc>
          <w:tcPr>
            <w:tcW w:w="281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fit-location mean and population-SD standardization before ridge</w:t>
            </w:r>
          </w:p>
        </w:tc>
        <w:tc>
          <w:tcPr>
            <w:tcW w:w="27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5"/>
              </w:rPr>
              <w:t>exact-schema, finiteness, or support failure returns ABSTAIN</w:t>
            </w:r>
          </w:p>
        </w:tc>
      </w:tr>
    </w:tbl>
    <w:p>
      <w:pPr>
        <w:pStyle w:val="BodyText"/>
        <w:widowControl/>
      </w:pPr>
      <w:r>
        <w:t xml:space="preserve">Natural-shift artifacts do not all use the same schema. The Camelyon17 OOD record uses the common</w:t>
      </w:r>
      <w:r>
        <w:t xml:space="preserve"> </w:t>
      </w:r>
      <w:r>
        <w:t xml:space="preserve">11 coordinates plus</w:t>
      </w:r>
      <w:r>
        <w:t xml:space="preserve"> </w:t>
      </w:r>
      <w:r>
        <w:rPr>
          <w:rStyle w:val="VerbatimChar"/>
        </w:rPr>
        <w:t xml:space="preserve">disagreement_rate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entropy_gap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energy_shift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bn_kl</w:t>
      </w:r>
      <w:r>
        <w:t xml:space="preserve">,</w:t>
      </w:r>
      <w:r>
        <w:t xml:space="preserve"> </w:t>
      </w:r>
      <w:r>
        <w:rPr>
          <w:rStyle w:val="VerbatimChar"/>
        </w:rPr>
        <w:t xml:space="preserve">atc_acc_est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conf_drop</w:t>
      </w:r>
      <w:r>
        <w:t xml:space="preserve">; its 17-coordinate digest is</w:t>
      </w:r>
      <w:r>
        <w:t xml:space="preserve"> </w:t>
      </w:r>
      <w:r>
        <w:t xml:space="preserve">bf6eb06e5048705c02293c85038c732e0aacc6e6737f6cb481b3bc5df83ca746.</w:t>
      </w:r>
      <w:r>
        <w:t xml:space="preserve"> </w:t>
      </w:r>
      <w:r>
        <w:t xml:space="preserve">The separate Camelyon17 B–v2 diagnostic uses the common 11-coordinate schema. Office-Home adds</w:t>
      </w:r>
      <w:r>
        <w:t xml:space="preserve"> </w:t>
      </w:r>
      <w:r>
        <w:rPr>
          <w:rStyle w:val="VerbatimChar"/>
        </w:rPr>
        <w:t xml:space="preserve">disagreement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energy_shift</w:t>
      </w:r>
      <w:r>
        <w:t xml:space="preserve">,</w:t>
      </w:r>
      <w:r>
        <w:t xml:space="preserve"> </w:t>
      </w:r>
      <w:r>
        <w:rPr>
          <w:rStyle w:val="VerbatimChar"/>
        </w:rPr>
        <w:t xml:space="preserve">bn_kl</w:t>
      </w:r>
      <w:r>
        <w:t xml:space="preserve">,</w:t>
      </w:r>
      <w:r>
        <w:t xml:space="preserve"> </w:t>
      </w:r>
      <w:r>
        <w:rPr>
          <w:rStyle w:val="VerbatimChar"/>
        </w:rPr>
        <w:t xml:space="preserve">atc_acc_est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conf_drop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prior_kl_source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cand_disagree_mean</w:t>
      </w:r>
      <w:r>
        <w:t xml:space="preserve">; its 18-coordinate digest is</w:t>
      </w:r>
      <w:r>
        <w:t xml:space="preserve"> </w:t>
      </w:r>
      <w:r>
        <w:t xml:space="preserve">a363c05a2475f3170976b8f7efc30763859e29b9cfe1714f9c4f91a4f1e892bc.</w:t>
      </w:r>
      <w:r>
        <w:t xml:space="preserve"> </w:t>
      </w:r>
      <w:r>
        <w:t xml:space="preserve">The RxRx1 authority records dimension 11 and digest</w:t>
      </w:r>
      <w:r>
        <w:t xml:space="preserve"> </w:t>
      </w:r>
      <w:r>
        <w:t xml:space="preserve">8444fd58264350b2379bff08f5ccc0259f381265db7a03f9e0b48415e562805e, but explicitly marks the</w:t>
      </w:r>
      <w:r>
        <w:t xml:space="preserve"> </w:t>
      </w:r>
      <w:r>
        <w:t xml:space="preserve">coordinate names as unrecovered. We therefore do not silently assign it the common names. The</w:t>
      </w:r>
      <w:r>
        <w:t xml:space="preserve"> </w:t>
      </w:r>
      <w:r>
        <w:t xml:space="preserve">iWildCam record is withheld from release-level numerical claims because its archived scorer used</w:t>
      </w:r>
      <w:r>
        <w:t xml:space="preserve"> </w:t>
      </w:r>
      <w:r>
        <w:t xml:space="preserve">scikit-learn macro-F1 rather than the official WILDS label-present macro-F1 contract. Its canonical</w:t>
      </w:r>
      <w:r>
        <w:t xml:space="preserve"> </w:t>
      </w:r>
      <w:r>
        <w:t xml:space="preserve">evidence metadata nevertheless recovers the common ordered 11-coordinate schema and digest above.</w:t>
      </w:r>
    </w:p>
    <w:p>
      <w:pPr>
        <w:pStyle w:val="BodyText"/>
        <w:widowControl/>
      </w:pPr>
      <w:r>
        <w:t xml:space="preserve">A fitted model and its radius remain specific to their recorded evidence schema. Missing-input</w:t>
      </w:r>
      <w:r>
        <w:t xml:space="preserve"> </w:t>
      </w:r>
      <w:r>
        <w:t xml:space="preserve">behavior is protocol-specific. The current controlled cross-fit fail-closes malformed or nonfinite</w:t>
      </w:r>
      <w:r>
        <w:t xml:space="preserve"> </w:t>
      </w:r>
      <w:r>
        <w:t xml:space="preserve">numeric matrices to ABSTAIN, and CCT-20 returns ABSTAIN on an exact-schema or finiteness failure.</w:t>
      </w:r>
      <w:r>
        <w:t xml:space="preserve"> </w:t>
      </w:r>
      <w:r>
        <w:t xml:space="preserve">The maintained natural-shift record validator instead rejects wrong-width or nonfinite records</w:t>
      </w:r>
      <w:r>
        <w:t xml:space="preserve"> </w:t>
      </w:r>
      <w:r>
        <w:t xml:space="preserve">before routing; historical feature builders encode unavailable BatchNorm statistics as zero, and</w:t>
      </w:r>
      <w:r>
        <w:t xml:space="preserve"> </w:t>
      </w:r>
      <w:r>
        <w:t xml:space="preserve">the Office-Home builder also defines zero fallbacks for absent source logits in its energy-shift</w:t>
      </w:r>
      <w:r>
        <w:t xml:space="preserve"> </w:t>
      </w:r>
      <w:r>
        <w:t xml:space="preserve">and ATC coordinates.</w:t>
      </w:r>
    </w:p>
    <w:p>
      <w:pPr>
        <w:pStyle w:val="BodyText"/>
        <w:widowControl/>
      </w:pPr>
      <w:r>
        <w:t xml:space="preserve">The controlled and archived GBRT protocols use scikit-learn’s</w:t>
      </w:r>
      <w:r>
        <w:t xml:space="preserve"> </w:t>
      </w:r>
      <w:r>
        <w:t xml:space="preserve">[33] with squared-error loss,</w:t>
      </w:r>
      <w:r>
        <w:t xml:space="preserve"> </w:t>
      </w:r>
      <w:r>
        <w:t xml:space="preserve">250 trees, depth 2, learning rate</w:t>
      </w:r>
      <w:r>
        <w:t xml:space="preserve"> </w:t>
      </w:r>
      <m:oMath>
        <m:r>
          <m:t>0.05</m:t>
        </m:r>
      </m:oMath>
      <w:r>
        <w:t xml:space="preserve">, subsample</w:t>
      </w:r>
      <w:r>
        <w:t xml:space="preserve"> </w:t>
      </w:r>
      <m:oMath>
        <m:r>
          <m:t>0.8</m:t>
        </m:r>
      </m:oMath>
      <w:r>
        <w:t xml:space="preserve">, and random seed 0. The fit is specific</w:t>
      </w:r>
      <w:r>
        <w:t xml:space="preserve"> </w:t>
      </w:r>
      <w:r>
        <w:t xml:space="preserve">to each dataset and adapter. CCT-20 instead uses its sealed ridge model, as described in</w:t>
      </w:r>
      <w:r>
        <w:t xml:space="preserve"> </w:t>
      </w:r>
      <w:r>
        <w:t xml:space="preserve">the main-paper design in Section 7.2.</w:t>
      </w:r>
      <w:r>
        <w:t xml:space="preserve"> </w:t>
      </w:r>
      <w:r>
        <w:t xml:space="preserve">Thus</w:t>
      </w:r>
      <w:r>
        <w:t xml:space="preserve"> </w:t>
      </w:r>
      <w:r>
        <w:t xml:space="preserve">“adapter agnostic”</w:t>
      </w:r>
      <w:r>
        <w:t xml:space="preserve"> </w:t>
      </w:r>
      <w:r>
        <w:t xml:space="preserve">describes the interface: any adapter can propose a</w:t>
      </w:r>
      <w:r>
        <w:t xml:space="preserve"> </w:t>
      </w:r>
      <w:r>
        <w:t xml:space="preserve">candidate that is evaluated and either committed or rolled back. It does not mean that a benefit</w:t>
      </w:r>
      <w:r>
        <w:t xml:space="preserve"> </w:t>
      </w:r>
      <w:r>
        <w:t xml:space="preserve">model fitted for Tent transfers validly to EATA, SAR, or another adapter.</w:t>
      </w:r>
    </w:p>
    <w:bookmarkStart w:id="117" w:name="cct-20-trace-and-ridge-contract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CCT-20 trace and ridge contract.</w:t>
      </w:r>
    </w:p>
    <w:p>
      <w:pPr>
        <w:pStyle w:val="FirstParagraph"/>
        <w:widowControl/>
      </w:pPr>
      <w:r>
        <w:t xml:space="preserve">CCT-20 uses a separate ordered trace schema:</w:t>
      </w:r>
    </w:p>
    <w:p>
      <w:pPr>
        <w:pStyle w:val="BlockText"/>
        <w:widowControl/>
      </w:pPr>
      <w:r>
        <w:rPr>
          <w:rStyle w:val="VerbatimChar"/>
        </w:rPr>
        <w:t xml:space="preserve">frozen_mean_entropy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tent_mean_entropy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entropy_change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frozen_mean_confidence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tent_mean_confidence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confidence_change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prediction_disagreement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marginal_jensen_shannon_divergence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normalized_predicted_class_effective_count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normalized_tent_update_norm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batchnorm_batch_source_statistic_divergence</w:t>
      </w:r>
      <w:r>
        <w:t xml:space="preserve">.</w:t>
      </w:r>
    </w:p>
    <w:p>
      <w:pPr>
        <w:pStyle w:val="FirstParagraph"/>
        <w:widowControl/>
      </w:pPr>
      <w:r>
        <w:t xml:space="preserve">The sealed gate identifies this contract as</w:t>
      </w:r>
      <w:r>
        <w:t xml:space="preserve"> </w:t>
      </w:r>
      <w:r>
        <w:rPr>
          <w:rStyle w:val="VerbatimChar"/>
        </w:rPr>
        <w:t xml:space="preserve">kbound_cct20_ridge_gate_v1</w:t>
      </w:r>
      <w:r>
        <w:t xml:space="preserve">; the release manifest</w:t>
      </w:r>
      <w:r>
        <w:t xml:space="preserve"> </w:t>
      </w:r>
      <w:r>
        <w:t xml:space="preserve">binds its canonical document by SHA-256</w:t>
      </w:r>
      <w:r>
        <w:t xml:space="preserve"> </w:t>
      </w:r>
      <w:r>
        <w:t xml:space="preserve">74db83cca3641c505735bcc9db4f76c588148f1ebb4d7d7c2b713bfbb6eda0e7.</w:t>
      </w:r>
      <w:r>
        <w:t xml:space="preserve"> </w:t>
      </w:r>
      <w:r>
        <w:t xml:space="preserve">Every feature must be present exactly once and finite. Fit-location means and population standard</w:t>
      </w:r>
      <w:r>
        <w:t xml:space="preserve"> </w:t>
      </w:r>
      <w:r>
        <w:t xml:space="preserve">deviations standardize the coordinates; a zero standard deviation is replaced by one. The ridge</w:t>
      </w:r>
      <w:r>
        <w:t xml:space="preserve"> </w:t>
      </w:r>
      <w:r>
        <w:t xml:space="preserve">penalty is 10, the intercept is unpenalized, and calibration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takes the maximum</w:t>
      </w:r>
      <w:r>
        <w:t xml:space="preserve"> </w:t>
      </w:r>
      <w:r>
        <w:t xml:space="preserve">absolute residual across checkpoints within each location before applying the exact-rank rule over</w:t>
      </w:r>
      <w:r>
        <w:t xml:space="preserve"> </w:t>
      </w:r>
      <w:r>
        <w:t xml:space="preserve">nine locations. A support or schema failure returns ABSTAIN; Mahalanobis distance is diagnostic and</w:t>
      </w:r>
      <w:r>
        <w:t xml:space="preserve"> </w:t>
      </w:r>
      <w:r>
        <w:t xml:space="preserve">never changes the action.</w:t>
      </w:r>
    </w:p>
    <w:p>
      <w:pPr>
        <w:pStyle w:val="BodyText"/>
        <w:widowControl/>
      </w:pPr>
      <w:r>
        <w:t xml:space="preserve">Before ridge standardization, the CCT trace extractor normalizes each entropy by</w:t>
      </w:r>
      <w:r>
        <w:t xml:space="preserve"> </w:t>
      </w:r>
      <m:oMath>
        <m:r>
          <m:rPr>
            <m:sty m:val="p"/>
          </m:rPr>
          <m:t>log</m:t>
        </m:r>
        <m:r>
          <m:t>16</m:t>
        </m:r>
      </m:oMath>
      <w:r>
        <w:t xml:space="preserve">, the</w:t>
      </w:r>
      <w:r>
        <w:t xml:space="preserve"> </w:t>
      </w:r>
      <w:r>
        <w:t xml:space="preserve">Jensen–Shannon divergence 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, and predicted-class effective count by 16. It defines the</w:t>
      </w:r>
      <w:r>
        <w:t xml:space="preserve"> </w:t>
      </w:r>
      <w:r>
        <w:t xml:space="preserve">update coordinate as</w:t>
      </w:r>
    </w:p>
    <w:p>
      <w:pPr>
        <w:pStyle w:val="BodyText"/>
        <w:widowControl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a</m:t>
                          </m:r>
                          <m:r>
                            <m:rPr>
                              <m:sty m:val="p"/>
                            </m:rPr>
                            <m:t>f</m:t>
                          </m:r>
                          <m:r>
                            <m:rPr>
                              <m:sty m:val="p"/>
                            </m:rPr>
                            <m:t>t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f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</m:sSub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{</m:t>
              </m:r>
              <m:sSub>
                <m:e>
                  <m:d>
                    <m:dPr>
                      <m:begChr m:val="‖"/>
                      <m:sepChr m:val=""/>
                      <m:endChr m:val="‖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b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rPr>
                              <m:sty m:val="p"/>
                            </m:rPr>
                            <m:t>f</m:t>
                          </m:r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</m:sub>
                      </m:sSub>
                    </m:e>
                  </m:d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  <m:r>
                <m:rPr>
                  <m:sty m:val="p"/>
                </m:rPr>
                <m:t>}</m:t>
              </m:r>
            </m:den>
          </m:f>
        </m:oMath>
      </m:oMathPara>
    </w:p>
    <w:p>
      <w:pPr>
        <w:pStyle w:val="FirstParagraph"/>
        <w:widowControl/>
      </w:pPr>
      <w:r>
        <w:t xml:space="preserve">over the official Tent BatchNorm-affine parameters. The final coordinate is a channel-weighted</w:t>
      </w:r>
      <w:r>
        <w:t xml:space="preserve"> </w:t>
      </w:r>
      <w:r>
        <w:t xml:space="preserve">Gaussian KL divergence from the probe-batch statistics to the stored source BatchNorm statistics,</w:t>
      </w:r>
      <w:r>
        <w:t xml:space="preserve"> </w:t>
      </w:r>
      <w:r>
        <w:t xml:space="preserve">using the layer’s BatchNorm epsilon. Probability values are clipped only at machine tiny before a</w:t>
      </w:r>
      <w:r>
        <w:t xml:space="preserve"> </w:t>
      </w:r>
      <w:r>
        <w:t xml:space="preserve">logarithm. These normalizations are distinct from the archived GBRT coordinates above.</w:t>
      </w:r>
    </w:p>
    <w:p>
      <w:pPr>
        <w:pStyle w:val="TableCaption"/>
        <w:widowControl/>
      </w:pPr>
      <w:r>
        <w:t xml:space="preserve">Table 23. Non-empirical feature-family summary for the maintained implementation. Each row names one</w:t>
      </w:r>
      <w:r>
        <w:t xml:space="preserve"> </w:t>
      </w:r>
      <w:r>
        <w:t xml:space="preserve">feature family, the state required to compute it, and its protocol-specific validation or fallback.</w:t>
      </w:r>
      <w:r>
        <w:t xml:space="preserve"> </w:t>
      </w:r>
      <w:r>
        <w:t xml:space="preserve">All quantities aggregate unlabeled inputs, frozen/candidate outputs, or the proposed update; the</w:t>
      </w:r>
      <w:r>
        <w:t xml:space="preserve"> </w:t>
      </w:r>
      <w:r>
        <w:t xml:space="preserve">table reports no performance result.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23. Non-empirical feature-family summary for the maintained implementation. Each row names one feature family, the state required to compute it, and its protocol-specific validation or fallback. All quantities aggregate unlabeled inputs, frozen/candidate outputs, or the proposed update; the table reports no performance result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407"/>
        <w:gridCol w:w="3238"/>
        <w:gridCol w:w="2149"/>
        <w:gridCol w:w="3166"/>
      </w:tblGrid>
      <w:tr>
        <w:trPr>
          <w:tblHeader w:val="true"/>
          <w:cantSplit w:val="true"/>
        </w:trPr>
        <w:tc>
          <w:tcPr>
            <w:tcW w:w="14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Family</w:t>
            </w:r>
          </w:p>
        </w:tc>
        <w:tc>
          <w:tcPr>
            <w:tcW w:w="32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Representative coordinates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Required state</w:t>
            </w:r>
          </w:p>
        </w:tc>
        <w:tc>
          <w:tcPr>
            <w:tcW w:w="31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Failure handling</w:t>
            </w:r>
          </w:p>
        </w:tc>
      </w:tr>
      <w:tr>
        <w:trPr>
          <w:cantSplit w:val="true"/>
        </w:trPr>
        <w:tc>
          <w:tcPr>
            <w:tcW w:w="14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Predictive uncertainty</w:t>
            </w:r>
          </w:p>
        </w:tc>
        <w:tc>
          <w:tcPr>
            <w:tcW w:w="32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mean entropy, confidence, quantiles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frozen/candidate softmax</w:t>
            </w:r>
          </w:p>
        </w:tc>
        <w:tc>
          <w:tcPr>
            <w:tcW w:w="31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reject NaN or malformed probabilities</w:t>
            </w:r>
          </w:p>
        </w:tc>
      </w:tr>
      <w:tr>
        <w:trPr>
          <w:cantSplit w:val="true"/>
        </w:trPr>
        <w:tc>
          <w:tcPr>
            <w:tcW w:w="14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Marginal balance</w:t>
            </w:r>
          </w:p>
        </w:tc>
        <w:tc>
          <w:tcPr>
            <w:tcW w:w="32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normalized class-marginal entropy and change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predicted-class marginals</w:t>
            </w:r>
          </w:p>
        </w:tc>
        <w:tc>
          <w:tcPr>
            <w:tcW w:w="31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fixed class count and normalization</w:t>
            </w:r>
          </w:p>
        </w:tc>
      </w:tr>
      <w:tr>
        <w:trPr>
          <w:cantSplit w:val="true"/>
        </w:trPr>
        <w:tc>
          <w:tcPr>
            <w:tcW w:w="14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Model change</w:t>
            </w:r>
          </w:p>
        </w:tc>
        <w:tc>
          <w:tcPr>
            <w:tcW w:w="32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entropy gap, confidence drop, prediction disagreement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paired frozen/candidate outputs</w:t>
            </w:r>
          </w:p>
        </w:tc>
        <w:tc>
          <w:tcPr>
            <w:tcW w:w="31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require aligned sample order</w:t>
            </w:r>
          </w:p>
        </w:tc>
      </w:tr>
      <w:tr>
        <w:trPr>
          <w:cantSplit w:val="true"/>
        </w:trPr>
        <w:tc>
          <w:tcPr>
            <w:tcW w:w="14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Collapse signal</w:t>
            </w:r>
          </w:p>
        </w:tc>
        <w:tc>
          <w:tcPr>
            <w:tcW w:w="32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fraction above adapted confidence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0.9</m:t>
              </m:r>
            </m:oMath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candidate probabilities</w:t>
            </w:r>
          </w:p>
        </w:tc>
        <w:tc>
          <w:tcPr>
            <w:tcW w:w="31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threshold fixed before scoring</w:t>
            </w:r>
          </w:p>
        </w:tc>
      </w:tr>
      <w:tr>
        <w:trPr>
          <w:cantSplit w:val="true"/>
        </w:trPr>
        <w:tc>
          <w:tcPr>
            <w:tcW w:w="14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Distribution shift</w:t>
            </w:r>
          </w:p>
        </w:tc>
        <w:tc>
          <w:tcPr>
            <w:tcW w:w="32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free-energy shift, batch/running-statistic divergence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frozen logits and source statistics</w:t>
            </w:r>
          </w:p>
        </w:tc>
        <w:tc>
          <w:tcPr>
            <w:tcW w:w="31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protocol-specific validation or documented zero fallback</w:t>
            </w:r>
          </w:p>
        </w:tc>
      </w:tr>
      <w:tr>
        <w:trPr>
          <w:cantSplit w:val="true"/>
        </w:trPr>
        <w:tc>
          <w:tcPr>
            <w:tcW w:w="14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Update magnitude</w:t>
            </w:r>
          </w:p>
        </w:tc>
        <w:tc>
          <w:tcPr>
            <w:tcW w:w="32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parameter-update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norm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shadow candidate delta</w:t>
            </w:r>
          </w:p>
        </w:tc>
        <w:tc>
          <w:tcPr>
            <w:tcW w:w="31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configuration hash must match calibration</w:t>
            </w:r>
          </w:p>
        </w:tc>
      </w:tr>
      <w:tr>
        <w:trPr>
          <w:cantSplit w:val="true"/>
        </w:trPr>
        <w:tc>
          <w:tcPr>
            <w:tcW w:w="140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Source-calibrated proxy</w:t>
            </w:r>
          </w:p>
        </w:tc>
        <w:tc>
          <w:tcPr>
            <w:tcW w:w="32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ATC-style threshold estimate</w:t>
            </w:r>
          </w:p>
        </w:tc>
        <w:tc>
          <w:tcPr>
            <w:tcW w:w="214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source-fixed threshold</w:t>
            </w:r>
          </w:p>
        </w:tc>
        <w:tc>
          <w:tcPr>
            <w:tcW w:w="316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target labels never used</w:t>
            </w:r>
          </w:p>
        </w:tc>
      </w:tr>
    </w:tbl>
    <w:p>
      <w:pPr>
        <w:pStyle w:val="BodyText"/>
        <w:widowControl/>
      </w:pPr>
      <w:r>
        <w:t xml:space="preserve">These protocol-specific dimensions are part of the fitted estimator contract, not universal</w:t>
      </w:r>
      <w:r>
        <w:t xml:space="preserve"> </w:t>
      </w:r>
      <w:r>
        <w:t xml:space="preserve">sufficient statistics. Feature selection may improve prediction, but it cannot defeat the</w:t>
      </w:r>
      <w:r>
        <w:t xml:space="preserve"> </w:t>
      </w:r>
      <w:r>
        <w:t xml:space="preserve">label-kernel construction in the</w:t>
      </w:r>
      <w:r>
        <w:t xml:space="preserve"> </w:t>
      </w:r>
      <w:r>
        <w:t xml:space="preserve">main-paper Lemma 1</w:t>
      </w:r>
      <w:r>
        <w:t xml:space="preserve"> </w:t>
      </w:r>
      <w:r>
        <w:t xml:space="preserve">over an unrestricted target fibre.</w:t>
      </w:r>
    </w:p>
    <w:bookmarkEnd w:id="117"/>
    <w:bookmarkEnd w:id="118"/>
    <w:bookmarkEnd w:id="119"/>
    <w:bookmarkStart w:id="120" w:name="Xef0894cd3ac857c6bb4e003e25a32421a21edda"/>
    <w:p>
      <w:pPr>
        <w:pStyle w:val="Heading1"/>
        <w:widowControl/>
      </w:pPr>
      <w:r>
        <w:t xml:space="preserve">J Implementation Failure Modes and Conservative Responses</w:t>
      </w:r>
    </w:p>
    <w:p>
      <w:pPr>
        <w:pStyle w:val="FirstParagraph"/>
        <w:widowControl/>
      </w:pPr>
      <w:r>
        <w:t xml:space="preserve">The implementation must distinguish a supported negative interval from an unavailable assessment.</w:t>
      </w:r>
      <w:r>
        <w:t xml:space="preserve"> </w:t>
      </w:r>
      <w:r>
        <w:t xml:space="preserve">The deployment contract must preserve the frozen service on an unavailable assessment. Some</w:t>
      </w:r>
      <w:r>
        <w:t xml:space="preserve"> </w:t>
      </w:r>
      <w:r>
        <w:t xml:space="preserve">interfaces return ABSTAIN for invalid features, while malformed authority documents can fail-stop</w:t>
      </w:r>
      <w:r>
        <w:t xml:space="preserve"> </w:t>
      </w:r>
      <w:r>
        <w:t xml:space="preserve">with an integrity exception; the caller must record that failure and must not relabel it as</w:t>
      </w:r>
      <w:r>
        <w:t xml:space="preserve"> </w:t>
      </w:r>
      <w:r>
        <w:t xml:space="preserve">certified FREEZE. Recovery requires a predeclared rule that restores a validated state.</w:t>
      </w:r>
      <w:r>
        <w:t xml:space="preserve"> </w:t>
      </w:r>
      <w:r>
        <w:t xml:space="preserve">The CCT-20 Mahalanobis distance is diagnostic and is not an action trigger; a declared support</w:t>
      </w:r>
      <w:r>
        <w:t xml:space="preserve"> </w:t>
      </w:r>
      <w:r>
        <w:t xml:space="preserve">test is a separate condition.</w:t>
      </w:r>
    </w:p>
    <w:p>
      <w:pPr>
        <w:pStyle w:val="TableCaption"/>
        <w:widowControl/>
      </w:pPr>
      <w:r>
        <w:t xml:space="preserve">Table 24. Non-empirical deployment checklist. Each row maps one detectable operational failure to</w:t>
      </w:r>
      <w:r>
        <w:t xml:space="preserve"> </w:t>
      </w:r>
      <w:r>
        <w:t xml:space="preserve">the conservative response required by the implementation contract; it reports no benchmark</w:t>
      </w:r>
      <w:r>
        <w:t xml:space="preserve"> </w:t>
      </w:r>
      <w:r>
        <w:t xml:space="preserve">outcome.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24. Non-empirical deployment checklist. Each row maps one detectable operational failure to the conservative response required by the implementation contract; it reports no benchmark outcome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300"/>
        <w:gridCol w:w="2802"/>
        <w:gridCol w:w="3858"/>
      </w:tblGrid>
      <w:tr>
        <w:trPr>
          <w:tblHeader w:val="true"/>
          <w:cantSplit w:val="true"/>
        </w:trPr>
        <w:tc>
          <w:tcPr>
            <w:tcW w:w="3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Failure</w:t>
            </w:r>
          </w:p>
        </w:tc>
        <w:tc>
          <w:tcPr>
            <w:tcW w:w="28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Detection</w:t>
            </w:r>
          </w:p>
        </w:tc>
        <w:tc>
          <w:tcPr>
            <w:tcW w:w="38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Response</w:t>
            </w:r>
          </w:p>
        </w:tc>
      </w:tr>
      <w:tr>
        <w:trPr>
          <w:cantSplit w:val="true"/>
        </w:trPr>
        <w:tc>
          <w:tcPr>
            <w:tcW w:w="3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Checkpoint/adapter mismatch</w:t>
            </w:r>
          </w:p>
        </w:tc>
        <w:tc>
          <w:tcPr>
            <w:tcW w:w="28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stored hash mismatch</w:t>
            </w:r>
          </w:p>
        </w:tc>
        <w:tc>
          <w:tcPr>
            <w:tcW w:w="38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rollback and recalibrate</w:t>
            </w:r>
          </w:p>
        </w:tc>
      </w:tr>
      <w:tr>
        <w:trPr>
          <w:cantSplit w:val="true"/>
        </w:trPr>
        <w:tc>
          <w:tcPr>
            <w:tcW w:w="3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Predeclared support-rule violation</w:t>
            </w:r>
          </w:p>
        </w:tc>
        <w:tc>
          <w:tcPr>
            <w:tcW w:w="28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declared support test</w:t>
            </w:r>
          </w:p>
        </w:tc>
        <w:tc>
          <w:tcPr>
            <w:tcW w:w="38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withhold commitment</w:t>
            </w:r>
          </w:p>
        </w:tc>
      </w:tr>
      <w:tr>
        <w:trPr>
          <w:cantSplit w:val="true"/>
        </w:trPr>
        <w:tc>
          <w:tcPr>
            <w:tcW w:w="3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Missing/invalid feature</w:t>
            </w:r>
          </w:p>
        </w:tc>
        <w:tc>
          <w:tcPr>
            <w:tcW w:w="28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schema and finite-value check</w:t>
            </w:r>
          </w:p>
        </w:tc>
        <w:tc>
          <w:tcPr>
            <w:tcW w:w="38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retain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/>
                <w:sz w:val="17"/>
              </w:rPr>
              <w:t>; abstain</w:t>
            </w:r>
          </w:p>
        </w:tc>
      </w:tr>
      <w:tr>
        <w:trPr>
          <w:cantSplit w:val="true"/>
        </w:trPr>
        <w:tc>
          <w:tcPr>
            <w:tcW w:w="3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Insufficient calibration size</w:t>
            </w:r>
          </w:p>
        </w:tc>
        <w:tc>
          <w:tcPr>
            <w:tcW w:w="28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rank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n</m:t>
              </m:r>
            </m:oMath>
          </w:p>
        </w:tc>
        <w:tc>
          <w:tcPr>
            <w:tcW w:w="38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infinite radius</w:t>
            </w:r>
          </w:p>
        </w:tc>
      </w:tr>
      <w:tr>
        <w:trPr>
          <w:cantSplit w:val="true"/>
        </w:trPr>
        <w:tc>
          <w:tcPr>
            <w:tcW w:w="3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Batch too small</w:t>
            </w:r>
          </w:p>
        </w:tc>
        <w:tc>
          <w:tcPr>
            <w:tcW w:w="28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minimum-size contract</w:t>
            </w:r>
          </w:p>
        </w:tc>
        <w:tc>
          <w:tcPr>
            <w:tcW w:w="38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wait or abstain</w:t>
            </w:r>
          </w:p>
        </w:tc>
      </w:tr>
      <w:tr>
        <w:trPr>
          <w:cantSplit w:val="true"/>
        </w:trPr>
        <w:tc>
          <w:tcPr>
            <w:tcW w:w="3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Residual transfer concern</w:t>
            </w:r>
          </w:p>
        </w:tc>
        <w:tc>
          <w:tcPr>
            <w:tcW w:w="28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group/residual diagnostic</w:t>
            </w:r>
          </w:p>
        </w:tc>
        <w:tc>
          <w:tcPr>
            <w:tcW w:w="38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withhold claim; recalibrate or justify transfer</w:t>
            </w:r>
          </w:p>
        </w:tc>
      </w:tr>
      <w:tr>
        <w:trPr>
          <w:cantSplit w:val="true"/>
        </w:trPr>
        <w:tc>
          <w:tcPr>
            <w:tcW w:w="3300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Continual-state drift</w:t>
            </w:r>
          </w:p>
        </w:tc>
        <w:tc>
          <w:tcPr>
            <w:tcW w:w="2802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state and stream monitor</w:t>
            </w:r>
          </w:p>
        </w:tc>
        <w:tc>
          <w:tcPr>
            <w:tcW w:w="385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restore the last validated state</w:t>
            </w:r>
          </w:p>
        </w:tc>
      </w:tr>
    </w:tbl>
    <w:p>
      <w:pPr>
        <w:pStyle w:val="BodyText"/>
        <w:widowControl/>
      </w:pPr>
      <w:r>
        <w:t xml:space="preserve">The audit log should store a timestamp, dataset or stream identifier, checkpoint and adapter hashes,</w:t>
      </w:r>
      <w:r>
        <w:t xml:space="preserve"> </w:t>
      </w:r>
      <w:r>
        <w:t xml:space="preserve">evidence schema version, evidence vector, benefit estimate, radius, interval endpoints, action,</w:t>
      </w:r>
      <w:r>
        <w:t xml:space="preserve"> </w:t>
      </w:r>
      <w:r>
        <w:t xml:space="preserve">rollback outcome, latency components, and configuration hash. Labels, if later revealed, are joined</w:t>
      </w:r>
      <w:r>
        <w:t xml:space="preserve"> </w:t>
      </w:r>
      <w:r>
        <w:t xml:space="preserve">in a separate offline audit table. This separation makes it possible to verify that the live</w:t>
      </w:r>
      <w:r>
        <w:t xml:space="preserve"> </w:t>
      </w:r>
      <w:r>
        <w:t xml:space="preserve">decision was target-label-free.</w:t>
      </w:r>
    </w:p>
    <w:bookmarkEnd w:id="120"/>
    <w:bookmarkStart w:id="125" w:name="Xf787d7f2524c6595804d2e4ae9a36e346bb1fb1"/>
    <w:p>
      <w:pPr>
        <w:pStyle w:val="Heading1"/>
        <w:widowControl/>
      </w:pPr>
      <w:r>
        <w:t xml:space="preserve">K Prospective Natural-Shift Confirmation Protocol</w:t>
      </w:r>
    </w:p>
    <w:p>
      <w:pPr>
        <w:pStyle w:val="FirstParagraph"/>
        <w:widowControl/>
      </w:pPr>
      <w:r>
        <w:t xml:space="preserve">CCT-20 completed a cell-outcome-unopened, internally sealed natural-shift evaluation but produced all-frozen fail-closed</w:t>
      </w:r>
      <w:r>
        <w:t xml:space="preserve"> </w:t>
      </w:r>
      <w:r>
        <w:t xml:space="preserve">service, not selective routing (Section G.1). So2Sat-LCZ42 then stopped at its</w:t>
      </w:r>
      <w:r>
        <w:t xml:space="preserve"> </w:t>
      </w:r>
      <w:r>
        <w:t xml:space="preserve">development-feasibility gate before gate calibration or target access</w:t>
      </w:r>
      <w:r>
        <w:t xml:space="preserve"> </w:t>
      </w:r>
      <w:r>
        <w:t xml:space="preserve">(Section B.10). Its city-level outcome summaries are now open, and its</w:t>
      </w:r>
      <w:r>
        <w:t xml:space="preserve"> </w:t>
      </w:r>
      <w:r>
        <w:t xml:space="preserve">declared city-level target action conflicts with the runner’s checkpoint–city action unit. A new</w:t>
      </w:r>
      <w:r>
        <w:t xml:space="preserve"> </w:t>
      </w:r>
      <w:r>
        <w:t xml:space="preserve">confirmation must therefore be versioned independently, exclude those opened outcomes from tuning,</w:t>
      </w:r>
      <w:r>
        <w:t xml:space="preserve"> </w:t>
      </w:r>
      <w:r>
        <w:t xml:space="preserve">and resolve the action unit before target execution. The design below is future evidence, not a</w:t>
      </w:r>
      <w:r>
        <w:t xml:space="preserve"> </w:t>
      </w:r>
      <w:r>
        <w:t xml:space="preserve">reinterpretation of either completed record. The painting-development evaluations and their</w:t>
      </w:r>
      <w:r>
        <w:t xml:space="preserve"> </w:t>
      </w:r>
      <w:r>
        <w:t xml:space="preserve">queue and BN follow-ups are also already opened and excluded from confirmation.</w:t>
      </w:r>
    </w:p>
    <w:bookmarkStart w:id="121" w:name="k.1-lock-before-target-labels"/>
    <w:p>
      <w:pPr>
        <w:pStyle w:val="Heading2"/>
        <w:widowControl/>
      </w:pPr>
      <w:r>
        <w:t xml:space="preserve">K.1 Lock Before Target Labels</w:t>
      </w:r>
    </w:p>
    <w:p>
      <w:pPr>
        <w:pStyle w:val="FirstParagraph"/>
        <w:widowControl/>
      </w:pPr>
      <w:r>
        <w:t xml:space="preserve">The protocol should name a fixed, predeclared set of independently trained source checkpoints,</w:t>
      </w:r>
      <w:r>
        <w:t xml:space="preserve"> </w:t>
      </w:r>
      <w:r>
        <w:t xml:space="preserve">one candidate adapter, one evidence schema, one</w:t>
      </w:r>
      <w:r>
        <w:t xml:space="preserve"> </w:t>
      </w:r>
      <w:r>
        <w:t xml:space="preserve">benefit-model class, one calibration rule, one</w:t>
      </w:r>
      <w:r>
        <w:t xml:space="preserve"> </w:t>
      </w:r>
      <m:oMath>
        <m:r>
          <m:t>α</m:t>
        </m:r>
      </m:oMath>
      <w:r>
        <w:t xml:space="preserve">, and one target-domain family. Adapter</w:t>
      </w:r>
      <w:r>
        <w:t xml:space="preserve"> </w:t>
      </w:r>
      <w:r>
        <w:t xml:space="preserve">hyperparameters must be selected on development domains and then frozen. The lock should hash the</w:t>
      </w:r>
      <w:r>
        <w:t xml:space="preserve"> </w:t>
      </w:r>
      <w:r>
        <w:t xml:space="preserve">checkpoints, code revision, configuration, calibration records, and planned scoring script. It must</w:t>
      </w:r>
      <w:r>
        <w:t xml:space="preserve"> </w:t>
      </w:r>
      <w:r>
        <w:t xml:space="preserve">also name the action and aggregation units, the test unit, and the multiplicity family. A later change creates a new protocol version;</w:t>
      </w:r>
      <w:r>
        <w:t xml:space="preserve"> </w:t>
      </w:r>
      <w:r>
        <w:t xml:space="preserve">it does not overwrite an earlier development-stopped or incomplete arm.</w:t>
      </w:r>
    </w:p>
    <w:p>
      <w:pPr>
        <w:pStyle w:val="BodyText"/>
        <w:widowControl/>
      </w:pPr>
      <w:r>
        <w:t xml:space="preserve">Natural heterogeneity should be built through independently defined environments rather than by</w:t>
      </w:r>
      <w:r>
        <w:t xml:space="preserve"> </w:t>
      </w:r>
      <w:r>
        <w:t xml:space="preserve">pooling whichever benchmark conditions produce opposite signs. Examples include hospitals, camera</w:t>
      </w:r>
      <w:r>
        <w:t xml:space="preserve"> </w:t>
      </w:r>
      <w:r>
        <w:t xml:space="preserve">locations, laboratory batches, acquisition days, physical devices, or visual domains. Environment</w:t>
      </w:r>
      <w:r>
        <w:t xml:space="preserve"> </w:t>
      </w:r>
      <w:r>
        <w:t xml:space="preserve">membership may be observed at deployment, but the measured cell-benefit label remains hidden. The target</w:t>
      </w:r>
      <w:r>
        <w:t xml:space="preserve"> </w:t>
      </w:r>
      <w:r>
        <w:t xml:space="preserve">test environments should be absent from estimator fitting, residual calibration, threshold tuning,</w:t>
      </w:r>
      <w:r>
        <w:t xml:space="preserve"> </w:t>
      </w:r>
      <w:r>
        <w:t xml:space="preserve">and candidate selection.</w:t>
      </w:r>
    </w:p>
    <w:bookmarkEnd w:id="121"/>
    <w:bookmarkStart w:id="122" w:name="k.2-three-way-data-separation"/>
    <w:p>
      <w:pPr>
        <w:pStyle w:val="Heading2"/>
        <w:widowControl/>
      </w:pPr>
      <w:r>
        <w:t xml:space="preserve">K.2 Three-Way Data Separation</w:t>
      </w:r>
    </w:p>
    <w:p>
      <w:pPr>
        <w:pStyle w:val="FirstParagraph"/>
        <w:widowControl/>
      </w:pPr>
      <w:r>
        <w:t xml:space="preserve">Development data fit</w:t>
      </w:r>
      <w:r>
        <w:t xml:space="preserve"> </w:t>
      </w:r>
      <m:oMath>
        <m:sSub>
          <m:e>
            <m:r>
              <m:t>h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and select the evidence pipeline. A separate calibration set</w:t>
      </w:r>
      <w:r>
        <w:t xml:space="preserve"> </w:t>
      </w:r>
      <w:r>
        <w:t xml:space="preserve">produces residuals for Eq. (14).</w:t>
      </w:r>
      <w:r>
        <w:t xml:space="preserve"> </w:t>
      </w:r>
      <w:r>
        <w:t xml:space="preserve">The held-out target set is opened exactly once</w:t>
      </w:r>
      <w:r>
        <w:t xml:space="preserve"> </w:t>
      </w:r>
      <w:r>
        <w:t xml:space="preserve">after all software and configuration hashes match the lock. Splitting adjacent frames, patches, or</w:t>
      </w:r>
      <w:r>
        <w:t xml:space="preserve"> </w:t>
      </w:r>
      <w:r>
        <w:t xml:space="preserve">samples from the same session across these stages is leakage even when filenames differ. The split</w:t>
      </w:r>
      <w:r>
        <w:t xml:space="preserve"> </w:t>
      </w:r>
      <w:r>
        <w:t xml:space="preserve">must occur at the environment or session level that defines deployment exchangeability.</w:t>
      </w:r>
    </w:p>
    <w:p>
      <w:pPr>
        <w:pStyle w:val="BodyText"/>
        <w:widowControl/>
      </w:pPr>
      <w:r>
        <w:t xml:space="preserve">The target stream is replayed identically for always-freeze, always-adapt, simple gates, KGA without</w:t>
      </w:r>
      <w:r>
        <w:t xml:space="preserve"> </w:t>
      </w:r>
      <w:r>
        <w:t xml:space="preserve">a radius, and the full empirical benefit-interval gate. Model randomness should either be frozen for paired replay or</w:t>
      </w:r>
      <w:r>
        <w:t xml:space="preserve"> </w:t>
      </w:r>
      <w:r>
        <w:t xml:space="preserve">repeated through independently trained checkpoints declared in advance. Every policy receives the</w:t>
      </w:r>
      <w:r>
        <w:t xml:space="preserve"> </w:t>
      </w:r>
      <w:r>
        <w:t xml:space="preserve">same ordered windows. Labels are stored behind a separate audit interface and are unavailable to</w:t>
      </w:r>
      <w:r>
        <w:t xml:space="preserve"> </w:t>
      </w:r>
      <w:r>
        <w:t xml:space="preserve">the live decision process.</w:t>
      </w:r>
    </w:p>
    <w:bookmarkEnd w:id="122"/>
    <w:bookmarkStart w:id="123" w:name="k.3-endpoints-and-decision-rule"/>
    <w:p>
      <w:pPr>
        <w:pStyle w:val="Heading2"/>
        <w:widowControl/>
      </w:pPr>
      <w:r>
        <w:t xml:space="preserve">K.3 Endpoints and Decision Rule</w:t>
      </w:r>
    </w:p>
    <w:p>
      <w:pPr>
        <w:pStyle w:val="FirstParagraph"/>
        <w:widowControl/>
      </w:pPr>
      <w:r>
        <w:t xml:space="preserve">The primary endpoint is paired regret against each fixed policy. Success requires both baseline</w:t>
      </w:r>
      <w:r>
        <w:t xml:space="preserve"> </w:t>
      </w:r>
      <w:r>
        <w:t xml:space="preserve">minus KGA regret gaps to be positive and both predeclared intervals to exclude zero, with coverage</w:t>
      </w:r>
      <w:r>
        <w:t xml:space="preserve"> </w:t>
      </w:r>
      <w:r>
        <w:t xml:space="preserve">justified for the declared estimand and sampling model. If the intended claim concerns population</w:t>
      </w:r>
      <w:r>
        <w:t xml:space="preserve"> </w:t>
      </w:r>
      <w:r>
        <w:t xml:space="preserve">risk rather than measured cells, the protocol must also justify that transfer. The false-adapt</w:t>
      </w:r>
      <w:r>
        <w:t xml:space="preserve"> </w:t>
      </w:r>
      <w:r>
        <w:t xml:space="preserve">endpoint is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</m:oMath>
      <w:r>
        <w:t xml:space="preserve"> </w:t>
      </w:r>
      <w:r>
        <w:t xml:space="preserve">with the adapt count</w:t>
      </w:r>
      <w:r>
        <w:t xml:space="preserve"> </w:t>
      </w:r>
      <w:r>
        <w:t xml:space="preserve">reported beside it. Secondary endpoints are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c</m:t>
            </m:r>
          </m:sub>
        </m:sSub>
      </m:oMath>
      <w:r>
        <w:t xml:space="preserve">, adapt rate, freeze rate,</w:t>
      </w:r>
      <w:r>
        <w:t xml:space="preserve"> </w:t>
      </w:r>
      <w:r>
        <w:t xml:space="preserve">abstain rate, commitment rate, task accuracy, and latency. Conditional false-adapt is descriptive</w:t>
      </w:r>
      <w:r>
        <w:t xml:space="preserve"> </w:t>
      </w:r>
      <w:r>
        <w:t xml:space="preserve">unless a separate selective-risk result is proved.</w:t>
      </w:r>
    </w:p>
    <w:p>
      <w:pPr>
        <w:pStyle w:val="BodyText"/>
        <w:widowControl/>
      </w:pPr>
      <w:r>
        <w:t xml:space="preserve">The primary benefit-interval rule remains unchanged: adapt if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−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freeze if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Δ</m:t>
            </m:r>
          </m:e>
        </m:acc>
        <m:r>
          <m:rPr>
            <m:sty m:val="p"/>
          </m:rPr>
          <m:t>+</m:t>
        </m:r>
        <m:r>
          <m:t>ε</m:t>
        </m:r>
        <m:r>
          <m:rPr>
            <m:sty m:val="p"/>
          </m:rPr>
          <m:t>&lt;</m:t>
        </m:r>
        <m:r>
          <m:t>0</m:t>
        </m:r>
      </m:oMath>
      <w:r>
        <w:t xml:space="preserve">, and abstain otherwise. The experiment must not lower</w:t>
      </w:r>
      <w:r>
        <w:t xml:space="preserve"> </w:t>
      </w:r>
      <m:oMath>
        <m:r>
          <m:t>ε</m:t>
        </m:r>
      </m:oMath>
      <w:r>
        <w:t xml:space="preserve">, change</w:t>
      </w:r>
      <w:r>
        <w:t xml:space="preserve"> </w:t>
      </w:r>
      <m:oMath>
        <m:r>
          <m:t>α</m:t>
        </m:r>
      </m:oMath>
      <w:r>
        <w:t xml:space="preserve">, or select a different benefit regressor after observing target</w:t>
      </w:r>
      <w:r>
        <w:t xml:space="preserve"> </w:t>
      </w:r>
      <w:r>
        <w:t xml:space="preserve">labels. Exploratory sensitivity analyses may be reported, but they remain outside the primary bar.</w:t>
      </w:r>
    </w:p>
    <w:p>
      <w:pPr>
        <w:pStyle w:val="TableCaption"/>
        <w:widowControl/>
      </w:pPr>
      <w:r>
        <w:t xml:space="preserve">Table 25. Protocol requirements for a future confirmatory natural-shift KGA experiment. Each row</w:t>
      </w:r>
      <w:r>
        <w:t xml:space="preserve"> </w:t>
      </w:r>
      <w:r>
        <w:t xml:space="preserve">states what must be frozen before target labels are revealed and the corresponding audit record;</w:t>
      </w:r>
      <w:r>
        <w:t xml:space="preserve"> </w:t>
      </w:r>
      <w:r>
        <w:t xml:space="preserve">the table is a design specification, not a completed-study result.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25. Protocol requirements for a future confirmatory natural-shift KGA experiment. Each row states what must be frozen before target labels are revealed and the corresponding audit record; the table is a design specification, not a completed-study result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583"/>
        <w:gridCol w:w="4189"/>
        <w:gridCol w:w="4188"/>
      </w:tblGrid>
      <w:tr>
        <w:trPr>
          <w:tblHeader w:val="true"/>
          <w:cantSplit w:val="true"/>
        </w:trPr>
        <w:tc>
          <w:tcPr>
            <w:tcW w:w="15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Component</w:t>
            </w:r>
          </w:p>
        </w:tc>
        <w:tc>
          <w:tcPr>
            <w:tcW w:w="418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Must be fixed</w:t>
            </w:r>
          </w:p>
        </w:tc>
        <w:tc>
          <w:tcPr>
            <w:tcW w:w="41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Audit evidence</w:t>
            </w:r>
          </w:p>
        </w:tc>
      </w:tr>
      <w:tr>
        <w:trPr>
          <w:cantSplit w:val="true"/>
        </w:trPr>
        <w:tc>
          <w:tcPr>
            <w:tcW w:w="15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Model and candidate</w:t>
            </w:r>
          </w:p>
        </w:tc>
        <w:tc>
          <w:tcPr>
            <w:tcW w:w="418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checkpoint, adapter, optimizer, steps, adapted parameters</w:t>
            </w:r>
          </w:p>
        </w:tc>
        <w:tc>
          <w:tcPr>
            <w:tcW w:w="41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hashes and immutable configuration</w:t>
            </w:r>
          </w:p>
        </w:tc>
      </w:tr>
      <w:tr>
        <w:trPr>
          <w:cantSplit w:val="true"/>
        </w:trPr>
        <w:tc>
          <w:tcPr>
            <w:tcW w:w="15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Evidence and estimator</w:t>
            </w:r>
          </w:p>
        </w:tc>
        <w:tc>
          <w:tcPr>
            <w:tcW w:w="418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schema, normalization, model class, hyperparameters, seed</w:t>
            </w:r>
          </w:p>
        </w:tc>
        <w:tc>
          <w:tcPr>
            <w:tcW w:w="41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feature contract and fitted-artifact hash</w:t>
            </w:r>
          </w:p>
        </w:tc>
      </w:tr>
      <w:tr>
        <w:trPr>
          <w:cantSplit w:val="true"/>
        </w:trPr>
        <w:tc>
          <w:tcPr>
            <w:tcW w:w="15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Calibration</w:t>
            </w:r>
          </w:p>
        </w:tc>
        <w:tc>
          <w:tcPr>
            <w:tcW w:w="418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split unit, residual construction, exact rank,</w:t>
            </w:r>
            <w:r>
              <w:rPr>
                <w:rFonts w:ascii="Times New Roman" w:hAnsi="Times New Roman"/>
                <w:sz w:val="17"/>
              </w:rPr>
              <w:t xml:space="preserve"> </w:t>
            </w:r>
            <m:oMath>
              <m:r>
                <m:t>α</m:t>
              </m:r>
            </m:oMath>
          </w:p>
        </w:tc>
        <w:tc>
          <w:tcPr>
            <w:tcW w:w="41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calibration IDs, residuals, radius, no target overlap</w:t>
            </w:r>
          </w:p>
        </w:tc>
      </w:tr>
      <w:tr>
        <w:trPr>
          <w:cantSplit w:val="true"/>
        </w:trPr>
        <w:tc>
          <w:tcPr>
            <w:tcW w:w="15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Target evaluation</w:t>
            </w:r>
          </w:p>
        </w:tc>
        <w:tc>
          <w:tcPr>
            <w:tcW w:w="418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environments, windowing, order, exclusion rules, transductive/inductive candidate semantics</w:t>
            </w:r>
          </w:p>
        </w:tc>
        <w:tc>
          <w:tcPr>
            <w:tcW w:w="41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sealed manifest and one-time scoring log</w:t>
            </w:r>
          </w:p>
        </w:tc>
      </w:tr>
      <w:tr>
        <w:trPr>
          <w:cantSplit w:val="true"/>
        </w:trPr>
        <w:tc>
          <w:tcPr>
            <w:tcW w:w="15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Primary inference</w:t>
            </w:r>
          </w:p>
        </w:tc>
        <w:tc>
          <w:tcPr>
            <w:tcW w:w="418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two paired regret gaps, cluster unit, interval method</w:t>
            </w:r>
          </w:p>
        </w:tc>
        <w:tc>
          <w:tcPr>
            <w:tcW w:w="41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code and random seed fixed before label reveal</w:t>
            </w:r>
          </w:p>
        </w:tc>
      </w:tr>
      <w:tr>
        <w:trPr>
          <w:cantSplit w:val="true"/>
        </w:trPr>
        <w:tc>
          <w:tcPr>
            <w:tcW w:w="15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Safety</w:t>
            </w:r>
          </w:p>
        </w:tc>
        <w:tc>
          <w:tcPr>
            <w:tcW w:w="418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sSub>
                <m:e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u</m:t>
                  </m:r>
                </m:sub>
              </m:sSub>
            </m:oMath>
            <w:r>
              <w:rPr>
                <w:rFonts w:ascii="Times New Roman" w:hAnsi="Times New Roman"/>
                <w:sz w:val="17"/>
              </w:rPr>
              <w:t xml:space="preserve"> </w:t>
            </w:r>
            <w:r>
              <w:rPr>
                <w:rFonts w:ascii="Times New Roman" w:hAnsi="Times New Roman"/>
                <w:sz w:val="17"/>
              </w:rPr>
              <w:t>and adapt exposure</w:t>
            </w:r>
          </w:p>
        </w:tc>
        <w:tc>
          <w:tcPr>
            <w:tcW w:w="41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action log joined to labels only offline</w:t>
            </w:r>
          </w:p>
        </w:tc>
      </w:tr>
      <w:tr>
        <w:trPr>
          <w:cantSplit w:val="true"/>
        </w:trPr>
        <w:tc>
          <w:tcPr>
            <w:tcW w:w="15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Multiplicity</w:t>
            </w:r>
          </w:p>
        </w:tc>
        <w:tc>
          <w:tcPr>
            <w:tcW w:w="418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all candidate–track arms in family</w:t>
            </w:r>
          </w:p>
        </w:tc>
        <w:tc>
          <w:tcPr>
            <w:tcW w:w="41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time-stamped inventory including failures</w:t>
            </w:r>
          </w:p>
        </w:tc>
      </w:tr>
      <w:tr>
        <w:trPr>
          <w:cantSplit w:val="true"/>
        </w:trPr>
        <w:tc>
          <w:tcPr>
            <w:tcW w:w="1583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Runtime</w:t>
            </w:r>
          </w:p>
        </w:tc>
        <w:tc>
          <w:tcPr>
            <w:tcW w:w="418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end-to-end components and peak memory</w:t>
            </w:r>
          </w:p>
        </w:tc>
        <w:tc>
          <w:tcPr>
            <w:tcW w:w="418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raw timing rows on the target hardware</w:t>
            </w:r>
          </w:p>
        </w:tc>
      </w:tr>
    </w:tbl>
    <w:bookmarkEnd w:id="123"/>
    <w:bookmarkStart w:id="124" w:name="k.4-interpreting-outcomes"/>
    <w:p>
      <w:pPr>
        <w:pStyle w:val="Heading2"/>
        <w:widowControl/>
      </w:pPr>
      <w:r>
        <w:t xml:space="preserve">K.4 Interpreting Outcomes</w:t>
      </w:r>
    </w:p>
    <w:p>
      <w:pPr>
        <w:pStyle w:val="FirstParagraph"/>
        <w:widowControl/>
      </w:pPr>
      <w:r>
        <w:t xml:space="preserve">Four outcomes are scientifically useful. An interval-supported reduction in regret relative to each</w:t>
      </w:r>
      <w:r>
        <w:t xml:space="preserve"> </w:t>
      </w:r>
      <w:r>
        <w:t xml:space="preserve">fixed comparator, with nontrivial ADAPT and FREEZE exposure, supports routing utility under the</w:t>
      </w:r>
      <w:r>
        <w:t xml:space="preserve"> </w:t>
      </w:r>
      <w:r>
        <w:t xml:space="preserve">locked natural-shift class. Matching the better fixed policy with few errors supports conservative</w:t>
      </w:r>
      <w:r>
        <w:t xml:space="preserve"> </w:t>
      </w:r>
      <w:r>
        <w:t xml:space="preserve">commitment but not selective routing. High abstention with low error indicates a conservative</w:t>
      </w:r>
      <w:r>
        <w:t xml:space="preserve"> </w:t>
      </w:r>
      <w:r>
        <w:t xml:space="preserve">interval gate and motivates better evidence or more calibration data. A comparator shortfall fails</w:t>
      </w:r>
      <w:r>
        <w:t xml:space="preserve"> </w:t>
      </w:r>
      <w:r>
        <w:t xml:space="preserve">the predeclared routing-utility criterion; excess false adaptation challenges the corresponding</w:t>
      </w:r>
      <w:r>
        <w:t xml:space="preserve"> </w:t>
      </w:r>
      <w:r>
        <w:t xml:space="preserve">safety or calibration criterion. Both outcomes must remain in the result family. None of these</w:t>
      </w:r>
      <w:r>
        <w:t xml:space="preserve"> </w:t>
      </w:r>
      <w:r>
        <w:t xml:space="preserve">outcomes alone establishes the</w:t>
      </w:r>
      <w:r>
        <w:t xml:space="preserve"> </w:t>
      </w:r>
      <w:r>
        <w:t xml:space="preserve">population band: that conclusion still requires the declared class and its structural assumptions.</w:t>
      </w:r>
    </w:p>
    <w:bookmarkEnd w:id="124"/>
    <w:bookmarkEnd w:id="125"/>
    <w:bookmarkStart w:id="134" w:name="X6d7c097d5a9d7e7f4430660d8a79e70bafb4864"/>
    <w:p>
      <w:pPr>
        <w:pStyle w:val="Heading1"/>
        <w:widowControl/>
      </w:pPr>
      <w:r>
        <w:t xml:space="preserve">L Theorem Dependencies, Counterexamples, and Nonclaims</w:t>
      </w:r>
    </w:p>
    <w:p>
      <w:pPr>
        <w:pStyle w:val="FirstParagraph"/>
        <w:widowControl/>
      </w:pPr>
      <w:r>
        <w:t xml:space="preserve">The compact paper uses three related logical statements. First, the disagreement reduction is an</w:t>
      </w:r>
      <w:r>
        <w:t xml:space="preserve"> </w:t>
      </w:r>
      <w:r>
        <w:t xml:space="preserve">identity under the binary setup. Second, the population frontier is a uniform statement over a rich,</w:t>
      </w:r>
      <w:r>
        <w:t xml:space="preserve"> </w:t>
      </w:r>
      <w:r>
        <w:t xml:space="preserve">declared class. Third, the empirical coverage-to-action implication is marginal and conditional on</w:t>
      </w:r>
      <w:r>
        <w:t xml:space="preserve"> </w:t>
      </w:r>
      <w:r>
        <w:t xml:space="preserve">interval coverage.</w:t>
      </w:r>
      <w:r>
        <w:t xml:space="preserve"> </w:t>
      </w:r>
      <w:r>
        <w:t xml:space="preserve">The population statements concern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; the reported empirical calibration concerns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. Connecting these targets requires an additional validity argument.</w:t>
      </w:r>
      <w:r>
        <w:t xml:space="preserve"> </w:t>
      </w:r>
      <w:r>
        <w:t xml:space="preserve">Neither the assumptions nor the quantifiers are interchangeable.</w:t>
      </w:r>
    </w:p>
    <w:bookmarkStart w:id="126" w:name="Xd3f1723339ff565304dcf47f62eecc210dab7d5"/>
    <w:p>
      <w:pPr>
        <w:pStyle w:val="Heading2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Why the multiclass interface does not extend the binary theorem.</w:t>
      </w:r>
    </w:p>
    <w:p>
      <w:pPr>
        <w:pStyle w:val="FirstParagraph"/>
        <w:widowControl/>
      </w:pPr>
      <w:r>
        <w:t xml:space="preserve">Under multiclass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t xml:space="preserve">loss,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</m:oMath>
      <w:r>
        <w:t xml:space="preserve">. Only the binary setting forces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a</m:t>
            </m:r>
          </m:sub>
        </m:sSub>
      </m:oMath>
      <w:r>
        <w:t xml:space="preserve">. KGA may predict a multiclass scalar score difference, but that interface does not</w:t>
      </w:r>
      <w:r>
        <w:t xml:space="preserve"> </w:t>
      </w:r>
      <w:r>
        <w:t xml:space="preserve">inherit the binary population identity.</w:t>
      </w:r>
    </w:p>
    <w:p>
      <w:pPr>
        <w:pStyle w:val="TableCaption"/>
        <w:widowControl/>
      </w:pPr>
      <w:r>
        <w:t xml:space="preserve">Table 26. Logical dependency map for the paper’s formal and empirical statements. Each row lists a</w:t>
      </w:r>
      <w:r>
        <w:t xml:space="preserve"> </w:t>
      </w:r>
      <w:r>
        <w:t xml:space="preserve">statement’s inputs, conclusion, and excluded inference; it reports no additional empirical result,</w:t>
      </w:r>
      <w:r>
        <w:t xml:space="preserve"> </w:t>
      </w:r>
      <w:r>
        <w:t xml:space="preserve">and a check in one row does not validate premises in another row.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26. Logical dependency map for the paper’s formal and empirical statements. Each row lists a statement’s inputs, conclusion, and excluded inference; it reports no additional empirical result, and a check in one row does not validate premises in another row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538"/>
        <w:gridCol w:w="2606"/>
        <w:gridCol w:w="2817"/>
        <w:gridCol w:w="2999"/>
      </w:tblGrid>
      <w:tr>
        <w:trPr>
          <w:tblHeader w:val="true"/>
          <w:cantSplit w:val="true"/>
        </w:trPr>
        <w:tc>
          <w:tcPr>
            <w:tcW w:w="15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Statement</w:t>
            </w:r>
          </w:p>
        </w:tc>
        <w:tc>
          <w:tcPr>
            <w:tcW w:w="260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Inputs</w:t>
            </w:r>
          </w:p>
        </w:tc>
        <w:tc>
          <w:tcPr>
            <w:tcW w:w="281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Conclusion</w:t>
            </w:r>
          </w:p>
        </w:tc>
        <w:tc>
          <w:tcPr>
            <w:tcW w:w="2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6"/>
              </w:rPr>
              <w:t>Not concluded</w:t>
            </w:r>
          </w:p>
        </w:tc>
      </w:tr>
      <w:tr>
        <w:trPr>
          <w:cantSplit w:val="true"/>
        </w:trPr>
        <w:tc>
          <w:tcPr>
            <w:tcW w:w="15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Disagreement reduction</w:t>
            </w:r>
          </w:p>
        </w:tc>
        <w:tc>
          <w:tcPr>
            <w:tcW w:w="260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binary labels,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/</m:t>
              </m:r>
              <m:r>
                <m:t>1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loss,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>
            <w:tcW w:w="281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w="2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calibration transfer or observability of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γ</m:t>
              </m:r>
            </m:oMath>
          </w:p>
        </w:tc>
      </w:tr>
      <w:tr>
        <w:trPr>
          <w:cantSplit w:val="true"/>
        </w:trPr>
        <w:tc>
          <w:tcPr>
            <w:tcW w:w="15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Interior impossibility</w:t>
            </w:r>
          </w:p>
        </w:tc>
        <w:tc>
          <w:tcPr>
            <w:tcW w:w="260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label-free fibre,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Fonts w:ascii="Times New Roman" w:hAnsi="Times New Roman"/>
                <w:sz w:val="16"/>
              </w:rPr>
              <w:t>,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&lt;</m:t>
              </m:r>
              <m:r>
                <m:t>β</m:t>
              </m:r>
            </m:oMath>
            <w:r>
              <w:rPr>
                <w:rFonts w:ascii="Times New Roman" w:hAnsi="Times New Roman"/>
                <w:sz w:val="16"/>
              </w:rPr>
              <w:t>, class richness</w:t>
            </w:r>
          </w:p>
        </w:tc>
        <w:tc>
          <w:tcPr>
            <w:tcW w:w="281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evidence-identical laws with opposite nonzero benefits</w:t>
            </w:r>
          </w:p>
        </w:tc>
        <w:tc>
          <w:tcPr>
            <w:tcW w:w="2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every empirical abstention is structural</w:t>
            </w:r>
          </w:p>
        </w:tc>
      </w:tr>
      <w:tr>
        <w:trPr>
          <w:cantSplit w:val="true"/>
        </w:trPr>
        <w:tc>
          <w:tcPr>
            <w:tcW w:w="15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Closed-band result</w:t>
            </w:r>
          </w:p>
        </w:tc>
        <w:tc>
          <w:tcPr>
            <w:tcW w:w="260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strict directional semantics and boundary law</w:t>
            </w:r>
          </w:p>
        </w:tc>
        <w:tc>
          <w:tcPr>
            <w:tcW w:w="281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no uniformly sound strict action on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β</m:t>
              </m:r>
            </m:oMath>
          </w:p>
        </w:tc>
        <w:tc>
          <w:tcPr>
            <w:tcW w:w="2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adapt/freeze have different task risk at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rPr>
          <w:cantSplit w:val="true"/>
        </w:trPr>
        <w:tc>
          <w:tcPr>
            <w:tcW w:w="15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Frontier sufficiency</w:t>
            </w:r>
          </w:p>
        </w:tc>
        <w:tc>
          <w:tcPr>
            <w:tcW w:w="260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declared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γ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t>β</m:t>
              </m:r>
            </m:oMath>
            <w:r>
              <w:rPr>
                <w:rFonts w:ascii="Times New Roman" w:hAnsi="Times New Roman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</w:rPr>
              <w:t>and fixed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M</m:t>
              </m:r>
            </m:oMath>
          </w:p>
        </w:tc>
        <w:tc>
          <w:tcPr>
            <w:tcW w:w="281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direction is fixed when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M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β</m:t>
              </m:r>
            </m:oMath>
          </w:p>
        </w:tc>
        <w:tc>
          <w:tcPr>
            <w:tcW w:w="2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label-free estimation of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β</m:t>
              </m:r>
            </m:oMath>
          </w:p>
        </w:tc>
      </w:tr>
      <w:tr>
        <w:trPr>
          <w:cantSplit w:val="true"/>
        </w:trPr>
        <w:tc>
          <w:tcPr>
            <w:tcW w:w="15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Coverage-to-action proposition</w:t>
            </w:r>
          </w:p>
        </w:tc>
        <w:tc>
          <w:tcPr>
            <w:tcW w:w="260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marginal interval coverage for a declared target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B</m:t>
              </m:r>
            </m:oMath>
          </w:p>
        </w:tc>
        <w:tc>
          <w:tcPr>
            <w:tcW w:w="281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marginal false-adapt/freeze control for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r>
                <m:t>B</m:t>
              </m:r>
            </m:oMath>
          </w:p>
        </w:tc>
        <w:tc>
          <w:tcPr>
            <w:tcW w:w="2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conditional error control or risk alignment</w:t>
            </w:r>
          </w:p>
        </w:tc>
      </w:tr>
      <w:tr>
        <w:trPr>
          <w:cantSplit w:val="true"/>
        </w:trPr>
        <w:tc>
          <w:tcPr>
            <w:tcW w:w="15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KGA benchmark</w:t>
            </w:r>
          </w:p>
        </w:tc>
        <w:tc>
          <w:tcPr>
            <w:tcW w:w="260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fitted</w:t>
            </w:r>
            <w:r>
              <w:rPr>
                <w:rFonts w:ascii="Times New Roman" w:hAnsi="Times New Roman"/>
                <w:sz w:val="16"/>
              </w:rP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θ</m:t>
                  </m:r>
                </m:sub>
              </m:sSub>
            </m:oMath>
            <w:r>
              <w:rPr>
                <w:rFonts w:ascii="Times New Roman" w:hAnsi="Times New Roman"/>
                <w:sz w:val="16"/>
              </w:rPr>
              <w:t>, declared residual rule, frozen protocol</w:t>
            </w:r>
          </w:p>
        </w:tc>
        <w:tc>
          <w:tcPr>
            <w:tcW w:w="281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measured regret and actions on saved units</w:t>
            </w:r>
          </w:p>
        </w:tc>
        <w:tc>
          <w:tcPr>
            <w:tcW w:w="2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population-benefit coverage or universal transfer to a new domain</w:t>
            </w:r>
          </w:p>
        </w:tc>
      </w:tr>
      <w:tr>
        <w:trPr>
          <w:cantSplit w:val="true"/>
        </w:trPr>
        <w:tc>
          <w:tcPr>
            <w:tcW w:w="153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Lean build</w:t>
            </w:r>
          </w:p>
        </w:tc>
        <w:tc>
          <w:tcPr>
            <w:tcW w:w="2606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encoded definitions and assumptions</w:t>
            </w:r>
          </w:p>
        </w:tc>
        <w:tc>
          <w:tcPr>
            <w:tcW w:w="2817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kernel-checked formal statements</w:t>
            </w:r>
          </w:p>
        </w:tc>
        <w:tc>
          <w:tcPr>
            <w:tcW w:w="2999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6"/>
              </w:rPr>
              <w:t>correctness of unencoded data and deployment assumptions</w:t>
            </w:r>
          </w:p>
        </w:tc>
      </w:tr>
    </w:tbl>
    <w:bookmarkEnd w:id="126"/>
    <w:bookmarkStart w:id="127" w:name="why-the-boundary-is-separate."/>
    <w:p>
      <w:pPr>
        <w:pStyle w:val="Heading2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Why the boundary is separate.</w:t>
      </w:r>
    </w:p>
    <w:p>
      <w:pPr>
        <w:pStyle w:val="FirstParagraph"/>
        <w:widowControl/>
      </w:pPr>
      <w:r>
        <w:t xml:space="preserve">For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β</m:t>
        </m:r>
      </m:oMath>
      <w:r>
        <w:t xml:space="preserve">, the construction chooses two latent residuals that yield opposite nonzero benefits.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|</m:t>
        </m:r>
        <m:r>
          <m:t>M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&gt;</m:t>
        </m:r>
        <m:r>
          <m:t>0</m:t>
        </m:r>
      </m:oMath>
      <w:r>
        <w:t xml:space="preserve">, one admissible residual can make the benefit zero while another retains the sign of</w:t>
      </w:r>
      <w:r>
        <w:t xml:space="preserve"> </w:t>
      </w:r>
      <m:oMath>
        <m:r>
          <m:t>M</m:t>
        </m:r>
      </m:oMath>
      <w:r>
        <w:t xml:space="preserve">; opposite nonzero signs need not exist. Both cases block a uniform strict commitment, but for</w:t>
      </w:r>
      <w:r>
        <w:t xml:space="preserve"> </w:t>
      </w:r>
      <w:r>
        <w:t xml:space="preserve">different reasons. At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, every law in the zero-residual class has zero benefit under the</w:t>
      </w:r>
      <w:r>
        <w:t xml:space="preserve"> </w:t>
      </w:r>
      <w:r>
        <w:t xml:space="preserve">model. Abstention remains the maximal action only under the paper’s strict-direction convention,</w:t>
      </w:r>
      <w:r>
        <w:t xml:space="preserve"> </w:t>
      </w:r>
      <w:r>
        <w:t xml:space="preserve">not because either task-risk choice is worse.</w:t>
      </w:r>
    </w:p>
    <w:bookmarkEnd w:id="127"/>
    <w:bookmarkStart w:id="128" w:name="X0dd29e8ea9ceecd4c73042420c1faaedf9e7d3d"/>
    <w:p>
      <w:pPr>
        <w:pStyle w:val="Heading2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Why a calibration residual need not be drift.</w:t>
      </w:r>
    </w:p>
    <w:p>
      <w:pPr>
        <w:pStyle w:val="FirstParagraph"/>
        <w:widowControl/>
      </w:pP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S</m:t>
            </m:r>
          </m:sub>
        </m:sSub>
      </m:oMath>
      <w:r>
        <w:t xml:space="preserve">, with equiprobable inputs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 deterministic labels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candidate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. Set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s</m:t>
        </m:r>
        <m:r>
          <m:rPr>
            <m:sty m:val="p"/>
          </m:rPr>
          <m:t>≡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candidate is correct on half the source inputs, so this constant score is source-calibrated</w:t>
      </w:r>
      <w:r>
        <w:t xml:space="preserve"> </w:t>
      </w:r>
      <w:r>
        <w:t xml:space="preserve">in the ordinary sense. Yet disagreement occurs only at</w:t>
      </w:r>
      <w:r>
        <w:t xml:space="preserve"> </w:t>
      </w:r>
      <m:oMath>
        <m:r>
          <m:t>a</m:t>
        </m:r>
      </m:oMath>
      <w:r>
        <w:t xml:space="preserve">, where the candidate is always</w:t>
      </w:r>
      <w:r>
        <w:t xml:space="preserve"> </w:t>
      </w:r>
      <w:r>
        <w:t xml:space="preserve">correct. Thus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although the source and target</w:t>
      </w:r>
      <w:r>
        <w:t xml:space="preserve"> </w:t>
      </w:r>
      <w:r>
        <w:t xml:space="preserve">laws are identical. Conditioning on disagreement, not a distribution change, explains the</w:t>
      </w:r>
      <w:r>
        <w:t xml:space="preserve"> </w:t>
      </w:r>
      <w:r>
        <w:t xml:space="preserve">nonzero residual. The frontier requires a bound on this residual regardless of its cause. Top-label</w:t>
      </w:r>
      <w:r>
        <w:t xml:space="preserve"> </w:t>
      </w:r>
      <w:r>
        <w:t xml:space="preserve">calibration conditions on the predicted class [43]; neither it nor ordinary</w:t>
      </w:r>
      <w:r>
        <w:t xml:space="preserve"> </w:t>
      </w:r>
      <w:r>
        <w:t xml:space="preserve">score calibration automatically implies calibration conditional on disagreement.</w:t>
      </w:r>
    </w:p>
    <w:bookmarkEnd w:id="128"/>
    <w:bookmarkStart w:id="129" w:name="why-coverage-is-the-premise."/>
    <w:p>
      <w:pPr>
        <w:pStyle w:val="Heading2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Why coverage is the premise.</w:t>
      </w:r>
    </w:p>
    <w:p>
      <w:pPr>
        <w:pStyle w:val="FirstParagraph"/>
        <w:widowControl/>
      </w:pPr>
      <w:r>
        <w:t xml:space="preserve">The coverage-to-action proof is elementary once</w:t>
      </w:r>
      <w:r>
        <w:t xml:space="preserve"> </w:t>
      </w:r>
      <w:r>
        <w:t xml:space="preserve">Eq. (9) holds: on the coverage</w:t>
      </w:r>
      <w:r>
        <w:t xml:space="preserve"> </w:t>
      </w:r>
      <w:r>
        <w:t xml:space="preserve">event, an interval wholly above zero cannot contain a nonpositive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. The</w:t>
      </w:r>
      <w:r>
        <w:t xml:space="preserve"> </w:t>
      </w:r>
      <w:r>
        <w:t xml:space="preserve">scientific burden is therefore to justify coverage for the declared outcome and</w:t>
      </w:r>
      <w:r>
        <w:t xml:space="preserve"> </w:t>
      </w:r>
      <w:r>
        <w:t xml:space="preserve">calibration/deployment pair. Joint exchangeability of the residual scores is one route;</w:t>
      </w:r>
      <w:r>
        <w:t xml:space="preserve"> </w:t>
      </w:r>
      <w:r>
        <w:t xml:space="preserve">known shift correction or another valid construction may be another. Risk alignment can explain why</w:t>
      </w:r>
      <w:r>
        <w:t xml:space="preserve"> </w:t>
      </w:r>
      <w:r>
        <w:t xml:space="preserve">a useful predictor transfers, but it is not an additional logical premise after coverage is given.</w:t>
      </w:r>
    </w:p>
    <w:bookmarkEnd w:id="129"/>
    <w:bookmarkStart w:id="130" w:name="X718c8efe08b633558f1714a8fa4f100cc15c2e3"/>
    <w:p>
      <w:pPr>
        <w:pStyle w:val="Heading2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Why cell coverage is not population coverage.</w:t>
      </w:r>
    </w:p>
    <w:p>
      <w:pPr>
        <w:pStyle w:val="FirstParagraph"/>
        <w:widowControl/>
      </w:pPr>
      <w:r>
        <w:t xml:space="preserve">Consider the fixed binary predictors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≡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a</m:t>
            </m:r>
          </m:sub>
        </m:sSub>
        <m:r>
          <m:rPr>
            <m:sty m:val="p"/>
          </m:rPr>
          <m:t>≡</m:t>
        </m:r>
        <m:r>
          <m:t>1</m:t>
        </m:r>
      </m:oMath>
      <w:r>
        <w:t xml:space="preserve">. Let the target input be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0.45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0.55</m:t>
        </m:r>
      </m:oMath>
      <w:r>
        <w:t xml:space="preserve">, with deterministic labels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 Population benefit is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0.10</m:t>
        </m:r>
      </m:oMath>
      <w:r>
        <w:t xml:space="preserve">. In a one-item evaluation cell, a fixed predictor</w:t>
      </w:r>
      <w:r>
        <w:t xml:space="preserve"> </w:t>
      </w:r>
      <w:r>
        <w:t xml:space="preserve">that maps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predicts</w:t>
      </w:r>
      <w:r>
        <w:t xml:space="preserve"> </w:t>
      </w:r>
      <m:oMath>
        <m:sSup>
          <m:e>
            <m:r>
              <m:rPr>
                <m:sty m:val="p"/>
              </m:rPr>
              <m:t>Δ</m:t>
            </m:r>
          </m:e>
          <m:sup>
            <m:r>
              <m:rPr>
                <m:sty m:val="p"/>
              </m:rPr>
              <m:t>c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l</m:t>
            </m:r>
          </m:sup>
        </m:sSup>
      </m:oMath>
      <w:r>
        <w:t xml:space="preserve"> </w:t>
      </w:r>
      <w:r>
        <w:t xml:space="preserve">perfectly without reading</w:t>
      </w:r>
      <w:r>
        <w:t xml:space="preserve"> </w:t>
      </w:r>
      <w:r>
        <w:t xml:space="preserve">the new label. With radius zero, cell coverage is perfect, yet the gate selects ADAPT with</w:t>
      </w:r>
      <w:r>
        <w:t xml:space="preserve"> </w:t>
      </w:r>
      <w:r>
        <w:t xml:space="preserve">probability</w:t>
      </w:r>
      <w:r>
        <w:t xml:space="preserve"> </w:t>
      </w:r>
      <m:oMath>
        <m:r>
          <m:t>0.45</m:t>
        </m:r>
      </m:oMath>
      <w:r>
        <w:t xml:space="preserve"> </w:t>
      </w:r>
      <w:r>
        <w:t xml:space="preserve">despite negative benefit under the fixed population law. This constructed example</w:t>
      </w:r>
      <w:r>
        <w:t xml:space="preserve"> </w:t>
      </w:r>
      <w:r>
        <w:t xml:space="preserve">does not contradict the</w:t>
      </w:r>
      <w:r>
        <w:t xml:space="preserve"> </w:t>
      </w:r>
      <w:r>
        <w:t xml:space="preserve">main-paper Proposition 2;</w:t>
      </w:r>
      <w:r>
        <w:t xml:space="preserve"> </w:t>
      </w:r>
      <w:r>
        <w:t xml:space="preserve">it shows why its covered target cannot be changed.</w:t>
      </w:r>
    </w:p>
    <w:bookmarkEnd w:id="130"/>
    <w:bookmarkStart w:id="131" w:name="Xd9e2ea1f534a7e183433a9a9bdcf92391d13c64"/>
    <w:p>
      <w:pPr>
        <w:pStyle w:val="Heading2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Why exchangeability alone does not validate sign flips.</w:t>
      </w:r>
    </w:p>
    <w:p>
      <w:pPr>
        <w:pStyle w:val="FirstParagraph"/>
        <w:widowControl/>
      </w:pPr>
      <w:r>
        <w:t xml:space="preserve">As a separate null example, let all nine cluster gaps equal the same fair random sign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This vector is exchangeable, each gap is symmetric about zero, and a global sign change preserves</w:t>
      </w:r>
      <w:r>
        <w:t xml:space="preserve"> </w:t>
      </w:r>
      <w:r>
        <w:t xml:space="preserve">its law. Nevertheless, when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, independent-coordinate sign-flip enumeration for the mean gives</w:t>
      </w:r>
      <w:r>
        <w:t xml:space="preserve"> </w:t>
      </w:r>
      <w:r>
        <w:t xml:space="preserve">a reference value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512</m:t>
        </m:r>
      </m:oMath>
      <w:r>
        <w:t xml:space="preserve">. That occurs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512</m:t>
        </m:r>
      </m:oMath>
      <w:r>
        <w:t xml:space="preserve">. The vector fails</w:t>
      </w:r>
      <w:r>
        <w:t xml:space="preserve"> </w:t>
      </w:r>
      <w:r>
        <w:t xml:space="preserve">Eq. (16).</w:t>
      </w:r>
      <w:r>
        <w:t xml:space="preserve"> </w:t>
      </w:r>
      <w:r>
        <w:t xml:space="preserve">This example explains the required assumption; it is not a</w:t>
      </w:r>
      <w:r>
        <w:t xml:space="preserve"> </w:t>
      </w:r>
      <w:r>
        <w:t xml:space="preserve">model fitted to the CCT-20 observations.</w:t>
      </w:r>
    </w:p>
    <w:bookmarkEnd w:id="131"/>
    <w:bookmarkStart w:id="132" w:name="X06c5fb9641945519b839b1c41dbb2dc0f3ac2bf"/>
    <w:p>
      <w:pPr>
        <w:pStyle w:val="Heading2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Why a null is not an impossibility result.</w:t>
      </w:r>
    </w:p>
    <w:p>
      <w:pPr>
        <w:pStyle w:val="FirstParagraph"/>
        <w:widowControl/>
      </w:pPr>
      <w:r>
        <w:t xml:space="preserve">A null benchmark row can arise because the true effects are small, the candidate is one-sided, the</w:t>
      </w:r>
      <w:r>
        <w:t xml:space="preserve"> </w:t>
      </w:r>
      <w:r>
        <w:t xml:space="preserve">evidence map is weak, the benefit model underfits, the radius is wide, or calibration does not</w:t>
      </w:r>
      <w:r>
        <w:t xml:space="preserve"> </w:t>
      </w:r>
      <w:r>
        <w:t xml:space="preserve">transfer. The population impossibility requires evidence-identical target laws inside the declared</w:t>
      </w:r>
      <w:r>
        <w:t xml:space="preserve"> </w:t>
      </w:r>
      <w:r>
        <w:t xml:space="preserve">class with incompatible strict directions. The canonical benchmark table does not estimate that</w:t>
      </w:r>
      <w:r>
        <w:t xml:space="preserve"> </w:t>
      </w:r>
      <w:r>
        <w:t xml:space="preserve">full fibre. It therefore reports weak or adverse empirical regimes without calling them proven</w:t>
      </w:r>
      <w:r>
        <w:t xml:space="preserve"> </w:t>
      </w:r>
      <w:r>
        <w:t xml:space="preserve">unknowable worlds.</w:t>
      </w:r>
    </w:p>
    <w:bookmarkEnd w:id="132"/>
    <w:bookmarkStart w:id="133" w:name="what-would-falsify-the-practical-claim."/>
    <w:p>
      <w:pPr>
        <w:pStyle w:val="Heading2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What would falsify the practical claim.</w:t>
      </w:r>
    </w:p>
    <w:p>
      <w:pPr>
        <w:pStyle w:val="FirstParagraph"/>
        <w:widowControl/>
      </w:pPr>
      <w:r>
        <w:t xml:space="preserve">The practical claim is conditional and testable. A clean target replay with the locked pipeline can</w:t>
      </w:r>
      <w:r>
        <w:t xml:space="preserve"> </w:t>
      </w:r>
      <w:r>
        <w:t xml:space="preserve">record a high</w:t>
      </w:r>
      <w:r>
        <w:t xml:space="preserve"> </w:t>
      </w:r>
      <m:oMath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u</m:t>
            </m:r>
          </m:sub>
        </m:sSub>
      </m:oMath>
      <w:r>
        <w:t xml:space="preserve">, low inclusion, or regret above both fixed policies. A</w:t>
      </w:r>
      <w:r>
        <w:t xml:space="preserve"> </w:t>
      </w:r>
      <w:r>
        <w:t xml:space="preserve">checkpoint or adapter change, or a family-held-out split, can provide evidence of limited transfer</w:t>
      </w:r>
      <w:r>
        <w:t xml:space="preserve"> </w:t>
      </w:r>
      <w:r>
        <w:t xml:space="preserve">or optimistic cell-level cross-fitting. Such findings can reject a predeclared empirical endpoint</w:t>
      </w:r>
      <w:r>
        <w:t xml:space="preserve"> </w:t>
      </w:r>
      <w:r>
        <w:t xml:space="preserve">or provide evidence against transfer or coverage assumptions; they do not by themselves logically</w:t>
      </w:r>
      <w:r>
        <w:t xml:space="preserve"> </w:t>
      </w:r>
      <w:r>
        <w:t xml:space="preserve">refute a marginal guarantee. Poor utility can also coexist with valid coverage. A claim of coverage</w:t>
      </w:r>
      <w:r>
        <w:t xml:space="preserve"> </w:t>
      </w:r>
      <w:r>
        <w:t xml:space="preserve">or transfer failure requires its own appropriately designed statistical assessment; none of these</w:t>
      </w:r>
      <w:r>
        <w:t xml:space="preserve"> </w:t>
      </w:r>
      <w:r>
        <w:t xml:space="preserve">finite outcomes refutes the population identity.</w:t>
      </w:r>
    </w:p>
    <w:bookmarkEnd w:id="133"/>
    <w:bookmarkEnd w:id="134"/>
    <w:bookmarkStart w:id="141" w:name="m-formalization-and-artifact-scope"/>
    <w:p>
      <w:pPr>
        <w:pStyle w:val="Heading1"/>
        <w:widowControl/>
      </w:pPr>
      <w:r>
        <w:t xml:space="preserve">M Formalization and Artifact Scope</w:t>
      </w:r>
    </w:p>
    <w:p>
      <w:pPr>
        <w:pStyle w:val="FirstParagraph"/>
        <w:widowControl/>
      </w:pPr>
      <w:r>
        <w:t xml:space="preserve">The Lean project under</w:t>
      </w:r>
      <w:r>
        <w:t xml:space="preserve"> </w:t>
      </w:r>
      <w:r>
        <w:rPr>
          <w:rStyle w:val="VerbatimChar"/>
        </w:rPr>
        <w:t xml:space="preserve">docs/research/kbound/formal/</w:t>
      </w:r>
      <w:r>
        <w:t xml:space="preserve"> </w:t>
      </w:r>
      <w:r>
        <w:t xml:space="preserve">provides a kernel-checked inventory for</w:t>
      </w:r>
      <w:r>
        <w:t xml:space="preserve"> </w:t>
      </w:r>
      <w:r>
        <w:t xml:space="preserve">the theorem names it exports. The compact paper relies on the LaTeX statements above; it does not</w:t>
      </w:r>
      <w:r>
        <w:t xml:space="preserve"> </w:t>
      </w:r>
      <w:r>
        <w:t xml:space="preserve">claim that every sentence has a one-to-one Lean theorem.</w:t>
      </w:r>
    </w:p>
    <w:p>
      <w:pPr>
        <w:pStyle w:val="BodyText"/>
        <w:widowControl/>
      </w:pPr>
      <w:r>
        <w:t xml:space="preserve">In particular, deployment-class richness,</w:t>
      </w:r>
      <w:r>
        <w:t xml:space="preserve"> </w:t>
      </w:r>
      <w:r>
        <w:t xml:space="preserve">risk alignment of a learned evidence map, exchangeability of a benchmark split, and correctness of</w:t>
      </w:r>
      <w:r>
        <w:t xml:space="preserve"> </w:t>
      </w:r>
      <w:r>
        <w:t xml:space="preserve">data preprocessing remain outside the proof assistant unless separately encoded.</w:t>
      </w:r>
    </w:p>
    <w:bookmarkStart w:id="140" w:name="m.1-proof-traceability-and-limits"/>
    <w:p>
      <w:pPr>
        <w:pStyle w:val="Heading2"/>
        <w:widowControl/>
      </w:pPr>
      <w:r>
        <w:t xml:space="preserve">M.1 Proof traceability and limits</w:t>
      </w:r>
    </w:p>
    <w:p>
      <w:pPr>
        <w:pStyle w:val="FirstParagraph"/>
        <w:widowControl/>
      </w:pPr>
      <w:r>
        <w:t xml:space="preserve">The formal evidence is a source-bound, scoped verification record. The</w:t>
      </w:r>
      <w:r>
        <w:t xml:space="preserve"> </w:t>
      </w:r>
      <w:r>
        <w:t xml:space="preserve">8 September 2026 integration receipt records a successful Lean 4.29.1</w:t>
      </w:r>
      <w:r>
        <w:t xml:space="preserve"> </w:t>
      </w:r>
      <w:r>
        <w:t xml:space="preserve">strict-core build and transitive-axiom audit for 315 registered declarations:</w:t>
      </w:r>
      <w:r>
        <w:t xml:space="preserve"> </w:t>
      </w:r>
      <w:r>
        <w:t xml:space="preserve">65 retained core declarations and 250 additional results, including supporting</w:t>
      </w:r>
      <w:r>
        <w:t xml:space="preserve"> </w:t>
      </w:r>
      <w:r>
        <w:t xml:space="preserve">lemmas. The theorem map contains 326 distinct</w:t>
      </w:r>
      <w:r>
        <w:t xml:space="preserve"> </w:t>
      </w:r>
      <w:r>
        <w:rPr>
          <w:rStyle w:val="VerbatimChar"/>
        </w:rPr>
        <w:t xml:space="preserve">#check</w:t>
      </w:r>
      <w:r>
        <w:t xml:space="preserve"> </w:t>
      </w:r>
      <w:r>
        <w:t xml:space="preserve">entries across</w:t>
      </w:r>
      <w:r>
        <w:t xml:space="preserve"> </w:t>
      </w:r>
      <w:r>
        <w:t xml:space="preserve">all namespaces; eleven are outside that registry.</w:t>
      </w:r>
      <w:r>
        <w:t xml:space="preserve"> </w:t>
      </w:r>
      <w:r>
        <w:t xml:space="preserve">Thirteen public-root example files contain 80 examples.</w:t>
      </w:r>
      <w:r>
        <w:t xml:space="preserve"> </w:t>
      </w:r>
      <w:r>
        <w:t xml:space="preserve">These are different inventories, not a percentage of the paper proved.</w:t>
      </w:r>
    </w:p>
    <w:p>
      <w:pPr>
        <w:pStyle w:val="BodyText"/>
        <w:widowControl/>
      </w:pPr>
      <w:r>
        <w:t xml:space="preserve">The source-bound summary</w:t>
      </w:r>
      <w:r>
        <w:t xml:space="preserve"> </w:t>
      </w:r>
      <w:r>
        <w:rPr>
          <w:rStyle w:val="VerbatimChar"/>
        </w:rPr>
        <w:t xml:space="preserve">formal/full_report_bridges_verification_20260908.portable.json</w:t>
      </w:r>
      <w:r>
        <w:t xml:space="preserve"> </w:t>
      </w:r>
      <w:r>
        <w:t xml:space="preserve">links the combined audit, example checks and independent reviews by hash.</w:t>
      </w:r>
      <w:r>
        <w:t xml:space="preserve"> </w:t>
      </w:r>
      <w:r>
        <w:t xml:space="preserve">The build is incremental with cached dependencies, not a cold dependency rebuild.</w:t>
      </w:r>
      <w:r>
        <w:t xml:space="preserve"> </w:t>
      </w:r>
      <w:r>
        <w:t xml:space="preserve">The separate claim census is</w:t>
      </w:r>
      <w:r>
        <w:t xml:space="preserve"> </w:t>
      </w:r>
      <w:r>
        <w:rPr>
          <w:rStyle w:val="VerbatimChar"/>
        </w:rPr>
        <w:t xml:space="preserve">formal/full_report_bridges_semantic_20260908.portable.json</w:t>
      </w:r>
      <w:r>
        <w:t xml:space="preserve">.</w:t>
      </w:r>
      <w:r>
        <w:t xml:space="preserve"> </w:t>
      </w:r>
      <w:r>
        <w:t xml:space="preserve">Earlier dated receipts retain their historical scopes.</w:t>
      </w:r>
      <w:r>
        <w:t xml:space="preserve"> </w:t>
      </w:r>
      <w:r>
        <w:t xml:space="preserve">The audited axiom dependencies are</w:t>
      </w:r>
      <w:r>
        <w:t xml:space="preserve"> </w:t>
      </w:r>
      <w:r>
        <w:rPr>
          <w:rStyle w:val="VerbatimChar"/>
        </w:rPr>
        <w:t xml:space="preserve">propext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Classical.choice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Quot.sound</w:t>
      </w:r>
      <w:r>
        <w:t xml:space="preserve">.</w:t>
      </w:r>
    </w:p>
    <w:bookmarkStart w:id="135" w:name="population-reduction-and-frontier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Population reduction and frontier.</w:t>
      </w:r>
    </w:p>
    <w:p>
      <w:pPr>
        <w:pStyle w:val="FirstParagraph"/>
        <w:widowControl/>
      </w:pPr>
      <w:r>
        <w:rPr>
          <w:rStyle w:val="VerbatimChar"/>
        </w:rPr>
        <w:t xml:space="preserve">JointKernelScore.joint_score_benefit</w:t>
      </w:r>
      <w:r>
        <w:t xml:space="preserve"> </w:t>
      </w:r>
      <w:r>
        <w:t xml:space="preserve">derives the score-residual identity</w:t>
      </w:r>
      <w:r>
        <w:t xml:space="preserve"> </w:t>
      </w:r>
      <w:r>
        <w:t xml:space="preserve">from the conditional kernel of an actual binary joint law.</w:t>
      </w:r>
      <w:r>
        <w:t xml:space="preserve"> </w:t>
      </w:r>
      <w:r>
        <w:rPr>
          <w:rStyle w:val="VerbatimChar"/>
        </w:rPr>
        <w:t xml:space="preserve">ActualWorldFrontier.actual_identified_interval</w:t>
      </w:r>
      <w:r>
        <w:t xml:space="preserve"> </w:t>
      </w:r>
      <w:r>
        <w:t xml:space="preserve">identifies the clipped</w:t>
      </w:r>
      <w:r>
        <w:t xml:space="preserve"> </w:t>
      </w:r>
      <w:r>
        <w:t xml:space="preserve">benefit interval over the full fixed-input-marginal residual class.</w:t>
      </w:r>
      <w:r>
        <w:t xml:space="preserve"> </w:t>
      </w:r>
      <w:r>
        <w:rPr>
          <w:rStyle w:val="VerbatimChar"/>
        </w:rPr>
        <w:t xml:space="preserve">ActualWorldEvidence.actual_augmented_fibre_strict_direction_iff</w:t>
      </w:r>
      <w:r>
        <w:t xml:space="preserve"> </w:t>
      </w:r>
      <w:r>
        <w:t xml:space="preserve">connects this class to a fixed marginal-based observation experiment.</w:t>
      </w:r>
      <w:r>
        <w:t xml:space="preserve"> </w:t>
      </w:r>
      <w:r>
        <w:t xml:space="preserve">The restricted-class results in</w:t>
      </w:r>
      <w:r>
        <w:t xml:space="preserve"> </w:t>
      </w:r>
      <w:r>
        <w:rPr>
          <w:rStyle w:val="VerbatimChar"/>
        </w:rPr>
        <w:t xml:space="preserve">ActualWorldSubclass</w:t>
      </w:r>
      <w:r>
        <w:t xml:space="preserve"> </w:t>
      </w:r>
      <w:r>
        <w:t xml:space="preserve">require the legal</w:t>
      </w:r>
      <w:r>
        <w:t xml:space="preserve"> </w:t>
      </w:r>
      <w:r>
        <w:t xml:space="preserve">interior opposite-pair and boundary zero constructions; individual directional</w:t>
      </w:r>
      <w:r>
        <w:t xml:space="preserve"> </w:t>
      </w:r>
      <w:r>
        <w:t xml:space="preserve">uniqueness additionally requires a nonempty class. These results do not establish</w:t>
      </w:r>
      <w:r>
        <w:t xml:space="preserve"> </w:t>
      </w:r>
      <w:r>
        <w:t xml:space="preserve">those membership conditions for an arbitrary deployment subclass or justify</w:t>
      </w:r>
      <w:r>
        <w:t xml:space="preserve"> </w:t>
      </w:r>
      <w:r>
        <w:t xml:space="preserve">conditioning on a model pair adapted on the same observed batch.</w:t>
      </w:r>
    </w:p>
    <w:bookmarkEnd w:id="135"/>
    <w:bookmarkStart w:id="136" w:name="audit-floor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Audit floor.</w:t>
      </w:r>
    </w:p>
    <w:p>
      <w:pPr>
        <w:pStyle w:val="FirstParagraph"/>
        <w:widowControl/>
      </w:pPr>
      <w:r>
        <w:rPr>
          <w:rStyle w:val="VerbatimChar"/>
        </w:rPr>
        <w:t xml:space="preserve">measurable_audit_floor</w:t>
      </w:r>
      <w:r>
        <w:t xml:space="preserve"> </w:t>
      </w:r>
      <w:r>
        <w:t xml:space="preserve">proves the bound at the possibly unattained</w:t>
      </w:r>
      <w:r>
        <w:t xml:space="preserve"> </w:t>
      </w:r>
      <w:r>
        <w:t xml:space="preserve">supremum of a nonempty bounded residual fibre under a common observation law.</w:t>
      </w:r>
      <w:r>
        <w:t xml:space="preserve"> </w:t>
      </w:r>
      <w:r>
        <w:rPr>
          <w:rStyle w:val="VerbatimChar"/>
        </w:rPr>
        <w:t xml:space="preserve">ActualFibreRadius.actual_augmented_fibre_radius</w:t>
      </w:r>
      <w:r>
        <w:t xml:space="preserve"> </w:t>
      </w:r>
      <w:r>
        <w:t xml:space="preserve">supplies the actual</w:t>
      </w:r>
      <w:r>
        <w:t xml:space="preserve"> </w:t>
      </w:r>
      <w:r>
        <w:t xml:space="preserve">full-class radius equality under positive disagreement mass,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β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and the fixed observation experiment. This is not an</w:t>
      </w:r>
      <w:r>
        <w:t xml:space="preserve"> </w:t>
      </w:r>
      <w:r>
        <w:t xml:space="preserve">estimator of a valid deployment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from unlabeled data.</w:t>
      </w:r>
    </w:p>
    <w:bookmarkEnd w:id="136"/>
    <w:bookmarkStart w:id="137" w:name="coverage-and-decision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Coverage and decision.</w:t>
      </w:r>
    </w:p>
    <w:p>
      <w:pPr>
        <w:pStyle w:val="FirstParagraph"/>
        <w:widowControl/>
      </w:pPr>
      <w:r>
        <w:rPr>
          <w:rStyle w:val="VerbatimChar"/>
        </w:rPr>
        <w:t xml:space="preserve">ExtendedRadiusCertificate.directional_error_probability</w:t>
      </w:r>
      <w:r>
        <w:t xml:space="preserve"> </w:t>
      </w:r>
      <w:r>
        <w:t xml:space="preserve">proves that</w:t>
      </w:r>
      <w:r>
        <w:t xml:space="preserve"> </w:t>
      </w:r>
      <w:r>
        <w:t xml:space="preserve">coverage for the named scalar target bounds the union of false strict</w:t>
      </w:r>
      <w:r>
        <w:t xml:space="preserve"> </w:t>
      </w:r>
      <w:r>
        <w:t xml:space="preserve">directions, allowing measurable finite or infinite radii.</w:t>
      </w:r>
      <w:r>
        <w:t xml:space="preserve"> </w:t>
      </w:r>
      <w:r>
        <w:rPr>
          <w:rStyle w:val="VerbatimChar"/>
        </w:rPr>
        <w:t xml:space="preserve">ExactConformal.literal_residual_certificate</w:t>
      </w:r>
      <w:r>
        <w:t xml:space="preserve"> </w:t>
      </w:r>
      <w:r>
        <w:t xml:space="preserve">constructs the literal</w:t>
      </w:r>
      <w:r>
        <w:t xml:space="preserve"> </w:t>
      </w:r>
      <w:r>
        <w:t xml:space="preserve">ceiling-rank absolute-residual interval, including ties and the infinite-radius</w:t>
      </w:r>
      <w:r>
        <w:t xml:space="preserve"> </w:t>
      </w:r>
      <w:r>
        <w:t xml:space="preserve">case, under joint score exchangeability. Neither result establishes benchmark</w:t>
      </w:r>
      <w:r>
        <w:t xml:space="preserve"> </w:t>
      </w:r>
      <w:r>
        <w:t xml:space="preserve">exchangeability, calibration transfer, or operational label custody. For a</w:t>
      </w:r>
      <w:r>
        <w:t xml:space="preserve"> </w:t>
      </w:r>
      <w:r>
        <w:t xml:space="preserve">population-target application, valid coverage of population benefit is the</w:t>
      </w:r>
      <w:r>
        <w:t xml:space="preserve"> </w:t>
      </w:r>
      <w:r>
        <w:t xml:space="preserve">required statistical premise; exact fibre-wide identification is a separate</w:t>
      </w:r>
      <w:r>
        <w:t xml:space="preserve"> </w:t>
      </w:r>
      <w:r>
        <w:t xml:space="preserve">question. The</w:t>
      </w:r>
      <w:r>
        <w:t xml:space="preserve"> </w:t>
      </w:r>
      <w:r>
        <w:rPr>
          <w:rStyle w:val="VerbatimChar"/>
        </w:rPr>
        <w:t xml:space="preserve">PopulationTransfer</w:t>
      </w:r>
      <w:r>
        <w:t xml:space="preserve"> </w:t>
      </w:r>
      <w:r>
        <w:t xml:space="preserve">module combines cell and sampling</w:t>
      </w:r>
      <w:r>
        <w:t xml:space="preserve"> </w:t>
      </w:r>
      <w:r>
        <w:t xml:space="preserve">coverage by a union bound, but does not supply the reported experiments with</w:t>
      </w:r>
      <w:r>
        <w:t xml:space="preserve"> </w:t>
      </w:r>
      <w:r>
        <w:t xml:space="preserve">a population sampling-error radius.</w:t>
      </w:r>
    </w:p>
    <w:bookmarkEnd w:id="137"/>
    <w:bookmarkStart w:id="138" w:name="supporting-statements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Supporting statements.</w:t>
      </w:r>
    </w:p>
    <w:p>
      <w:pPr>
        <w:pStyle w:val="FirstParagraph"/>
        <w:widowControl/>
      </w:pPr>
      <w:r>
        <w:rPr>
          <w:rStyle w:val="VerbatimChar"/>
        </w:rPr>
        <w:t xml:space="preserve">WeightedHelpful</w:t>
      </w:r>
      <w:r>
        <w:t xml:space="preserve"> </w:t>
      </w:r>
      <w:r>
        <w:t xml:space="preserve">assumes per-cell helpfulness and common nonnegative</w:t>
      </w:r>
      <w:r>
        <w:t xml:space="preserve"> </w:t>
      </w:r>
      <w:r>
        <w:t xml:space="preserve">weights, with positive total weight for means.</w:t>
      </w:r>
      <w:r>
        <w:t xml:space="preserve"> </w:t>
      </w:r>
      <w:r>
        <w:rPr>
          <w:rStyle w:val="VerbatimChar"/>
        </w:rPr>
        <w:t xml:space="preserve">FeatureRank</w:t>
      </w:r>
      <w:r>
        <w:t xml:space="preserve"> </w:t>
      </w:r>
      <w:r>
        <w:t xml:space="preserve">proves a</w:t>
      </w:r>
      <w:r>
        <w:t xml:space="preserve"> </w:t>
      </w:r>
      <w:r>
        <w:t xml:space="preserve">nine-dimensional real-linear schema and row rank at most nine under the exact</w:t>
      </w:r>
      <w:r>
        <w:t xml:space="preserve"> </w:t>
      </w:r>
      <w:r>
        <w:t xml:space="preserve">coordinate relations; it does not establish observed numerical rank or</w:t>
      </w:r>
      <w:r>
        <w:t xml:space="preserve"> </w:t>
      </w:r>
      <w:r>
        <w:t xml:space="preserve">probabilistic independence.</w:t>
      </w:r>
      <w:r>
        <w:t xml:space="preserve"> </w:t>
      </w:r>
      <w:r>
        <w:rPr>
          <w:rStyle w:val="VerbatimChar"/>
        </w:rPr>
        <w:t xml:space="preserve">RiskAlignment</w:t>
      </w:r>
      <w:r>
        <w:t xml:space="preserve"> </w:t>
      </w:r>
      <w:r>
        <w:t xml:space="preserve">proves that alignment is</w:t>
      </w:r>
      <w:r>
        <w:t xml:space="preserve"> </w:t>
      </w:r>
      <w:r>
        <w:t xml:space="preserve">weaker than strict identification, including an actual zero/positive-law witness.</w:t>
      </w:r>
    </w:p>
    <w:bookmarkEnd w:id="138"/>
    <w:bookmarkStart w:id="139" w:name="full-report-implications."/>
    <w:p>
      <w:pPr>
        <w:pStyle w:val="Heading3"/>
        <w:keepNext/>
        <w:widowControl/>
        <w:spacing w:before="100" w:after="20" w:line="252" w:lineRule="auto"/>
      </w:pPr>
      <w:r>
        <w:rPr>
          <w:rFonts w:ascii="Times New Roman" w:hAnsi="Times New Roman" w:eastAsia="Times New Roman" w:cs="Times New Roman"/>
          <w:b/>
          <w:sz w:val="19"/>
        </w:rPr>
        <w:t xml:space="preserve">Full-report implications.</w:t>
      </w:r>
    </w:p>
    <w:p>
      <w:pPr>
        <w:pStyle w:val="FirstParagraph"/>
        <w:widowControl/>
      </w:pPr>
      <w:r>
        <w:rPr>
          <w:rStyle w:val="VerbatimChar"/>
        </w:rPr>
        <w:t xml:space="preserve">InformationRefinement</w:t>
      </w:r>
      <w:r>
        <w:t xml:space="preserve"> </w:t>
      </w:r>
      <w:r>
        <w:t xml:space="preserve">covers null-disagreement risk equality and</w:t>
      </w:r>
      <w:r>
        <w:t xml:space="preserve"> </w:t>
      </w:r>
      <w:r>
        <w:t xml:space="preserve">refinement of actual joint-observation fibres, with nonempty/bounded premises</w:t>
      </w:r>
      <w:r>
        <w:t xml:space="preserve"> </w:t>
      </w:r>
      <w:r>
        <w:t xml:space="preserve">for real radii.</w:t>
      </w:r>
      <w:r>
        <w:t xml:space="preserve"> </w:t>
      </w:r>
      <w:r>
        <w:rPr>
          <w:rStyle w:val="VerbatimChar"/>
        </w:rPr>
        <w:t xml:space="preserve">ConditionalExposure</w:t>
      </w:r>
      <w:r>
        <w:t xml:space="preserve"> </w:t>
      </w:r>
      <w:r>
        <w:t xml:space="preserve">derives conditional error bounds</w:t>
      </w:r>
      <w:r>
        <w:t xml:space="preserve"> </w:t>
      </w:r>
      <w:r>
        <w:t xml:space="preserve">from marginal error and positive action exposure.</w:t>
      </w:r>
      <w:r>
        <w:t xml:space="preserve"> </w:t>
      </w:r>
      <w:r>
        <w:rPr>
          <w:rStyle w:val="VerbatimChar"/>
        </w:rPr>
        <w:t xml:space="preserve">IntegrableProxy</w:t>
      </w:r>
      <w:r>
        <w:t xml:space="preserve"> </w:t>
      </w:r>
      <w:r>
        <w:t xml:space="preserve">proves the expectation decomposition and sufficient signs with both terms</w:t>
      </w:r>
      <w:r>
        <w:t xml:space="preserve"> </w:t>
      </w:r>
      <w:r>
        <w:t xml:space="preserve">integrable under the same law; it does not prove general-loss exactness.</w:t>
      </w:r>
    </w:p>
    <w:p>
      <w:pPr>
        <w:pStyle w:val="BodyText"/>
        <w:widowControl/>
      </w:pPr>
      <w:r>
        <w:t xml:space="preserve">The current prose states the fixed observation, model-pair, seed-coupling and</w:t>
      </w:r>
      <w:r>
        <w:t xml:space="preserve"> </w:t>
      </w:r>
      <w:r>
        <w:t xml:space="preserve">nonempty-subclass qualifications. Their empirical applicability remains</w:t>
      </w:r>
      <w:r>
        <w:t xml:space="preserve"> </w:t>
      </w:r>
      <w:r>
        <w:t xml:space="preserve">unproved. Manuscript revisions require their own final source binding and</w:t>
      </w:r>
      <w:r>
        <w:t xml:space="preserve"> </w:t>
      </w:r>
      <w:r>
        <w:t xml:space="preserve">semantic review; unchanged Lean sources do not make every revised sentence</w:t>
      </w:r>
      <w:r>
        <w:t xml:space="preserve"> </w:t>
      </w:r>
      <w:r>
        <w:t xml:space="preserve">kernel-checked. The historical full one-bit/H/ratio-rate extension remains</w:t>
      </w:r>
      <w:r>
        <w:t xml:space="preserve"> </w:t>
      </w:r>
      <w:r>
        <w:t xml:space="preserve">excluded. Formal verification, empirical provenance, implementation tests and</w:t>
      </w:r>
      <w:r>
        <w:t xml:space="preserve"> </w:t>
      </w:r>
      <w:r>
        <w:t xml:space="preserve">publication rendering therefore retain separate scopes.</w:t>
      </w:r>
    </w:p>
    <w:p>
      <w:pPr>
        <w:pStyle w:val="BodyText"/>
        <w:widowControl/>
      </w:pPr>
      <w:r>
        <w:t xml:space="preserve">One historical extension remains outside the verified scope. A measurable label swap preserves</w:t>
      </w:r>
      <w:r>
        <w:t xml:space="preserve"> </w:t>
      </w:r>
      <w:r>
        <w:t xml:space="preserve">label-free evidence and reverses population benefit, but selecting one representative from each</w:t>
      </w:r>
      <w:r>
        <w:t xml:space="preserve"> </w:t>
      </w:r>
      <w:r>
        <w:t xml:space="preserve">swap orbit need not identify the sign: distinct orbits can share the same evidence law and have</w:t>
      </w:r>
      <w:r>
        <w:t xml:space="preserve"> </w:t>
      </w:r>
      <w:r>
        <w:t xml:space="preserve">opposite selected signs. Lean verifies this counterexample and the corresponding set-theoretic</w:t>
      </w:r>
      <w:r>
        <w:t xml:space="preserve"> </w:t>
      </w:r>
      <w:r>
        <w:t xml:space="preserve">fibre-consistency criterion, not a general measurable decoder or the older H/ratio-rate extension.</w:t>
      </w:r>
      <w:r>
        <w:t xml:space="preserve"> </w:t>
      </w:r>
      <w:r>
        <w:t xml:space="preserve">Those stronger claims are excluded from this compact submission. The</w:t>
      </w:r>
      <w:r>
        <w:t xml:space="preserve"> </w:t>
      </w:r>
      <w:r>
        <w:rPr>
          <w:rStyle w:val="VerbatimChar"/>
        </w:rPr>
        <w:t xml:space="preserve">--full-foundations</w:t>
      </w:r>
      <w:r>
        <w:t xml:space="preserve"> </w:t>
      </w:r>
      <w:r>
        <w:t xml:space="preserve">gate therefore remains failing for the sixth layer; the scoped</w:t>
      </w:r>
      <w:r>
        <w:t xml:space="preserve"> </w:t>
      </w:r>
      <w:r>
        <w:t xml:space="preserve">kernel audit checks the registered results and rejects nonstandard proof axioms.</w:t>
      </w:r>
    </w:p>
    <w:p>
      <w:pPr>
        <w:pStyle w:val="BodyText"/>
        <w:widowControl/>
      </w:pPr>
      <w:r>
        <w:t xml:space="preserve">The formal build and empirical build answer different questions. Lean checks that a proposition</w:t>
      </w:r>
      <w:r>
        <w:t xml:space="preserve"> </w:t>
      </w:r>
      <w:r>
        <w:t xml:space="preserve">follows from formal assumptions. The reconciliation scripts check that displayed aggregates match</w:t>
      </w:r>
      <w:r>
        <w:t xml:space="preserve"> </w:t>
      </w:r>
      <w:r>
        <w:t xml:space="preserve">saved records under implemented definitions. Neither checks the truth of an unencoded deployment</w:t>
      </w:r>
      <w:r>
        <w:t xml:space="preserve"> </w:t>
      </w:r>
      <w:r>
        <w:t xml:space="preserve">assumption, and neither substitutes for independent experimental replication.</w:t>
      </w:r>
    </w:p>
    <w:p>
      <w:pPr>
        <w:pStyle w:val="BodyText"/>
        <w:widowControl/>
      </w:pPr>
      <w:r>
        <w:t xml:space="preserve">The authoritative compact artifacts are therefore layered:</w:t>
      </w:r>
    </w:p>
    <w:p>
      <w:pPr>
        <w:widowControl/>
        <w:numPr>
          <w:ilvl w:val="0"/>
          <w:numId w:val="1009"/>
        </w:numPr>
      </w:pPr>
      <w:r>
        <w:t xml:space="preserve">this source and its compiled PDF for the scoped narrative;</w:t>
      </w:r>
    </w:p>
    <w:p>
      <w:pPr>
        <w:widowControl/>
        <w:numPr>
          <w:ilvl w:val="0"/>
          <w:numId w:val="1009"/>
        </w:numPr>
      </w:pPr>
      <w:r>
        <w:t xml:space="preserve">shared theorem inputs for the exact statements and proofs;</w:t>
      </w:r>
    </w:p>
    <w:p>
      <w:pPr>
        <w:widowControl/>
        <w:numPr>
          <w:ilvl w:val="0"/>
          <w:numId w:val="1009"/>
        </w:numPr>
      </w:pPr>
      <w:r>
        <w:t xml:space="preserve">canonical JSON and generated LaTeX for numerical results;</w:t>
      </w:r>
    </w:p>
    <w:p>
      <w:pPr>
        <w:widowControl/>
        <w:numPr>
          <w:ilvl w:val="0"/>
          <w:numId w:val="1009"/>
        </w:numPr>
      </w:pPr>
      <w:r>
        <w:t xml:space="preserve">the source manifest for record-level provenance;</w:t>
      </w:r>
    </w:p>
    <w:p>
      <w:pPr>
        <w:widowControl/>
        <w:numPr>
          <w:ilvl w:val="0"/>
          <w:numId w:val="1009"/>
        </w:numPr>
      </w:pPr>
      <w:r>
        <w:t xml:space="preserve">package tests and Lean logs for implementation and formal checks.</w:t>
      </w:r>
    </w:p>
    <w:p>
      <w:pPr>
        <w:pStyle w:val="FirstParagraph"/>
        <w:widowControl/>
      </w:pPr>
      <w:r>
        <w:t xml:space="preserve">Historical drafts, dashboards, and exploratory search folders can remain useful development</w:t>
      </w:r>
      <w:r>
        <w:t xml:space="preserve"> </w:t>
      </w:r>
      <w:r>
        <w:t xml:space="preserve">records, but they are not evidence sources for this compact submission unless referenced by the</w:t>
      </w:r>
      <w:r>
        <w:t xml:space="preserve"> </w:t>
      </w:r>
      <w:r>
        <w:t xml:space="preserve">canonical manifest.</w:t>
      </w:r>
    </w:p>
    <w:bookmarkEnd w:id="139"/>
    <w:bookmarkEnd w:id="140"/>
    <w:bookmarkEnd w:id="141"/>
    <w:bookmarkStart w:id="147" w:name="n-reproducibility-and-release-procedures"/>
    <w:p>
      <w:pPr>
        <w:pStyle w:val="Heading1"/>
        <w:widowControl/>
      </w:pPr>
      <w:r>
        <w:t xml:space="preserve">N Reproducibility and Release Procedures</w:t>
      </w:r>
    </w:p>
    <w:bookmarkStart w:id="142" w:name="n.1-canonical-numerical-source-of-truth"/>
    <w:p>
      <w:pPr>
        <w:pStyle w:val="Heading2"/>
        <w:widowControl/>
      </w:pPr>
      <w:r>
        <w:t xml:space="preserve">N.1 Canonical Numerical Source of Truth</w:t>
      </w:r>
    </w:p>
    <w:p>
      <w:pPr>
        <w:pStyle w:val="FirstParagraph"/>
        <w:widowControl/>
      </w:pPr>
      <w:r>
        <w:t xml:space="preserve">The CIFAR rows and appendix reconciled point estimates share one numerical source:</w:t>
      </w:r>
      <w:r>
        <w:t xml:space="preserve"> </w:t>
      </w:r>
      <w:r>
        <w:rPr>
          <w:rStyle w:val="VerbatimChar"/>
        </w:rPr>
        <w:t xml:space="preserve">experiments/kbound/results/reconciled_panels_v1/canonical_panel_results.json</w:t>
      </w:r>
      <w:r>
        <w:t xml:space="preserve">, whose SHA-256 is</w:t>
      </w:r>
      <w:r>
        <w:t xml:space="preserve"> </w:t>
      </w:r>
      <w:r>
        <w:t xml:space="preserve">35d4c165843de1ece3cb35ffb4ac50dbfcbfa33b646754e2b6d133fbdfa78c6e. Its input inventory is bound separately by source-manifest SHA-256</w:t>
      </w:r>
      <w:r>
        <w:t xml:space="preserve"> </w:t>
      </w:r>
      <w:r>
        <w:t xml:space="preserve">03b1d2b1e9e5ed1cf835126f871ed83eb8497a1ac81727b3955af0d69eb89742; the canonical JSON also records generator,</w:t>
      </w:r>
      <w:r>
        <w:t xml:space="preserve"> </w:t>
      </w:r>
      <w:r>
        <w:t xml:space="preserve">implementation-dependency, and per-array bindings. Auxiliary artifacts retain narrower roles. The</w:t>
      </w:r>
      <w:r>
        <w:t xml:space="preserve"> </w:t>
      </w:r>
      <w:r>
        <w:t xml:space="preserve">family analysis is the retrospective sensitivity in Table 16; the</w:t>
      </w:r>
      <w:r>
        <w:t xml:space="preserve"> </w:t>
      </w:r>
      <w:r>
        <w:t xml:space="preserve">POEM/AETTA artifact is historical; and the So2Sat record is a locked development stop. The generated</w:t>
      </w:r>
      <w:r>
        <w:t xml:space="preserve"> </w:t>
      </w:r>
      <w:r>
        <w:t xml:space="preserve">result manifest indexes each reported claim and scope. None of these auxiliary records overwrites</w:t>
      </w:r>
      <w:r>
        <w:t xml:space="preserve"> </w:t>
      </w:r>
      <w:r>
        <w:t xml:space="preserve">the canonical point-estimate panel.</w:t>
      </w:r>
    </w:p>
    <w:bookmarkEnd w:id="142"/>
    <w:bookmarkStart w:id="143" w:name="n.2-reproduction-pipeline"/>
    <w:p>
      <w:pPr>
        <w:pStyle w:val="Heading2"/>
        <w:widowControl/>
      </w:pPr>
      <w:r>
        <w:t xml:space="preserve">N.2 Reproduction Pipeline</w:t>
      </w:r>
    </w:p>
    <w:p>
      <w:pPr>
        <w:pStyle w:val="FirstParagraph"/>
        <w:widowControl/>
      </w:pPr>
      <w:r>
        <w:t xml:space="preserve">The full gate uses Python 3.12 and</w:t>
      </w:r>
      <w:r>
        <w:t xml:space="preserve"> </w:t>
      </w:r>
      <w:r>
        <w:rPr>
          <w:rStyle w:val="VerbatimChar"/>
        </w:rPr>
        <w:t xml:space="preserve">requirements-research.txt</w:t>
      </w:r>
      <w:r>
        <w:t xml:space="preserve">. The smaller paper-only profile</w:t>
      </w:r>
      <w:r>
        <w:t xml:space="preserve"> </w:t>
      </w:r>
      <w:r>
        <w:t xml:space="preserve">does not include the Torch imports</w:t>
      </w:r>
      <w:r>
        <w:t xml:space="preserve"> </w:t>
      </w:r>
      <w:r>
        <w:t xml:space="preserve">used during repository-wide test collection. The model runtime uses</w:t>
      </w:r>
      <w:r>
        <w:t xml:space="preserve"> </w:t>
      </w:r>
      <w:r>
        <w:t xml:space="preserve">PyTorch [32]. From the repository root, the release command is:</w:t>
      </w:r>
    </w:p>
    <w:p>
      <w:pPr>
        <w:pStyle w:val="BlockText"/>
        <w:widowControl/>
      </w:pPr>
      <w:r>
        <w:rPr>
          <w:rStyle w:val="VerbatimChar"/>
        </w:rPr>
        <w:t xml:space="preserve">KBOUND_PYTHON=.venv/bin/python bash</w:t>
      </w:r>
      <w:r>
        <w:br/>
      </w:r>
      <w:r>
        <w:rPr>
          <w:rStyle w:val="VerbatimChar"/>
        </w:rPr>
        <w:t xml:space="preserve">docs/research/kbound/runbooks/release_candidate.sh</w:t>
      </w:r>
      <w:r>
        <w:rPr>
          <w:rStyle w:val="VerbatimChar"/>
        </w:rPr>
        <w:t xml:space="preserve"> all</w:t>
      </w:r>
    </w:p>
    <w:p>
      <w:pPr>
        <w:pStyle w:val="FirstParagraph"/>
        <w:widowControl/>
      </w:pPr>
      <w:r>
        <w:t xml:space="preserve">It runs the read-only preflight, validates and regenerates result authorities, executes software and</w:t>
      </w:r>
      <w:r>
        <w:t xml:space="preserve"> </w:t>
      </w:r>
      <w:r>
        <w:t xml:space="preserve">formal checks, builds the four current role PDFs, renders every PDF page, and emits release</w:t>
      </w:r>
      <w:r>
        <w:t xml:space="preserve"> </w:t>
      </w:r>
      <w:r>
        <w:t xml:space="preserve">checksums. A DOCX may be produced as a nonrelease convenience artifact, but it is not a fifth</w:t>
      </w:r>
      <w:r>
        <w:t xml:space="preserve"> </w:t>
      </w:r>
      <w:r>
        <w:t xml:space="preserve">current role. The gate consumes frozen model outputs and never launches training.</w:t>
      </w:r>
    </w:p>
    <w:p>
      <w:pPr>
        <w:pStyle w:val="BodyText"/>
        <w:widowControl/>
      </w:pPr>
      <w:r>
        <w:t xml:space="preserve">For presentation-only rebuilding from already validated authorities, the command is:</w:t>
      </w:r>
    </w:p>
    <w:p>
      <w:pPr>
        <w:pStyle w:val="BlockText"/>
        <w:widowControl/>
      </w:pPr>
      <w:r>
        <w:rPr>
          <w:rStyle w:val="VerbatimChar"/>
        </w:rPr>
        <w:t xml:space="preserve">SOURCE_SNAPSHOT_COMMIT=&lt;12-hex-source-commit&gt;</w:t>
      </w:r>
      <w:r>
        <w:br/>
      </w:r>
      <w:r>
        <w:rPr>
          <w:rStyle w:val="VerbatimChar"/>
        </w:rPr>
        <w:t xml:space="preserve">BUILD_LONG_TMLR=1 BUILD_SHORT_MAIN=1</w:t>
      </w:r>
      <w:r>
        <w:br/>
      </w:r>
      <w:r>
        <w:rPr>
          <w:rStyle w:val="VerbatimChar"/>
        </w:rPr>
        <w:t xml:space="preserve">BUILD_SHORT_SUPPLEMENT=1 BUILD_FULL_REPORT=1 bash</w:t>
      </w:r>
      <w:r>
        <w:br/>
      </w:r>
      <w:r>
        <w:rPr>
          <w:rStyle w:val="VerbatimChar"/>
        </w:rPr>
        <w:t xml:space="preserve">docs/research/kbound/scripts/build_pdfs.sh</w:t>
      </w:r>
    </w:p>
    <w:p>
      <w:pPr>
        <w:pStyle w:val="FirstParagraph"/>
        <w:widowControl/>
      </w:pPr>
      <w:r>
        <w:t xml:space="preserve">This shorter command validates the frozen authorities, regenerates presentation tables and figures,</w:t>
      </w:r>
      <w:r>
        <w:t xml:space="preserve"> </w:t>
      </w:r>
      <w:r>
        <w:t xml:space="preserve">and builds the four maintained role PDFs. It does not replace the full release gate or create new</w:t>
      </w:r>
      <w:r>
        <w:t xml:space="preserve"> </w:t>
      </w:r>
      <w:r>
        <w:t xml:space="preserve">empirical evidence.</w:t>
      </w:r>
    </w:p>
    <w:bookmarkEnd w:id="143"/>
    <w:bookmarkStart w:id="144" w:name="Xd628872e045c78de6d31ad28fd9d9f1e5c43994"/>
    <w:p>
      <w:pPr>
        <w:pStyle w:val="Heading2"/>
        <w:widowControl/>
      </w:pPr>
      <w:r>
        <w:t xml:space="preserve">N.3 Calibration Identity and Implementation Contract</w:t>
      </w:r>
    </w:p>
    <w:p>
      <w:pPr>
        <w:pStyle w:val="FirstParagraph"/>
        <w:widowControl/>
      </w:pPr>
      <w:r>
        <w:t xml:space="preserve">The maintained API binds an interval-gate record to the checkpoint, adapter configuration, evidence schema,</w:t>
      </w:r>
      <w:r>
        <w:t xml:space="preserve"> </w:t>
      </w:r>
      <w:r>
        <w:t xml:space="preserve">benefit estimator, residual construction, safety level, and scoring unit. The deployment path must</w:t>
      </w:r>
      <w:r>
        <w:t xml:space="preserve"> </w:t>
      </w:r>
      <w:r>
        <w:t xml:space="preserve">fail closed when any identity differs.</w:t>
      </w:r>
      <w:r>
        <w:t xml:space="preserve"> </w:t>
      </w:r>
      <w:r>
        <w:rPr>
          <w:rStyle w:val="VerbatimChar"/>
        </w:rPr>
        <w:t xml:space="preserve">KGA.certify_evidence</w:t>
      </w:r>
      <w:r>
        <w:t xml:space="preserve"> </w:t>
      </w:r>
      <w:r>
        <w:t xml:space="preserve">requires a frozen estimator,</w:t>
      </w:r>
      <w:r>
        <w:t xml:space="preserve"> </w:t>
      </w:r>
      <w:r>
        <w:t xml:space="preserve">the exact schema, a protocol hash, and a separate residual set. The lower-level</w:t>
      </w:r>
      <w:r>
        <w:t xml:space="preserve"> </w:t>
      </w:r>
      <w:r>
        <w:rPr>
          <w:rStyle w:val="VerbatimChar"/>
        </w:rPr>
        <w:t xml:space="preserve">certify</w:t>
      </w:r>
      <w:r>
        <w:t xml:space="preserve"> </w:t>
      </w:r>
      <w:r>
        <w:t xml:space="preserve">function is an audit interface; it does not construct evidence or validate</w:t>
      </w:r>
      <w:r>
        <w:t xml:space="preserve"> </w:t>
      </w:r>
      <w:r>
        <w:t xml:space="preserve">transfer by itself.</w:t>
      </w:r>
    </w:p>
    <w:bookmarkEnd w:id="144"/>
    <w:bookmarkStart w:id="145" w:name="n.4-formalization-and-lean-scope"/>
    <w:p>
      <w:pPr>
        <w:pStyle w:val="Heading2"/>
        <w:widowControl/>
      </w:pPr>
      <w:r>
        <w:t xml:space="preserve">N.4 Formalization and Lean Scope</w:t>
      </w:r>
    </w:p>
    <w:p>
      <w:pPr>
        <w:pStyle w:val="FirstParagraph"/>
        <w:widowControl/>
      </w:pPr>
      <w:r>
        <w:t xml:space="preserve">Lean artifacts and validators check the encoded theorem cores and selected finite constructions.</w:t>
      </w:r>
      <w:r>
        <w:t xml:space="preserve"> </w:t>
      </w:r>
      <w:r>
        <w:t xml:space="preserve">Formalization of learning-theory results has precedent, including a Rademacher-complexity</w:t>
      </w:r>
      <w:r>
        <w:t xml:space="preserve"> </w:t>
      </w:r>
      <w:r>
        <w:t xml:space="preserve">generalization bound [42]; we cite its pinned 2025 version as context, not as a</w:t>
      </w:r>
      <w:r>
        <w:t xml:space="preserve"> </w:t>
      </w:r>
      <w:r>
        <w:t xml:space="preserve">proof of K-Bound’s assumptions.</w:t>
      </w:r>
      <w:r>
        <w:t xml:space="preserve"> </w:t>
      </w:r>
      <w:r>
        <w:t xml:space="preserve">These checks do not certify dataset correctness, preprocessing, empirical transfer, exchangeability, or</w:t>
      </w:r>
      <w:r>
        <w:t xml:space="preserve"> </w:t>
      </w:r>
      <w:r>
        <w:t xml:space="preserve">every deployment assumption stated in prose. Machine checking strengthens the statements it</w:t>
      </w:r>
      <w:r>
        <w:t xml:space="preserve"> </w:t>
      </w:r>
      <w:r>
        <w:t xml:space="preserve">encodes; it does not validate the benchmark pipeline outside those statements.</w:t>
      </w:r>
    </w:p>
    <w:bookmarkEnd w:id="145"/>
    <w:bookmarkStart w:id="146" w:name="n.5-release-checklist-and-audit-logs"/>
    <w:p>
      <w:pPr>
        <w:pStyle w:val="Heading2"/>
        <w:widowControl/>
      </w:pPr>
      <w:r>
        <w:t xml:space="preserve">N.5 Release Checklist and Audit Logs</w:t>
      </w:r>
    </w:p>
    <w:p>
      <w:pPr>
        <w:pStyle w:val="FirstParagraph"/>
        <w:widowControl/>
      </w:pPr>
      <w:r>
        <w:t xml:space="preserve">The Phase-1 provenance audit matches all 106 canonical source/compact hash pairs, all 10 recoverable</w:t>
      </w:r>
      <w:r>
        <w:t xml:space="preserve"> </w:t>
      </w:r>
      <w:r>
        <w:t xml:space="preserve">configuration hashes, and all 6 archived checkpoint hashes; it also records a 21-file current-code</w:t>
      </w:r>
      <w:r>
        <w:t xml:space="preserve"> </w:t>
      </w:r>
      <w:r>
        <w:t xml:space="preserve">snapshot. Historical runs that did not serialize full identity remain explicitly partial rather</w:t>
      </w:r>
      <w:r>
        <w:t xml:space="preserve"> </w:t>
      </w:r>
      <w:r>
        <w:t xml:space="preserve">than being backfilled. The release gate runs reconciliation tests, claim-ledger and result-manifest</w:t>
      </w:r>
      <w:r>
        <w:t xml:space="preserve"> </w:t>
      </w:r>
      <w:r>
        <w:t xml:space="preserve">validation, manuscript checks, LaTeX builds, checksum verification, and visual PDF inspection. Build</w:t>
      </w:r>
      <w:r>
        <w:t xml:space="preserve"> </w:t>
      </w:r>
      <w:r>
        <w:t xml:space="preserve">logs, the canonical manifest, the provenance seal, and the final PDFs are archived together.</w:t>
      </w:r>
    </w:p>
    <w:p>
      <w:pPr>
        <w:pStyle w:val="TableCaption"/>
        <w:widowControl/>
      </w:pPr>
      <w:r>
        <w:t xml:space="preserve">Table 27. Release-stage audit contract. Each stage has an explicit authority and a fail-stop</w:t>
      </w:r>
      <w:r>
        <w:t xml:space="preserve"> </w:t>
      </w:r>
      <w:r>
        <w:t xml:space="preserve">condition, preventing a mixed-generation or partially verified manuscript set from being</w:t>
      </w:r>
      <w:r>
        <w:t xml:space="preserve"> </w:t>
      </w:r>
      <w:r>
        <w:t xml:space="preserve">published as current.</w:t>
      </w:r>
    </w:p>
    <w:tbl>
      <w:tblPr>
        <w:tblStyle w:val="Table"/>
        <w:tblW w:type="dxa" w:w="9960"/>
        <w:jc w:val="left"/>
        <w:tblLayout w:type="fixed"/>
        <w:tblLook w:firstRow="1" w:lastRow="0" w:firstColumn="0" w:lastColumn="0" w:noHBand="0" w:noVBand="0" w:val="0020"/>
        <w:tblCaption w:val="Table 27. Release-stage audit contract. Each stage has an explicit authority and a fail-stop condition, preventing a mixed-generation or partially verified manuscript set from being published as current."/>
        <w:tblInd w:w="120" w:type="dxa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724"/>
        <w:gridCol w:w="4118"/>
        <w:gridCol w:w="4118"/>
      </w:tblGrid>
      <w:tr>
        <w:trPr>
          <w:tblHeader w:val="true"/>
          <w:cantSplit w:val="true"/>
        </w:trPr>
        <w:tc>
          <w:tcPr>
            <w:tcW w:w="17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Stage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Checked authority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  <w:shd w:fill="E8EEF5"/>
          </w:tcPr>
          <w:p>
            <w:pPr>
              <w:pStyle w:val="Compact"/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7"/>
              </w:rPr>
              <w:t>Failure response</w:t>
            </w:r>
          </w:p>
        </w:tc>
      </w:tr>
      <w:tr>
        <w:trPr>
          <w:cantSplit w:val="true"/>
        </w:trPr>
        <w:tc>
          <w:tcPr>
            <w:tcW w:w="17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Numerical reconciliation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canonical panel, source manifest, CCT manifest and receipt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stop on hash or claim mismatch</w:t>
            </w:r>
          </w:p>
        </w:tc>
      </w:tr>
      <w:tr>
        <w:trPr>
          <w:cantSplit w:val="true"/>
        </w:trPr>
        <w:tc>
          <w:tcPr>
            <w:tcW w:w="17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Source binding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reviewed source snapshot and release-role map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stop on missing or ambiguous identity</w:t>
            </w:r>
          </w:p>
        </w:tc>
      </w:tr>
      <w:tr>
        <w:trPr>
          <w:cantSplit w:val="true"/>
        </w:trPr>
        <w:tc>
          <w:tcPr>
            <w:tcW w:w="17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Compilation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four maintained TeX drivers from one source closure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stop on compile, reference, or overflow defect</w:t>
            </w:r>
          </w:p>
        </w:tc>
      </w:tr>
      <w:tr>
        <w:trPr>
          <w:cantSplit w:val="true"/>
        </w:trPr>
        <w:tc>
          <w:tcPr>
            <w:tcW w:w="17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Structure and anonymity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page structure, fonts, metadata, links, and anonymous TMLR author fields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reject malformed output or identity leakage</w:t>
            </w:r>
          </w:p>
        </w:tc>
      </w:tr>
      <w:tr>
        <w:trPr>
          <w:cantSplit w:val="true"/>
        </w:trPr>
        <w:tc>
          <w:tcPr>
            <w:tcW w:w="17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Visual inspection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fresh rendering of every maintained PDF page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repair clipping, blank regions, orphaned captions, or displaced floats</w:t>
            </w:r>
          </w:p>
        </w:tc>
      </w:tr>
      <w:tr>
        <w:trPr>
          <w:cantSplit w:val="true"/>
        </w:trPr>
        <w:tc>
          <w:tcPr>
            <w:tcW w:w="1724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Publication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exact four-PDF inventory and SHA-256 manifest</w:t>
            </w:r>
          </w:p>
        </w:tc>
        <w:tc>
          <w:tcPr>
            <w:tcW w:w="4118" w:type="dxa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pStyle w:val="Compact"/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sz w:val="17"/>
              </w:rPr>
              <w:t>publish atomically; never mix generations</w:t>
            </w:r>
          </w:p>
        </w:tc>
      </w:tr>
    </w:tbl>
    <w:p>
      <w:pPr>
        <w:pStyle w:val="BodyText"/>
        <w:widowControl/>
      </w:pPr>
      <w:r>
        <w:t xml:space="preserve">Repository URLs and author-identifying metadata must be withheld or redacted for a double-blind</w:t>
      </w:r>
      <w:r>
        <w:t xml:space="preserve"> </w:t>
      </w:r>
      <w:r>
        <w:t xml:space="preserve">venue. The local paths above describe artifact roles without providing a public identity link.</w:t>
      </w:r>
    </w:p>
    <w:bookmarkEnd w:id="146"/>
    <w:bookmarkEnd w:id="147"/>
    <w:sectPr>
      <w:footerReference w:type="default" r:id="rId10"/>
      <w:footnotePr>
        <w:numRestart w:val="eachSect"/>
      </w:footnotePr>
      <w:pgSz w:w="12240" w:h="15840"/>
      <w:pgMar w:top="1037" w:bottom="1037" w:left="1066" w:right="1066" w:header="504" w:foot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Times New Roman" w:hAnsi="Times New Roman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80" w:line="259" w:lineRule="auto"/>
    </w:pPr>
    <w:rPr>
      <w:rFonts w:ascii="Times New Roman" w:hAnsi="Times New Roman" w:eastAsia="Times New Roman" w:cs="Times New Roman"/>
      <w:color w:val="000000"/>
      <w:sz w:val="19"/>
    </w:rPr>
  </w:style>
  <w:style w:styleId="BodyText" w:type="paragraph">
    <w:name w:val="Body Text"/>
    <w:basedOn w:val="Normal"/>
    <w:link w:val="BodyTextChar"/>
    <w:qFormat/>
    <w:pPr>
      <w:spacing w:after="80" w:before="0" w:line="259" w:lineRule="auto"/>
    </w:pPr>
    <w:rPr>
      <w:rFonts w:ascii="Times New Roman" w:hAnsi="Times New Roman" w:eastAsia="Times New Roman" w:cs="Times New Roman"/>
      <w:color w:val="000000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before="0" w:after="80" w:line="259" w:lineRule="auto"/>
    </w:pPr>
    <w:rPr>
      <w:rFonts w:ascii="Times New Roman" w:hAnsi="Times New Roman" w:eastAsia="Times New Roman" w:cs="Times New Roman"/>
      <w:color w:val="000000"/>
      <w:sz w:val="19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100" w:line="252" w:lineRule="auto" w:before="0"/>
      <w:contextualSpacing/>
      <w:jc w:val="center"/>
    </w:pPr>
    <w:rPr>
      <w:rFonts w:asciiTheme="majorHAnsi" w:cstheme="majorBidi" w:eastAsiaTheme="majorEastAsia" w:hAnsiTheme="majorHAnsi" w:ascii="Times New Roman" w:hAnsi="Times New Roman" w:eastAsia="Times New Roman" w:cs="Times New Roman"/>
      <w:b/>
      <w:i w:val="0"/>
      <w:color w:val="000000"/>
      <w:sz w:val="3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before="0" w:after="140" w:line="252" w:lineRule="auto"/>
      <w:jc w:val="center"/>
    </w:pPr>
    <w:rPr>
      <w:rFonts w:ascii="Times New Roman" w:hAnsi="Times New Roman" w:eastAsia="Times New Roman" w:cs="Times New Roman"/>
      <w:b w:val="0"/>
      <w:i w:val="0"/>
      <w:color w:val="000000"/>
      <w:sz w:val="19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40" w:before="100" w:line="252" w:lineRule="auto"/>
      <w:jc w:val="center"/>
    </w:pPr>
    <w:rPr>
      <w:rFonts w:ascii="Times New Roman" w:hAnsi="Times New Roman" w:eastAsia="Times New Roman" w:cs="Times New Roman"/>
      <w:b/>
      <w:i w:val="0"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0" w:line="252" w:lineRule="auto"/>
      <w:jc w:val="both"/>
    </w:pPr>
    <w:rPr>
      <w:rFonts w:ascii="Times New Roman" w:hAnsi="Times New Roman" w:eastAsia="Times New Roman" w:cs="Times New Roman"/>
      <w:b w:val="0"/>
      <w:i w:val="0"/>
      <w:color w:val="000000"/>
      <w:sz w:val="18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20" w:line="252" w:lineRule="auto"/>
      <w:outlineLvl w:val="0"/>
    </w:pPr>
    <w:rPr>
      <w:rFonts w:asciiTheme="majorHAnsi" w:cstheme="majorBidi" w:eastAsiaTheme="majorEastAsia" w:hAnsiTheme="majorHAnsi" w:ascii="Times New Roman" w:hAnsi="Times New Roman" w:eastAsia="Times New Roman" w:cs="Times New Roman"/>
      <w:b/>
      <w:i w:val="0"/>
      <w:color w:val="000000"/>
      <w:sz w:val="2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80" w:line="252" w:lineRule="auto"/>
      <w:outlineLvl w:val="1"/>
    </w:pPr>
    <w:rPr>
      <w:rFonts w:asciiTheme="majorHAnsi" w:cstheme="majorBidi" w:eastAsiaTheme="majorEastAsia" w:hAnsiTheme="majorHAnsi" w:ascii="Times New Roman" w:hAnsi="Times New Roman" w:eastAsia="Times New Roman" w:cs="Times New Roman"/>
      <w:b/>
      <w:i w:val="0"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40" w:line="252" w:lineRule="auto"/>
      <w:outlineLvl w:val="2"/>
    </w:pPr>
    <w:rPr>
      <w:rFonts w:cstheme="majorBidi" w:eastAsiaTheme="majorEastAsia" w:ascii="Times New Roman" w:hAnsi="Times New Roman" w:eastAsia="Times New Roman" w:cs="Times New Roman"/>
      <w:b/>
      <w:i w:val="0"/>
      <w:color w:val="000000"/>
      <w:sz w:val="20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20" w:before="100" w:line="252" w:lineRule="auto"/>
      <w:outlineLvl w:val="3"/>
    </w:pPr>
    <w:rPr>
      <w:rFonts w:cstheme="majorBidi" w:eastAsiaTheme="majorEastAsia" w:ascii="Times New Roman" w:hAnsi="Times New Roman" w:eastAsia="Times New Roman" w:cs="Times New Roman"/>
      <w:b/>
      <w:i w:val="0"/>
      <w:iCs/>
      <w:color w:val="000000"/>
      <w:sz w:val="19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before="100" w:after="60" w:line="240" w:lineRule="auto"/>
      <w:jc w:val="center"/>
    </w:pPr>
    <w:rPr>
      <w:rFonts w:ascii="Times New Roman" w:hAnsi="Times New Roman" w:eastAsia="Times New Roman" w:cs="Times New Roman"/>
      <w:b w:val="0"/>
      <w:i/>
      <w:color w:val="000000"/>
      <w:sz w:val="16"/>
    </w:rPr>
  </w:style>
  <w:style w:customStyle="1" w:styleId="ImageCaption" w:type="paragraph">
    <w:name w:val="Image Caption"/>
    <w:basedOn w:val="Caption"/>
    <w:pPr>
      <w:spacing w:before="40" w:after="120" w:line="240" w:lineRule="auto"/>
      <w:jc w:val="center"/>
    </w:pPr>
    <w:rPr>
      <w:rFonts w:ascii="Times New Roman" w:hAnsi="Times New Roman" w:eastAsia="Times New Roman" w:cs="Times New Roman"/>
      <w:b w:val="0"/>
      <w:i/>
      <w:color w:val="000000"/>
      <w:sz w:val="16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40" w:after="80" w:line="240" w:lineRule="auto"/>
    </w:pPr>
    <w:rPr>
      <w:rFonts w:ascii="Courier New" w:hAnsi="Courier New" w:eastAsia="Courier New" w:cs="Courier New"/>
      <w:b w:val="0"/>
      <w:i w:val="0"/>
      <w:color w:val="000000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9" Type="http://schemas.openxmlformats.org/officeDocument/2006/relationships/image" Target="media/rId29.png"/><Relationship Id="rId69" Type="http://schemas.openxmlformats.org/officeDocument/2006/relationships/hyperlink" Target="https://doi.org/10.52202/079017-3820" TargetMode="External"/><Relationship Id="rId67" Type="http://schemas.openxmlformats.org/officeDocument/2006/relationships/hyperlink" Target="https://proceedings.mlr.press/v267/chen25ch.html" TargetMode="External"/><Relationship Id="rId68" Type="http://schemas.openxmlformats.org/officeDocument/2006/relationships/hyperlink" Target="https://proceedings.mlr.press/v9/david10a.html" TargetMode="Externa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doi.org/10.52202/079017-3820" TargetMode="External"/><Relationship Id="rId67" Type="http://schemas.openxmlformats.org/officeDocument/2006/relationships/hyperlink" Target="https://proceedings.mlr.press/v267/chen25ch.html" TargetMode="External"/><Relationship Id="rId68" Type="http://schemas.openxmlformats.org/officeDocument/2006/relationships/hyperlink" Target="https://proceedings.mlr.press/v9/david10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SharedDoc>false</SharedDoc>
  <HyperlinksChanged>false</HyperlinksChanged>
  <AppVersion>12.0000</AppVersion>
  <LinksUpToDate>false</LinksUpToDate>
  <Application>Microsoft Word 12.0.0</Application>
  <Template>Normal.dotm</Template>
  <DocSecurity>0</DocSecurity>
  <TotalTime>6</TotalTime>
  <ScaleCrop>false</ScaleCrop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K-Bound: When Is Label-Free Adaptation Knowable?</dc:title>
  <dc:creator>Pratik Niroula</dc:creator>
  <cp:keywords>test-time adaptation, distribution shift, K-Bound, KGA</cp:keywords>
  <dcterms:created xsi:type="dcterms:W3CDTF">2026-09-08T14:28:31Z</dcterms:created>
  <dcterms:modified xsi:type="dcterms:W3CDTF">2026-09-08T14:28:31Z</dcterms:modified>
  <dc:subject>Editable Word version of the final compact K-Bound manuscript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 unlabeled adaptation procedure can produce an update without establishing that deploying it will help. We study when the available evidence supports ADAPT, FREEZE, or ABSTAIN for a fixed model pair. For binary 0/1 loss and positive disagreement mass, K-Bound characterizes the exact compatible-benefit interval under a declared bound \beta on a hidden target calibration residual. In the full label-kernel class, a strict direction is uniformly justified exactly when |M|&gt;\beta, where M is the observable disagreement margin. A complementary evidence-fibre theorem gives the smallest residual bound that any uniformly valid audit of the same information must cover. Additional processing cannot remove ambiguity left by that information. Knowability-Guided Adaptation (KGA) addresses a separate empirical target: the measured score difference between a candidate and its frozen baseline on an evaluation cell. Labeled development and disjoint residual-calibration cells fit its benefit predictor and error interval; the action uses no scored-cell outcome. On the opened, dependent six-family CIFAR-10-C diagnostic, Tent and EATA have lower point regret than both fixed policies. Tent makes 2 false ADAPT decisions among 1,091 ADAPT actions and 1 false FREEZE among 337 FREEZE actions; EATA makes neither error among 1,207 ADAPT and 105 FREEZE actions. SAR instead favors always-adapt. On CCT-20, all 45 cells retain the frozen model, including one false FREEZE; five-checkpoint DomainNet development evaluation yields universal abstention. Thus these natural-shift studies support conservative retention, not useful selective routing. The theory distinguishes structural ambiguity from prediction uncertainty; the experiments do not establish coverage or population protection on unseen shifts.</vt:lpwstr>
  </property>
  <property fmtid="{D5CDD505-2E9C-101B-9397-08002B2CF9AE}" pid="3" name="date">
    <vt:lpwstr/>
  </property>
</Properties>
</file>