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  <w:widowControl/>
      </w:pPr>
      <w:r>
        <w:rPr>
          <w:b/>
          <w:bCs/>
        </w:rPr>
        <w:t xml:space="preserve">K-Bound: When Is Label-Free Adaptation Knowable?</w:t>
      </w:r>
      <w:r>
        <w:br/>
      </w:r>
      <w:r>
        <w:t xml:space="preserve">Helpful, Harmful, and Unknowable Regimes Under Distribution Shift</w:t>
      </w:r>
    </w:p>
    <w:p>
      <w:pPr>
        <w:pStyle w:val="Author"/>
        <w:widowControl/>
      </w:pPr>
      <w:r>
        <w:t xml:space="preserve">Pratik Niroula</w:t>
      </w:r>
      <w:r>
        <w:br/>
      </w:r>
      <w:r>
        <w:t xml:space="preserve">Minnesota State University, Mankato</w:t>
      </w:r>
      <w:r>
        <w:br/>
      </w:r>
      <w:r>
        <w:rPr>
          <w:rStyle w:val="VerbatimChar"/>
        </w:rPr>
        <w:t xml:space="preserve">pratik.niroula@mnsu.edu</w:t>
      </w:r>
    </w:p>
    <w:p>
      <w:pPr>
        <w:pStyle w:val="AbstractTitle"/>
        <w:widowControl/>
      </w:pPr>
      <w:r>
        <w:t xml:space="preserve">Abstract</w:t>
      </w:r>
    </w:p>
    <w:p>
      <w:pPr>
        <w:pStyle w:val="Abstract"/>
        <w:widowControl/>
      </w:pPr>
      <w:r>
        <w:t xml:space="preserve">Test-time adaptation updates a deployed model without target labels, but an update can help or</w:t>
      </w:r>
      <w:r>
        <w:t xml:space="preserve"> </w:t>
      </w:r>
      <w:r>
        <w:t xml:space="preserve">harm. K-Bound asks the decision that comes first: when does label-free evidence justify replacing a</w:t>
      </w:r>
      <w:r>
        <w:t xml:space="preserve"> </w:t>
      </w:r>
      <w:r>
        <w:t xml:space="preserve">frozen model with an adapted candidate? It allows three actions—ADAPT, FREEZE, and ABSTAIN—for</w:t>
      </w:r>
      <w:r>
        <w:t xml:space="preserve"> </w:t>
      </w:r>
      <w:r>
        <w:t xml:space="preserve">the benefit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R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sSub>
          <m:e>
            <m:r>
              <m:t>f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</m:oMath>
      <w:r>
        <w:t xml:space="preserve">. In a binary disagreement model,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=</m:t>
        </m:r>
        <m:r>
          <m:t>2</m:t>
        </m:r>
        <m:sSub>
          <m:e>
            <m:r>
              <m:t>μ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γ</m:t>
        </m:r>
        <m:r>
          <m:rPr>
            <m:sty m:val="p"/>
          </m:rPr>
          <m:t>)</m:t>
        </m:r>
      </m:oMath>
      <w:r>
        <w:t xml:space="preserve"> </w:t>
      </w:r>
      <w:r>
        <w:t xml:space="preserve">separates an observable margin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from hidden calibration drift</w:t>
      </w:r>
      <w:r>
        <w:t xml:space="preserve"> </w:t>
      </w:r>
      <m:oMath>
        <m:r>
          <m:t>γ</m:t>
        </m:r>
      </m:oMath>
      <w:r>
        <w:t xml:space="preserve">. If the declared class satisfies</w:t>
      </w:r>
      <w:r>
        <w:t xml:space="preserve"> </w:t>
      </w:r>
      <m:oMath>
        <m:r>
          <m:rPr>
            <m:sty m:val="p"/>
          </m:rPr>
          <m:t>|</m:t>
        </m:r>
        <m:r>
          <m:t>γ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β</m:t>
        </m:r>
      </m:oMath>
      <w:r>
        <w:t xml:space="preserve">, a strict population action is</w:t>
      </w:r>
      <w:r>
        <w:t xml:space="preserve"> </w:t>
      </w:r>
      <w:r>
        <w:t xml:space="preserve">uniformly supportable exactly when</w:t>
      </w:r>
      <w:r>
        <w:t xml:space="preserve"> </w:t>
      </w:r>
      <m:oMath>
        <m:r>
          <m:rPr>
            <m:sty m:val="p"/>
          </m:rPr>
          <m:t>|</m:t>
        </m:r>
        <m:r>
          <m:t>M</m:t>
        </m:r>
        <m:r>
          <m:rPr>
            <m:sty m:val="p"/>
          </m:rPr>
          <m:t>|</m:t>
        </m:r>
        <m:r>
          <m:rPr>
            <m:sty m:val="p"/>
          </m:rPr>
          <m:t>&gt;</m:t>
        </m:r>
        <m:r>
          <m:t>β</m:t>
        </m:r>
      </m:oMath>
      <w:r>
        <w:t xml:space="preserve">. Throughout the closed band</w:t>
      </w:r>
      <w:r>
        <w:t xml:space="preserve"> </w:t>
      </w:r>
      <m:oMath>
        <m:r>
          <m:rPr>
            <m:sty m:val="p"/>
          </m:rPr>
          <m:t>|</m:t>
        </m:r>
        <m:r>
          <m:t>M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β</m:t>
        </m:r>
      </m:oMath>
      <w:r>
        <w:t xml:space="preserve">, the same</w:t>
      </w:r>
      <w:r>
        <w:t xml:space="preserve"> </w:t>
      </w:r>
      <w:r>
        <w:t xml:space="preserve">label-free evidence does not uniformly support either strict action. Without added labels or a stated</w:t>
      </w:r>
      <w:r>
        <w:t xml:space="preserve"> </w:t>
      </w:r>
      <w:r>
        <w:t xml:space="preserve">coupling, the same label-free evidence cannot shrink the unresolved drift budget. The</w:t>
      </w:r>
      <w:r>
        <w:t xml:space="preserve"> </w:t>
      </w:r>
      <w:r>
        <w:t xml:space="preserve">practical method, Knowability-Guided Adaptation (</w:t>
      </w:r>
      <w:r>
        <w:rPr>
          <w:smallCaps/>
        </w:rPr>
        <w:t xml:space="preserve">KGA</w:t>
      </w:r>
      <w:r>
        <w:t xml:space="preserve">), is separate: it predicts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and acts</w:t>
      </w:r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Δ</m:t>
            </m:r>
          </m:e>
        </m:acc>
        <m:r>
          <m:rPr>
            <m:sty m:val="p"/>
          </m:rPr>
          <m:t>±</m:t>
        </m:r>
        <m:r>
          <m:t>ε</m:t>
        </m:r>
      </m:oMath>
      <w:r>
        <w:t xml:space="preserve"> </w:t>
      </w:r>
      <w:r>
        <w:t xml:space="preserve">excludes zero. 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an empirical</w:t>
      </w:r>
      <w:r>
        <w:t xml:space="preserve"> </w:t>
      </w:r>
      <w:r>
        <w:t xml:space="preserve">uncertainty radius, not an estimate of</w:t>
      </w:r>
      <w:r>
        <w:t xml:space="preserve"> </w:t>
      </w:r>
      <m:oMath>
        <m:r>
          <m:t>β</m:t>
        </m:r>
      </m:oMath>
      <w:r>
        <w:t xml:space="preserve">.</w:t>
      </w:r>
      <w:r>
        <w:t xml:space="preserve"> </w:t>
      </w:r>
      <w:r>
        <w:t xml:space="preserve">On controlled CIFAR-10-C, reconciled results give point gains for Tent and EATA. Tent also has</w:t>
      </w:r>
      <w:r>
        <w:t xml:space="preserve"> </w:t>
      </w:r>
      <w:r>
        <w:t xml:space="preserve">positive ordinary intervals over six corruption families, but its preregistered six-comparison Holm</w:t>
      </w:r>
      <w:r>
        <w:t xml:space="preserve"> </w:t>
      </w:r>
      <w:r>
        <w:t xml:space="preserve">values are</w:t>
      </w:r>
      <w:r>
        <w:t xml:space="preserve"> </w:t>
      </w:r>
      <m:oMath>
        <m:r>
          <m:t>0.09375</m:t>
        </m:r>
      </m:oMath>
      <w:r>
        <w:t xml:space="preserve">, so we make no confirmatory win claim. On the locked CCT-20 camera-location</w:t>
      </w:r>
      <w:r>
        <w:t xml:space="preserve"> </w:t>
      </w:r>
      <w:r>
        <w:t xml:space="preserve">shift, 5 checkpoints across 9 locations produced</w:t>
      </w:r>
      <w:r>
        <w:t xml:space="preserve"> </w:t>
      </w:r>
      <w:r>
        <w:t xml:space="preserve">45 cells. KGA made 44 FREEZE, 1 ABSTAIN, and</w:t>
      </w:r>
      <w:r>
        <w:t xml:space="preserve"> </w:t>
      </w:r>
      <w:r>
        <w:t xml:space="preserve">0 ADAPT decisions. It matched always freeze, and its mean accuracy was</w:t>
      </w:r>
      <w:r>
        <w:t xml:space="preserve"> </w:t>
      </w:r>
      <w:r>
        <w:t xml:space="preserve">0.18190227 higher than always adapt. It did not support the predeclared stronger claim.</w:t>
      </w:r>
      <w:r>
        <w:t xml:space="preserve"> </w:t>
      </w:r>
      <w:r>
        <w:t xml:space="preserve">This is a safe-utility result, not evidence of selective natural-shift routing. K-Bound is a</w:t>
      </w:r>
      <w:r>
        <w:t xml:space="preserve"> </w:t>
      </w:r>
      <w:r>
        <w:t xml:space="preserve">validity and rollback layer, not a universal accuracy booster.</w:t>
      </w:r>
    </w:p>
    <w:p>
      <w:pPr>
        <w:pStyle w:val="FirstParagraph"/>
        <w:widowControl/>
      </w:pPr>
      <w:r>
        <w:rPr>
          <w:b/>
          <w:bCs/>
        </w:rPr>
        <w:t xml:space="preserve">Keywords:</w:t>
      </w:r>
      <w:r>
        <w:t xml:space="preserve"> </w:t>
      </w:r>
      <w:r>
        <w:t xml:space="preserve">test-time adaptation; abstention; distribution shift;</w:t>
      </w:r>
      <w:r>
        <w:t xml:space="preserve"> </w:t>
      </w:r>
      <w:r>
        <w:t xml:space="preserve">label-free risk estimation; conformal calibration; selective decisions.</w:t>
      </w:r>
    </w:p>
    <w:bookmarkStart w:id="16" w:name="introduction"/>
    <w:p>
      <w:pPr>
        <w:pStyle w:val="Heading1"/>
        <w:widowControl/>
      </w:pPr>
      <w:r>
        <w:t xml:space="preserve">Introduction</w:t>
      </w:r>
    </w:p>
    <w:bookmarkStart w:id="9" w:name="X8ae5be1e819d596acd88d43dfebef005477fb6f"/>
    <w:p>
      <w:pPr>
        <w:pStyle w:val="Heading2"/>
        <w:widowControl/>
      </w:pPr>
      <w:r>
        <w:t xml:space="preserve">From Test-Time Adaptation to Update Commitment</w:t>
      </w:r>
    </w:p>
    <w:p>
      <w:pPr>
        <w:pStyle w:val="FirstParagraph"/>
        <w:widowControl/>
      </w:pPr>
      <w:r>
        <w:t xml:space="preserve">Test-time adaptation updates a model using an unlabeled deployment batch. Under a favorable shift,</w:t>
      </w:r>
      <w:r>
        <w:t xml:space="preserve"> </w:t>
      </w:r>
      <w:r>
        <w:t xml:space="preserve">methods such as entropy minimization, filtering, regularization, and sharpness-aware updates can</w:t>
      </w:r>
      <w:r>
        <w:t xml:space="preserve"> </w:t>
      </w:r>
      <w:r>
        <w:t xml:space="preserve">recover lost accuracy. Under an unfavorable shift, the same methods can amplify collapse,</w:t>
      </w:r>
      <w:r>
        <w:t xml:space="preserve"> </w:t>
      </w:r>
      <w:r>
        <w:t xml:space="preserve">confirmation bias, or sensitivity to batch composition</w:t>
      </w:r>
      <w:r>
        <w:t xml:space="preserve"> </w:t>
      </w:r>
      <w:r>
        <w:t xml:space="preserve"> [1, 4–6]. The practical question is therefore not</w:t>
      </w:r>
      <w:r>
        <w:t xml:space="preserve"> </w:t>
      </w:r>
      <w:r>
        <w:t xml:space="preserve">only how to adapt. Before changing the deployed model, a system must decide whether the proposed</w:t>
      </w:r>
      <w:r>
        <w:t xml:space="preserve"> </w:t>
      </w:r>
      <w:r>
        <w:t xml:space="preserve">update should be accepted at all.</w:t>
      </w:r>
    </w:p>
    <w:bookmarkEnd w:id="9"/>
    <w:bookmarkStart w:id="13" w:name="k-bound-in-one-view"/>
    <w:p>
      <w:pPr>
        <w:pStyle w:val="Heading2"/>
        <w:widowControl/>
      </w:pPr>
      <w:r>
        <w:t xml:space="preserve">K-Bound in One View</w:t>
      </w:r>
    </w:p>
    <w:p>
      <w:pPr>
        <w:pStyle w:val="FirstParagraph"/>
        <w:widowControl/>
      </w:pP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frozen predictor and</w:t>
      </w:r>
      <w:r>
        <w:t xml:space="preserve"> </w:t>
      </w:r>
      <m:oMath>
        <m:sSub>
          <m:e>
            <m:r>
              <m:t>f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 candidate produced in shadow state. We define</w:t>
      </w:r>
      <w:r>
        <w:t xml:space="preserve"> </w:t>
      </w:r>
      <w:r>
        <w:t xml:space="preserve">adaptation benefit as</w:t>
      </w:r>
    </w:p>
    <w:p>
      <w:pPr>
        <w:pStyle w:val="BodyText"/>
        <w:widowControl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f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f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(1)</m:t>
          </m:r>
        </m:oMath>
      </m:oMathPara>
    </w:p>
    <w:p>
      <w:pPr>
        <w:pStyle w:val="FirstParagraph"/>
        <w:widowControl/>
      </w:pPr>
      <w:r>
        <w:t xml:space="preserve">Positive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means that adaptation helps; negative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means that it harms. K-Bound keeps</w:t>
      </w:r>
      <w:r>
        <w:t xml:space="preserve"> </w:t>
      </w:r>
      <w:r>
        <w:t xml:space="preserve">uncertainty visible through three actions: ADAPT when the evidence supports benefit, FREEZE when</w:t>
      </w:r>
      <w:r>
        <w:t xml:space="preserve"> </w:t>
      </w:r>
      <w:r>
        <w:t xml:space="preserve">it supports harm, and ABSTAIN when neither direction is clear. Freeze and abstain both retain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, but they record different conclusions. Freeze supports a negative benefit. Abstention says</w:t>
      </w:r>
      <w:r>
        <w:t xml:space="preserve"> </w:t>
      </w:r>
      <w:r>
        <w:t xml:space="preserve">only that the available evidence does not support a strict direction.</w:t>
      </w:r>
    </w:p>
    <w:p>
      <w:pPr>
        <w:pStyle w:val="CaptionedFigure"/>
        <w:widowControl/>
        <w:jc w:val="center"/>
      </w:pPr>
      <w:r>
        <w:drawing>
          <wp:inline>
            <wp:extent cx="4267200" cy="1584960"/>
            <wp:effectExtent b="0" l="0" r="0" t="0"/>
            <wp:docPr descr="K-Bound decision flow from shadow candidate generation to adapt, freeze, or abstain." title="K-Bound decision flow from shadow candidate generation to adapt, freeze, or abstain" id="11" name="Picture"/>
            <a:graphic>
              <a:graphicData uri="http://schemas.openxmlformats.org/drawingml/2006/picture">
                <pic:pic>
                  <pic:nvPicPr>
                    <pic:cNvPr descr="figures/fig_decision_flow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15849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widowControl/>
      </w:pPr>
      <w:r>
        <w:t xml:space="preserve">Figure 1. Practical KGA workflow. The adapter proposes</w:t>
      </w:r>
      <w:r>
        <w:t xml:space="preserve"> </w:t>
      </w:r>
      <m:oMath>
        <m:sSub>
          <m:e>
            <m:r>
              <m:t>f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in shadow state; KGA evaluates</w:t>
      </w:r>
      <w:r>
        <w:t xml:space="preserve"> </w:t>
      </w:r>
      <w:r>
        <w:t xml:space="preserve">label-free evidence, estimates benefit, and commits only if its finite-sample interval excludes</w:t>
      </w:r>
      <w:r>
        <w:t xml:space="preserve"> </w:t>
      </w:r>
      <w:r>
        <w:t xml:space="preserve">zero. This interval rule is distinct from the population</w:t>
      </w:r>
      <w:r>
        <w:t xml:space="preserve"> 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r>
          <m:t>γ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frontier.</w:t>
      </w:r>
    </w:p>
    <w:p>
      <w:pPr>
        <w:pStyle w:val="BodyText"/>
        <w:widowControl/>
      </w:pPr>
      <w:r>
        <w:t xml:space="preserve">K-Bound has two layers. The first is a population result: given an explicit limit on hidden target</w:t>
      </w:r>
      <w:r>
        <w:t xml:space="preserve"> </w:t>
      </w:r>
      <w:r>
        <w:t xml:space="preserve">drift, can any strict action be justified for every target distribution allowed by that limit? The</w:t>
      </w:r>
      <w:r>
        <w:t xml:space="preserve"> </w:t>
      </w:r>
      <w:r>
        <w:t xml:space="preserve">second is a practical certificate: for the current deployment unit, is an estimated benefit far</w:t>
      </w:r>
      <w:r>
        <w:t xml:space="preserve"> </w:t>
      </w:r>
      <w:r>
        <w:t xml:space="preserve">enough from zero to support an action? The first layer uses</w:t>
      </w:r>
      <w:r>
        <w:t xml:space="preserve"> 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r>
          <m:t>γ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; the second uses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̂"/>
          </m:accPr>
          <m:e>
            <m:r>
              <m:rPr>
                <m:sty m:val="p"/>
              </m:rPr>
              <m:t>Δ</m:t>
            </m:r>
          </m:e>
        </m:acc>
        <m:r>
          <m:rPr>
            <m:sty m:val="p"/>
          </m:rPr>
          <m:t>,</m:t>
        </m:r>
        <m:r>
          <m:t>ε</m:t>
        </m:r>
        <m:r>
          <m:rPr>
            <m:sty m:val="p"/>
          </m:rPr>
          <m:t>)</m:t>
        </m:r>
      </m:oMath>
      <w:r>
        <w:t xml:space="preserve">. They study the same benefit but answer different questions. We keep</w:t>
      </w:r>
      <w:r>
        <w:t xml:space="preserve"> </w:t>
      </w:r>
      <w:r>
        <w:t xml:space="preserve">them separate because an empirical uncertainty radius cannot establish a population drift bound.</w:t>
      </w:r>
    </w:p>
    <w:bookmarkEnd w:id="13"/>
    <w:bookmarkStart w:id="14" w:name="main-contributions"/>
    <w:p>
      <w:pPr>
        <w:pStyle w:val="Heading2"/>
        <w:widowControl/>
      </w:pPr>
      <w:r>
        <w:t xml:space="preserve">Main Contributions</w:t>
      </w:r>
    </w:p>
    <w:p>
      <w:pPr>
        <w:pStyle w:val="FirstParagraph"/>
        <w:widowControl/>
      </w:pPr>
      <w:r>
        <w:t xml:space="preserve">This compact paper makes five claims.</w:t>
      </w:r>
    </w:p>
    <w:p>
      <w:pPr>
        <w:widowControl/>
        <w:numPr>
          <w:ilvl w:val="0"/>
          <w:numId w:val="1001"/>
        </w:numPr>
      </w:pPr>
      <w:r>
        <w:t xml:space="preserve">It formulates label-free TTA as an adapt/freeze/abstain decision about the paired risk</w:t>
      </w:r>
      <w:r>
        <w:t xml:space="preserve"> </w:t>
      </w:r>
      <w:r>
        <w:t xml:space="preserve">difference in Eq. (1).</w:t>
      </w:r>
    </w:p>
    <w:p>
      <w:pPr>
        <w:widowControl/>
        <w:numPr>
          <w:ilvl w:val="0"/>
          <w:numId w:val="1001"/>
        </w:numPr>
      </w:pPr>
      <w:r>
        <w:t xml:space="preserve">It gives an exact strict-commitment frontier over a declared calibration-drift class,</w:t>
      </w:r>
      <w:r>
        <w:t xml:space="preserve"> </w:t>
      </w:r>
      <w:r>
        <w:t xml:space="preserve">with separate interior and boundary arguments, and an exact audit floor for what the same</w:t>
      </w:r>
      <w:r>
        <w:t xml:space="preserve"> </w:t>
      </w:r>
      <w:r>
        <w:t xml:space="preserve">label-free evidence cannot identify.</w:t>
      </w:r>
    </w:p>
    <w:p>
      <w:pPr>
        <w:widowControl/>
        <w:numPr>
          <w:ilvl w:val="0"/>
          <w:numId w:val="1001"/>
        </w:numPr>
      </w:pPr>
      <w:r>
        <w:t xml:space="preserve">It states a coverage-based finite-sample certificate that controls marginal false</w:t>
      </w:r>
      <w:r>
        <w:t xml:space="preserve"> </w:t>
      </w:r>
      <w:r>
        <w:t xml:space="preserve">commitments, while distinguishing marginal from conditional error.</w:t>
      </w:r>
    </w:p>
    <w:p>
      <w:pPr>
        <w:widowControl/>
        <w:numPr>
          <w:ilvl w:val="0"/>
          <w:numId w:val="1001"/>
        </w:numPr>
      </w:pPr>
      <w:r>
        <w:t xml:space="preserve">It presents KGA as an adapter-specific, rollback-capable wrapper and gives the direct</w:t>
      </w:r>
      <w:r>
        <w:t xml:space="preserve"> </w:t>
      </w:r>
      <w:r>
        <w:t xml:space="preserve">logical bridge from the population functional to the empirical estimand.</w:t>
      </w:r>
    </w:p>
    <w:p>
      <w:pPr>
        <w:widowControl/>
        <w:numPr>
          <w:ilvl w:val="0"/>
          <w:numId w:val="1001"/>
        </w:numPr>
      </w:pPr>
      <w:r>
        <w:t xml:space="preserve">It reports a source-hashed, reconciled empirical panel with controlled mixed regimes,</w:t>
      </w:r>
      <w:r>
        <w:t xml:space="preserve"> </w:t>
      </w:r>
      <w:r>
        <w:t xml:space="preserve">natural shifts, and negative diagnostics under one decision rule and one metric vocabulary.</w:t>
      </w:r>
    </w:p>
    <w:bookmarkEnd w:id="14"/>
    <w:bookmarkStart w:id="15" w:name="empirical-scope-and-nonclaims"/>
    <w:p>
      <w:pPr>
        <w:pStyle w:val="Heading2"/>
        <w:widowControl/>
      </w:pPr>
      <w:r>
        <w:t xml:space="preserve">Empirical Scope and Nonclaims</w:t>
      </w:r>
    </w:p>
    <w:p>
      <w:pPr>
        <w:pStyle w:val="FirstParagraph"/>
        <w:widowControl/>
      </w:pPr>
      <w:r>
        <w:t xml:space="preserve">A router can beat both fixed policies only when some updates help, others harm, and the evidence</w:t>
      </w:r>
      <w:r>
        <w:t xml:space="preserve"> </w:t>
      </w:r>
      <w:r>
        <w:t xml:space="preserve">separates the two groups. Controlled CIFAR-10-C provides exact-rank point gains for Tent and EATA,</w:t>
      </w:r>
      <w:r>
        <w:t xml:space="preserve"> </w:t>
      </w:r>
      <w:r>
        <w:t xml:space="preserve">while SAR is negative. In a retrospective current-policy sensitivity over six observed corruption</w:t>
      </w:r>
      <w:r>
        <w:t xml:space="preserve"> </w:t>
      </w:r>
      <w:r>
        <w:t xml:space="preserve">families, Tent has positive ordinary family-bootstrap intervals against both fixed policies. The</w:t>
      </w:r>
      <w:r>
        <w:t xml:space="preserve"> </w:t>
      </w:r>
      <w:r>
        <w:t xml:space="preserve">within-Tent two-contrast Holm values are post hoc, however, and the preregistered six-comparison</w:t>
      </w:r>
      <w:r>
        <w:t xml:space="preserve"> </w:t>
      </w:r>
      <w:r>
        <w:t xml:space="preserve">Holm adjustment gives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0.09375</m:t>
        </m:r>
      </m:oMath>
      <w:r>
        <w:t xml:space="preserve"> </w:t>
      </w:r>
      <w:r>
        <w:t xml:space="preserve">for both Tent contrasts. We therefore make no cluster-robust or</w:t>
      </w:r>
      <w:r>
        <w:t xml:space="preserve"> </w:t>
      </w:r>
      <w:r>
        <w:t xml:space="preserve">confirmatory win claim. Office-Home, Camelyon17, and RxRx1 mainly provide descriptive no-harm or</w:t>
      </w:r>
      <w:r>
        <w:t xml:space="preserve"> </w:t>
      </w:r>
      <w:r>
        <w:t xml:space="preserve">one-sided evidence. iWildCam remains withheld pending an official-metric, population-sealed rerun.</w:t>
      </w:r>
      <w:r>
        <w:t xml:space="preserve"> </w:t>
      </w:r>
      <w:r>
        <w:t xml:space="preserve">PACS, ImageNet-R, CIFAR-10.1, and several ImageNet-C candidate rows are null or negative. These rows</w:t>
      </w:r>
      <w:r>
        <w:t xml:space="preserve"> </w:t>
      </w:r>
      <w:r>
        <w:t xml:space="preserve">remain visible because K-Bound is a validity and rollback layer, not a universal accuracy booster.</w:t>
      </w:r>
    </w:p>
    <w:p>
      <w:pPr>
        <w:pStyle w:val="BodyText"/>
        <w:widowControl/>
      </w:pPr>
      <w:r>
        <w:t xml:space="preserve">Sections 3–6 define the decision and its two theoretical</w:t>
      </w:r>
      <w:r>
        <w:t xml:space="preserve"> </w:t>
      </w:r>
      <w:r>
        <w:t xml:space="preserve">layers. Sections 7–8 describe the evidence and</w:t>
      </w:r>
      <w:r>
        <w:t xml:space="preserve"> </w:t>
      </w:r>
      <w:r>
        <w:t xml:space="preserve">results. The remaining sections explain sensitivity, limitations, reproducibility, and the exact</w:t>
      </w:r>
      <w:r>
        <w:t xml:space="preserve"> </w:t>
      </w:r>
      <w:r>
        <w:t xml:space="preserve">scope of each claim.</w:t>
      </w:r>
    </w:p>
    <w:bookmarkEnd w:id="15"/>
    <w:bookmarkEnd w:id="16"/>
    <w:bookmarkStart w:id="23" w:name="related-work"/>
    <w:p>
      <w:pPr>
        <w:pStyle w:val="Heading1"/>
        <w:widowControl/>
      </w:pPr>
      <w:r>
        <w:t xml:space="preserve">Related Work</w:t>
      </w:r>
    </w:p>
    <w:bookmarkStart w:id="17" w:name="test-time-adaptation"/>
    <w:p>
      <w:pPr>
        <w:pStyle w:val="Heading2"/>
        <w:widowControl/>
      </w:pPr>
      <w:r>
        <w:t xml:space="preserve">Test-Time Adaptation</w:t>
      </w:r>
    </w:p>
    <w:p>
      <w:pPr>
        <w:pStyle w:val="FirstParagraph"/>
        <w:widowControl/>
      </w:pPr>
      <w:r>
        <w:t xml:space="preserve">Tent, EATA, SAR, CoTTA, MEMO, SHOT, and test-time training improve the update mechanism through</w:t>
      </w:r>
      <w:r>
        <w:t xml:space="preserve"> </w:t>
      </w:r>
      <w:r>
        <w:t xml:space="preserve">entropy minimization, filtering, regularization, temporal stabilization, augmentation, or auxiliary</w:t>
      </w:r>
      <w:r>
        <w:t xml:space="preserve"> </w:t>
      </w:r>
      <w:r>
        <w:t xml:space="preserve">objectives [1–7]. These methods primarily address the quality of</w:t>
      </w:r>
      <w:r>
        <w:t xml:space="preserve"> </w:t>
      </w:r>
      <m:oMath>
        <m:sSub>
          <m:e>
            <m:r>
              <m:t>f</m:t>
            </m:r>
          </m:e>
          <m:sub>
            <m:r>
              <m:t>a</m:t>
            </m:r>
          </m:sub>
        </m:sSub>
      </m:oMath>
      <w:r>
        <w:t xml:space="preserve">. K-Bound treats</w:t>
      </w:r>
      <w:r>
        <w:t xml:space="preserve"> </w:t>
      </w:r>
      <m:oMath>
        <m:sSub>
          <m:e>
            <m:r>
              <m:t>f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as a candidate and addresses whether the candidate should replace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7"/>
    <w:bookmarkStart w:id="18" w:name="X607217ba74c7e51a1668dc24fc3959139b1536c"/>
    <w:p>
      <w:pPr>
        <w:pStyle w:val="Heading2"/>
        <w:widowControl/>
      </w:pPr>
      <w:r>
        <w:t xml:space="preserve">Selective Adaptation, Guarding, and Monitoring</w:t>
      </w:r>
    </w:p>
    <w:p>
      <w:pPr>
        <w:pStyle w:val="FirstParagraph"/>
        <w:widowControl/>
      </w:pPr>
      <w:r>
        <w:t xml:space="preserve">POEM and sequential risk monitors protect or inspect adaptation streams using betting, proxy-risk,</w:t>
      </w:r>
      <w:r>
        <w:t xml:space="preserve"> </w:t>
      </w:r>
      <w:r>
        <w:t xml:space="preserve">or alarm mechanisms [8, 11, 12]. These are</w:t>
      </w:r>
      <w:r>
        <w:t xml:space="preserve"> </w:t>
      </w:r>
      <w:r>
        <w:t xml:space="preserve">complementary to a pre-commitment decision. KGA evaluates a shadow candidate, supports rollback,</w:t>
      </w:r>
      <w:r>
        <w:t xml:space="preserve"> </w:t>
      </w:r>
      <w:r>
        <w:t xml:space="preserve">and exposes uncertainty as abstention before model state is changed.</w:t>
      </w:r>
    </w:p>
    <w:p>
      <w:pPr>
        <w:pStyle w:val="BodyText"/>
        <w:widowControl/>
      </w:pPr>
      <w:r>
        <w:t xml:space="preserve">Recent selective TTA work makes the overlap sharper. Informed Adaptation learns topological</w:t>
      </w:r>
      <w:r>
        <w:t xml:space="preserve"> </w:t>
      </w:r>
      <w:r>
        <w:t xml:space="preserve">features that predict whether an update will help [9]. This work rules out a</w:t>
      </w:r>
      <w:r>
        <w:t xml:space="preserve"> </w:t>
      </w:r>
      <w:r>
        <w:t xml:space="preserve">novelty claim based only on learning when to adapt. KGA is operationally a learned router, not the</w:t>
      </w:r>
      <w:r>
        <w:t xml:space="preserve"> </w:t>
      </w:r>
      <w:r>
        <w:t xml:space="preserve">first selective TTA gate.</w:t>
      </w:r>
    </w:p>
    <w:bookmarkEnd w:id="18"/>
    <w:bookmarkStart w:id="19" w:name="X46e50e752467a6936588f5f05ade141e3101c78"/>
    <w:p>
      <w:pPr>
        <w:pStyle w:val="Heading2"/>
        <w:widowControl/>
      </w:pPr>
      <w:r>
        <w:t xml:space="preserve">Label-Free Performance and Benefit Estimation</w:t>
      </w:r>
    </w:p>
    <w:p>
      <w:pPr>
        <w:pStyle w:val="FirstParagraph"/>
        <w:widowControl/>
      </w:pPr>
      <w:r>
        <w:t xml:space="preserve">ATC, agreement-on-the-line, AETTA, and prediction-matrix statistics estimate target accuracy from</w:t>
      </w:r>
      <w:r>
        <w:t xml:space="preserve"> </w:t>
      </w:r>
      <w:r>
        <w:t xml:space="preserve">unlabeled outputs [13, 15–17, 33, 34]. KGA uses related evidence but predicts the paired benefit</w:t>
      </w:r>
      <w:r>
        <w:t xml:space="preserve"> </w:t>
      </w:r>
      <m:oMath>
        <m:sSub>
          <m:e>
            <m:r>
              <m:t>R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R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sSub>
          <m:e>
            <m:r>
              <m:t>f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rather than either risk in isolation. The difference matters near zero: an</w:t>
      </w:r>
      <w:r>
        <w:t xml:space="preserve"> </w:t>
      </w:r>
      <w:r>
        <w:t xml:space="preserve">accurate point estimate can still be insufficient for a strict update decision.</w:t>
      </w:r>
    </w:p>
    <w:bookmarkEnd w:id="19"/>
    <w:bookmarkStart w:id="20" w:name="X31f2589ab729fb45548c66a4c20eb7f5bad1a9a"/>
    <w:p>
      <w:pPr>
        <w:pStyle w:val="Heading2"/>
        <w:widowControl/>
      </w:pPr>
      <w:r>
        <w:t xml:space="preserve">Distribution-Shift Uncertainty and Robust Decisions</w:t>
      </w:r>
    </w:p>
    <w:p>
      <w:pPr>
        <w:pStyle w:val="FirstParagraph"/>
        <w:widowControl/>
      </w:pPr>
      <w:r>
        <w:t xml:space="preserve">An MMD-credal approach derives target-risk intervals and an adapt/abstain criterion under RKHS and</w:t>
      </w:r>
      <w:r>
        <w:t xml:space="preserve"> </w:t>
      </w:r>
      <w:r>
        <w:t xml:space="preserve">covariate-shift assumptions [10]. Its uncertainty set is built around target risk.</w:t>
      </w:r>
      <w:r>
        <w:t xml:space="preserve"> </w:t>
      </w:r>
      <w:r>
        <w:t xml:space="preserve">K-Bound instead studies a paired benefit on evidence fibres: it asks whether the same label-free</w:t>
      </w:r>
      <w:r>
        <w:t xml:space="preserve"> </w:t>
      </w:r>
      <w:r>
        <w:t xml:space="preserve">law can hide opposite signs of</w:t>
      </w:r>
      <w:r>
        <w:t xml:space="preserve"> </w:t>
      </w:r>
      <m:oMath>
        <m:sSub>
          <m:e>
            <m:r>
              <m:t>R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R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sSub>
          <m:e>
            <m:r>
              <m:t>f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</m:oMath>
      <w:r>
        <w:t xml:space="preserve">. The assumptions and guarantees are therefore</w:t>
      </w:r>
      <w:r>
        <w:t xml:space="preserve"> </w:t>
      </w:r>
      <w:r>
        <w:t xml:space="preserve">complementary rather than interchangeable.</w:t>
      </w:r>
    </w:p>
    <w:bookmarkEnd w:id="20"/>
    <w:bookmarkStart w:id="21" w:name="Xdd85a6711521f99fbf3a74fd5baf63adcb4c6a9"/>
    <w:p>
      <w:pPr>
        <w:pStyle w:val="Heading2"/>
        <w:widowControl/>
      </w:pPr>
      <w:r>
        <w:t xml:space="preserve">Abstention, Identifiability, and Risk Control</w:t>
      </w:r>
    </w:p>
    <w:p>
      <w:pPr>
        <w:pStyle w:val="FirstParagraph"/>
        <w:widowControl/>
      </w:pPr>
      <w:r>
        <w:t xml:space="preserve">Selective classification and reject-option learning abstain on labels, while domain-adaptation</w:t>
      </w:r>
      <w:r>
        <w:t xml:space="preserve"> </w:t>
      </w:r>
      <w:r>
        <w:t xml:space="preserve">theory and label-free risk estimation identify assumptions needed under shift</w:t>
      </w:r>
      <w:r>
        <w:t xml:space="preserve"> </w:t>
      </w:r>
      <w:r>
        <w:t xml:space="preserve"> [18–21, 52, 53]. K-Bound abstains on an</w:t>
      </w:r>
      <w:r>
        <w:t xml:space="preserve"> </w:t>
      </w:r>
      <w:r>
        <w:rPr>
          <w:i/>
          <w:iCs/>
        </w:rPr>
        <w:t xml:space="preserve">update</w:t>
      </w:r>
      <w:r>
        <w:t xml:space="preserve">. Its empirical interval</w:t>
      </w:r>
      <w:r>
        <w:t xml:space="preserve"> </w:t>
      </w:r>
      <w:r>
        <w:t xml:space="preserve">layer uses the split-conformal and risk-control logic that a covered interval supports a calibrated</w:t>
      </w:r>
      <w:r>
        <w:t xml:space="preserve"> </w:t>
      </w:r>
      <w:r>
        <w:t xml:space="preserve">one-sided decision [36, 37, 40, 41]. We do not claim new conformal machinery.</w:t>
      </w:r>
    </w:p>
    <w:bookmarkEnd w:id="21"/>
    <w:bookmarkStart w:id="22" w:name="positioning-and-surviving-gap"/>
    <w:p>
      <w:pPr>
        <w:pStyle w:val="Heading2"/>
        <w:widowControl/>
      </w:pPr>
      <w:r>
        <w:t xml:space="preserve">Positioning and Surviving Gap</w:t>
      </w:r>
    </w:p>
    <w:p>
      <w:pPr>
        <w:pStyle w:val="FirstParagraph"/>
        <w:widowControl/>
      </w:pPr>
      <w:r>
        <w:t xml:space="preserve">Prior work can improve an adapter, select an update, estimate performance, or monitor a deployed</w:t>
      </w:r>
      <w:r>
        <w:t xml:space="preserve"> </w:t>
      </w:r>
      <w:r>
        <w:t xml:space="preserve">stream. K-Bound’s narrower contribution is the validity structure around those operations. It</w:t>
      </w:r>
      <w:r>
        <w:t xml:space="preserve"> </w:t>
      </w:r>
      <w:r>
        <w:t xml:space="preserve">separates population identifiability from finite-sample interval coverage, defines strict</w:t>
      </w:r>
      <w:r>
        <w:t xml:space="preserve"> </w:t>
      </w:r>
      <w:r>
        <w:t xml:space="preserve">adapt/freeze/abstain semantics, and states what evidence is needed before a learned router can</w:t>
      </w:r>
      <w:r>
        <w:t xml:space="preserve"> </w:t>
      </w:r>
      <w:r>
        <w:t xml:space="preserve">support a strict action.</w:t>
      </w:r>
    </w:p>
    <w:bookmarkEnd w:id="22"/>
    <w:bookmarkEnd w:id="23"/>
    <w:bookmarkStart w:id="31" w:name="problem-formulation-and-validity-scope"/>
    <w:p>
      <w:pPr>
        <w:pStyle w:val="Heading1"/>
        <w:widowControl/>
      </w:pPr>
      <w:r>
        <w:t xml:space="preserve">Problem Formulation and Validity Scope</w:t>
      </w:r>
    </w:p>
    <w:bookmarkStart w:id="24" w:name="deployment-setting"/>
    <w:p>
      <w:pPr>
        <w:pStyle w:val="Heading2"/>
        <w:widowControl/>
      </w:pPr>
      <w:r>
        <w:t xml:space="preserve">Deployment Setting</w:t>
      </w:r>
    </w:p>
    <w:p>
      <w:pPr>
        <w:pStyle w:val="FirstParagraph"/>
        <w:widowControl/>
      </w:pPr>
      <w:r>
        <w:t xml:space="preserve">Let</w:t>
      </w:r>
      <w:r>
        <w:t xml:space="preserve"> </w:t>
      </w:r>
      <m:oMath>
        <m:sSub>
          <m:e>
            <m:r>
              <m:t>P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denote the source law and</w:t>
      </w:r>
      <w: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the deployment law. The frozen predictor is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shadow candidate is</w:t>
      </w:r>
      <w:r>
        <w:t xml:space="preserve"> </w:t>
      </w:r>
      <m:oMath>
        <m:sSub>
          <m:e>
            <m:r>
              <m:t>f</m:t>
            </m:r>
          </m:e>
          <m:sub>
            <m:r>
              <m:t>a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R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E</m:t>
            </m:r>
          </m:e>
          <m: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∼</m:t>
            </m:r>
            <m:sSub>
              <m:e>
                <m:r>
                  <m:t>P</m:t>
                </m:r>
              </m:e>
              <m:sub>
                <m:r>
                  <m:t>T</m:t>
                </m:r>
              </m:sub>
            </m:sSub>
          </m:sub>
        </m:sSub>
        <m:r>
          <m:rPr>
            <m:sty m:val="p"/>
          </m:rPr>
          <m:t>[</m:t>
        </m:r>
        <m:r>
          <m:t>ℓ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 </w:t>
      </w:r>
      <w:r>
        <w:t xml:space="preserve">is target risk. Their paired difference is the</w:t>
      </w:r>
      <w:r>
        <w:t xml:space="preserve"> </w:t>
      </w:r>
      <w:r>
        <w:t xml:space="preserve">benefit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R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sSub>
          <m:e>
            <m:r>
              <m:t>f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 Eq. (1).</w:t>
      </w:r>
    </w:p>
    <w:p>
      <w:pPr>
        <w:pStyle w:val="BodyText"/>
        <w:widowControl/>
      </w:pPr>
      <w:r>
        <w:t xml:space="preserve">Source labels may be used during training and calibration. At deployment, the system sees the</w:t>
      </w:r>
      <w:r>
        <w:t xml:space="preserve"> </w:t>
      </w:r>
      <w:r>
        <w:t xml:space="preserve">target batch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:</m:t>
            </m:r>
            <m:r>
              <m:t>m</m:t>
            </m:r>
          </m:sub>
        </m:sSub>
      </m:oMath>
      <w:r>
        <w:t xml:space="preserve">, predictions, logits, and update statistics, but not target labels. An</w:t>
      </w:r>
      <w:r>
        <w:t xml:space="preserve"> </w:t>
      </w:r>
      <w:r>
        <w:t xml:space="preserve">adapter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creates a temporary candidate</w:t>
      </w:r>
      <w:r>
        <w:t xml:space="preserve"> </w:t>
      </w:r>
      <m:oMath>
        <m:sSub>
          <m:e>
            <m:r>
              <m:t>f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: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. Label-free evidence</w:t>
      </w:r>
      <w:r>
        <w:t xml:space="preserve"> </w:t>
      </w:r>
      <w:r>
        <w:t xml:space="preserve">is any vector</w:t>
      </w:r>
    </w:p>
    <w:p>
      <w:pPr>
        <w:pStyle w:val="BodyText"/>
        <w:widowControl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ϕ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  <m:r>
                <m:rPr>
                  <m:sty m:val="p"/>
                </m:rPr>
                <m:t>:</m:t>
              </m:r>
              <m:r>
                <m:t>m</m:t>
              </m:r>
            </m:sub>
          </m:sSub>
          <m:r>
            <m:rPr>
              <m:sty m:val="p"/>
            </m:rPr>
            <m:t>,</m:t>
          </m:r>
          <m:sSub>
            <m:e>
              <m:r>
                <m:t>f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f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  <w:widowControl/>
      </w:pPr>
      <w:r>
        <w:t xml:space="preserve">that does not read target labels. Target labels may be revealed after the decision solely for</w:t>
      </w:r>
      <w:r>
        <w:t xml:space="preserve"> </w:t>
      </w:r>
      <w:r>
        <w:t xml:space="preserve">offline auditing of regret and false commits.</w:t>
      </w:r>
    </w:p>
    <w:bookmarkEnd w:id="24"/>
    <w:bookmarkStart w:id="25" w:name="three-way-decision-semantics"/>
    <w:p>
      <w:pPr>
        <w:pStyle w:val="Heading2"/>
        <w:widowControl/>
      </w:pPr>
      <w:r>
        <w:t xml:space="preserve">Three-Way Decision Semantics</w:t>
      </w:r>
    </w:p>
    <w:p>
      <w:pPr>
        <w:pStyle w:val="FirstParagraph"/>
        <w:widowControl/>
      </w:pPr>
      <w:r>
        <w:rPr>
          <w:b/>
          <w:bCs/>
        </w:rPr>
        <w:t xml:space="preserve">Definition 1</w:t>
      </w:r>
      <w:r>
        <w:t xml:space="preserve"> </w:t>
      </w:r>
      <w:r>
        <w:t xml:space="preserve">(Decision semantics).</w:t>
      </w:r>
      <w:r>
        <w:t xml:space="preserve"> </w:t>
      </w:r>
      <w:r>
        <w:t xml:space="preserve"> </w:t>
      </w:r>
      <w:r>
        <w:t xml:space="preserve">The action set is</w:t>
      </w:r>
      <w:r>
        <w:t xml:space="preserve"> </w:t>
      </w:r>
      <m:oMath>
        <m:r>
          <m:rPr>
            <m:sty m:val="p"/>
          </m:rPr>
          <m:t>{</m:t>
        </m:r>
        <m:r>
          <m:rPr>
            <m:nor/>
            <m:sty m:val="p"/>
          </m:rPr>
          <m:t>adapt</m:t>
        </m:r>
        <m:r>
          <m:rPr>
            <m:sty m:val="p"/>
          </m:rPr>
          <m:t>,</m:t>
        </m:r>
        <m:r>
          <m:rPr>
            <m:nor/>
            <m:sty m:val="p"/>
          </m:rPr>
          <m:t>freeze</m:t>
        </m:r>
        <m:r>
          <m:rPr>
            <m:sty m:val="p"/>
          </m:rPr>
          <m:t>,</m:t>
        </m:r>
        <m:r>
          <m:rPr>
            <m:nor/>
            <m:sty m:val="p"/>
          </m:rPr>
          <m:t>abstain</m:t>
        </m:r>
        <m:r>
          <m:rPr>
            <m:sty m:val="p"/>
          </m:rPr>
          <m:t>}</m:t>
        </m:r>
      </m:oMath>
      <w:r>
        <w:t xml:space="preserve">. Adapt commits</w:t>
      </w:r>
      <w:r>
        <w:t xml:space="preserve"> </w:t>
      </w:r>
      <m:oMath>
        <m:sSub>
          <m:e>
            <m:r>
              <m:t>f</m:t>
            </m:r>
          </m:e>
          <m:sub>
            <m:r>
              <m:t>a</m:t>
            </m:r>
          </m:sub>
        </m:sSub>
      </m:oMath>
      <w:r>
        <w:t xml:space="preserve">. Freeze rejects</w:t>
      </w:r>
      <w:r>
        <w:t xml:space="preserve"> </w:t>
      </w:r>
      <m:oMath>
        <m:sSub>
          <m:e>
            <m:r>
              <m:t>f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w:r>
        <w:t xml:space="preserve">the interval supports harm. Abstain rejects the update because the interval does not support a</w:t>
      </w:r>
      <w:r>
        <w:t xml:space="preserve"> </w:t>
      </w:r>
      <w:r>
        <w:t xml:space="preserve">strict direction. Both non-adapt actions serve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the reported regret calculation.</w:t>
      </w:r>
    </w:p>
    <w:p>
      <w:pPr>
        <w:pStyle w:val="BodyText"/>
        <w:widowControl/>
      </w:pPr>
      <w:r>
        <w:t xml:space="preserve">For condition</w:t>
      </w:r>
      <w:r>
        <w:t xml:space="preserve"> </w:t>
      </w:r>
      <m:oMath>
        <m:r>
          <m:t>j</m:t>
        </m:r>
      </m:oMath>
      <w:r>
        <w:t xml:space="preserve">, let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  <m:r>
              <m:t>j</m:t>
            </m:r>
          </m:sub>
        </m:sSub>
      </m:oMath>
      <w:r>
        <w:t xml:space="preserve"> </w:t>
      </w:r>
      <w:r>
        <w:t xml:space="preserve">be the frozen and adapted risks. An offline oracle picks</w:t>
      </w:r>
      <w:r>
        <w:t xml:space="preserve"> </w:t>
      </w:r>
      <w:r>
        <w:t xml:space="preserve">the smaller value. Policy regret is the extra risk relative to that oracle, averaged over the stated</w:t>
      </w:r>
      <w:r>
        <w:t xml:space="preserve"> </w:t>
      </w:r>
      <w:r>
        <w:t xml:space="preserve">evaluation units. Always-freeze regret is therefore</w:t>
      </w:r>
      <w:r>
        <w:t xml:space="preserve"> </w:t>
      </w:r>
      <m:oMath>
        <m:r>
          <m:rPr>
            <m:sty m:val="p"/>
          </m:rPr>
          <m:t>max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Δ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while always-adapt regret is</w:t>
      </w:r>
      <w:r>
        <w:t xml:space="preserve"> </w:t>
      </w:r>
      <m:oMath>
        <m:r>
          <m:rPr>
            <m:sty m:val="p"/>
          </m:rPr>
          <m:t>max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Δ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 Lower regret is better.</w:t>
      </w:r>
    </w:p>
    <w:bookmarkEnd w:id="25"/>
    <w:bookmarkStart w:id="26" w:name="false-commitments-and-decision-exposure"/>
    <w:p>
      <w:pPr>
        <w:pStyle w:val="Heading2"/>
        <w:widowControl/>
      </w:pPr>
      <w:r>
        <w:t xml:space="preserve">False Commitments and Decision Exposure</w:t>
      </w:r>
    </w:p>
    <w:p>
      <w:pPr>
        <w:pStyle w:val="FirstParagraph"/>
        <w:widowControl/>
      </w:pPr>
      <w:r>
        <w:t xml:space="preserve">The error metric tied to the certificate is the marginal false-adapt probability</w:t>
      </w:r>
    </w:p>
    <w:p>
      <w:pPr>
        <w:pStyle w:val="BodyText"/>
        <w:widowControl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A</m:t>
              </m:r>
            </m:e>
            <m:sub>
              <m:r>
                <m:rPr>
                  <m:sty m:val="p"/>
                </m:rPr>
                <m:t>u</m:t>
              </m:r>
            </m:sub>
          </m:sSub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adapt</m:t>
          </m:r>
          <m:r>
            <m:rPr>
              <m:sty m:val="p"/>
            </m:rPr>
            <m:t>,</m:t>
          </m:r>
          <m:r>
            <m:rPr>
              <m:sty m:val="p"/>
            </m:rPr>
            <m:t>Δ</m:t>
          </m:r>
          <m:r>
            <m:rPr>
              <m:sty m:val="p"/>
            </m:rPr>
            <m:t>≤</m:t>
          </m:r>
          <m:r>
            <m:t>0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(2)</m:t>
          </m:r>
        </m:oMath>
      </m:oMathPara>
    </w:p>
    <w:p>
      <w:pPr>
        <w:pStyle w:val="FirstParagraph"/>
        <w:widowControl/>
      </w:pPr>
      <w:r>
        <w:t xml:space="preserve">The conditional rate</w:t>
      </w:r>
      <w: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∣</m:t>
        </m:r>
        <m:r>
          <m:t>g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adapt</m:t>
        </m:r>
        <m:r>
          <m:rPr>
            <m:sty m:val="p"/>
          </m:rPr>
          <m:t>)</m:t>
        </m:r>
      </m:oMath>
      <w:r>
        <w:t xml:space="preserve"> </w:t>
      </w:r>
      <w:r>
        <w:t xml:space="preserve">is operationally useful but is not</w:t>
      </w:r>
      <w:r>
        <w:t xml:space="preserve"> </w:t>
      </w:r>
      <w:r>
        <w:t xml:space="preserve">controlled by the theorem below. Decision coverage means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nor/>
            <m:sty m:val="p"/>
          </m:rPr>
          <m:t>adapt</m:t>
        </m:r>
        <m:r>
          <m:rPr>
            <m:sty m:val="p"/>
          </m:rPr>
          <m:t>,</m:t>
        </m:r>
        <m:r>
          <m:rPr>
            <m:nor/>
            <m:sty m:val="p"/>
          </m:rPr>
          <m:t>freeze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; it is not adapt rate.</w:t>
      </w:r>
    </w:p>
    <w:p>
      <w:pPr>
        <w:pStyle w:val="BodyText"/>
        <w:widowControl/>
      </w:pPr>
      <w:r>
        <w:t xml:space="preserve">These quantities answer different questions. For example, a controller that never adapts has zero</w:t>
      </w:r>
      <w:r>
        <w:t xml:space="preserve"> </w:t>
      </w:r>
      <w:r>
        <w:t xml:space="preserve">false adaptations, but it has not shown that it can identify a helpful update. For that reason, we</w:t>
      </w:r>
      <w:r>
        <w:t xml:space="preserve"> </w:t>
      </w:r>
      <w:r>
        <w:t xml:space="preserve">report the number of adapt decisions together with</w:t>
      </w:r>
      <w: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u</m:t>
            </m:r>
          </m:sub>
        </m:sSub>
      </m:oMath>
      <w:r>
        <w:t xml:space="preserve"> </w:t>
      </w:r>
      <w:r>
        <w:t xml:space="preserve">and regret.</w:t>
      </w:r>
    </w:p>
    <w:bookmarkEnd w:id="26"/>
    <w:bookmarkStart w:id="28" w:name="validity-by-layer"/>
    <w:p>
      <w:pPr>
        <w:pStyle w:val="Heading2"/>
        <w:widowControl/>
      </w:pPr>
      <w:r>
        <w:t xml:space="preserve">Validity by Layer</w:t>
      </w:r>
    </w:p>
    <w:p>
      <w:pPr>
        <w:pStyle w:val="TableCaption"/>
        <w:widowControl/>
      </w:pPr>
      <w:r>
        <w:t xml:space="preserve">Table 1. Validity obligations are separated by layer. No empirical quantity silently discharges a</w:t>
      </w:r>
      <w:r>
        <w:t xml:space="preserve"> </w:t>
      </w:r>
      <w:r>
        <w:t xml:space="preserve">population assumption.</w:t>
      </w:r>
    </w:p>
    <w:tbl>
      <w:tblPr>
        <w:tblStyle w:val="Table"/>
        <w:tblW w:type="dxa" w:w="9960"/>
        <w:jc w:val="left"/>
        <w:tblLayout w:type="fixed"/>
        <w:tblLook w:firstRow="1" w:lastRow="0" w:firstColumn="0" w:lastColumn="0" w:noHBand="0" w:noVBand="0" w:val="0020"/>
        <w:tblCaption w:val="Table 1. Validity obligations are separated by layer. No empirical quantity silently discharges a population assumption."/>
        <w:tblInd w:w="120" w:type="dxa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914"/>
        <w:gridCol w:w="1401"/>
        <w:gridCol w:w="4118"/>
        <w:gridCol w:w="3527"/>
      </w:tblGrid>
      <w:tr>
        <w:trPr>
          <w:tblHeader w:val="on"/>
          <w:tblHeader w:val="true"/>
        </w:trPr>
        <w:tc>
          <w:tcPr>
            <w:tcW w:w="91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E8EEF5"/>
          </w:tcPr>
          <w:p>
            <w:pPr>
              <w:pStyle w:val="Compact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t xml:space="preserve">Layer</w:t>
            </w:r>
          </w:p>
        </w:tc>
        <w:tc>
          <w:tcPr>
            <w:tcW w:w="1401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E8EEF5"/>
          </w:tcPr>
          <w:p>
            <w:pPr>
              <w:pStyle w:val="Compact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t xml:space="preserve">Object</w:t>
            </w:r>
          </w:p>
        </w:tc>
        <w:tc>
          <w:tcPr>
            <w:tcW w:w="4118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E8EEF5"/>
          </w:tcPr>
          <w:p>
            <w:pPr>
              <w:pStyle w:val="Compact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t xml:space="preserve">Required support</w:t>
            </w:r>
          </w:p>
        </w:tc>
        <w:tc>
          <w:tcPr>
            <w:tcW w:w="3527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E8EEF5"/>
          </w:tcPr>
          <w:p>
            <w:pPr>
              <w:pStyle w:val="Compact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t xml:space="preserve">Supports</w:t>
            </w:r>
          </w:p>
        </w:tc>
      </w:tr>
      <w:tr>
        <w:tc>
          <w:tcPr>
            <w:tcW w:w="91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keepNext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Population</w:t>
            </w:r>
          </w:p>
        </w:tc>
        <w:tc>
          <w:tcPr>
            <w:tcW w:w="1401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keepNext/>
              <w:spacing w:before="0" w:after="0" w:line="240" w:lineRule="auto"/>
              <w:jc w:val="left"/>
            </w:pP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β</m:t>
              </m:r>
            </m:oMath>
          </w:p>
        </w:tc>
        <w:tc>
          <w:tcPr>
            <w:tcW w:w="4118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keepNext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declared target class;</w:t>
            </w:r>
            <w:r>
              <w:rPr>
                <w:rFonts w:ascii="Times New Roman" w:hAnsi="Times New Roman"/>
                <w:sz w:val="16"/>
              </w:rPr>
              <w:t xml:space="preserve"> </w:t>
            </w:r>
            <m:oMath>
              <m:r>
                <m:t>M</m:t>
              </m:r>
            </m:oMath>
            <w:r>
              <w:rPr>
                <w:rFonts w:ascii="Times New Roman" w:hAnsi="Times New Roman"/>
                <w:sz w:val="16"/>
              </w:rPr>
              <w:t xml:space="preserve"> </w:t>
            </w:r>
            <w:r>
              <w:rPr>
                <w:rFonts w:ascii="Times New Roman" w:hAnsi="Times New Roman"/>
                <w:sz w:val="16"/>
              </w:rPr>
              <w:t xml:space="preserve">fixed on the augmented-evidence fibre; class richness for necessity</w:t>
            </w:r>
          </w:p>
        </w:tc>
        <w:tc>
          <w:tcPr>
            <w:tcW w:w="3527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keepNext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uniform strict-commitment frontier</w:t>
            </w:r>
          </w:p>
        </w:tc>
      </w:tr>
      <w:tr>
        <w:tc>
          <w:tcPr>
            <w:tcW w:w="91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keepNext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Estimator</w:t>
            </w:r>
          </w:p>
        </w:tc>
        <w:tc>
          <w:tcPr>
            <w:tcW w:w="1401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keepNext/>
              <w:spacing w:before="0" w:after="0" w:line="240" w:lineRule="auto"/>
              <w:jc w:val="left"/>
            </w:pPr>
            <m:oMath>
              <m:r>
                <m:t>Z</m:t>
              </m:r>
              <m:r>
                <m:rPr>
                  <m:sty m:val="p"/>
                </m:rPr>
                <m:t>↦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</m:e>
              </m:acc>
            </m:oMath>
          </w:p>
        </w:tc>
        <w:tc>
          <w:tcPr>
            <w:tcW w:w="4118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keepNext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development support; fixed evidence schema; adapter-specific transfer</w:t>
            </w:r>
          </w:p>
        </w:tc>
        <w:tc>
          <w:tcPr>
            <w:tcW w:w="3527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keepNext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meaningful paired-benefit prediction</w:t>
            </w:r>
          </w:p>
        </w:tc>
      </w:tr>
      <w:tr>
        <w:tc>
          <w:tcPr>
            <w:tcW w:w="91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keepNext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Certificate</w:t>
            </w:r>
          </w:p>
        </w:tc>
        <w:tc>
          <w:tcPr>
            <w:tcW w:w="1401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keepNext/>
              <w:spacing w:before="0" w:after="0" w:line="240" w:lineRule="auto"/>
              <w:jc w:val="left"/>
            </w:pP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</m:e>
              </m:acc>
              <m:r>
                <m:rPr>
                  <m:sty m:val="p"/>
                </m:rPr>
                <m:t>±</m:t>
              </m:r>
              <m:r>
                <m:t>ε</m:t>
              </m:r>
            </m:oMath>
          </w:p>
        </w:tc>
        <w:tc>
          <w:tcPr>
            <w:tcW w:w="4118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keepNext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marginal interval coverage at the declared scoring unit</w:t>
            </w:r>
          </w:p>
        </w:tc>
        <w:tc>
          <w:tcPr>
            <w:tcW w:w="3527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keepNext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marginal false-adapt and false-freeze control</w:t>
            </w:r>
          </w:p>
        </w:tc>
      </w:tr>
      <w:tr>
        <w:tc>
          <w:tcPr>
            <w:tcW w:w="91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Evaluation</w:t>
            </w:r>
          </w:p>
        </w:tc>
        <w:tc>
          <w:tcPr>
            <w:tcW w:w="1401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regret,</w:t>
            </w:r>
            <w:r>
              <w:rPr>
                <w:rFonts w:ascii="Times New Roman" w:hAnsi="Times New Roman"/>
                <w:sz w:val="16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u</m:t>
                  </m:r>
                </m:sub>
              </m:sSub>
            </m:oMath>
            <w:r>
              <w:rPr>
                <w:rFonts w:ascii="Times New Roman" w:hAnsi="Times New Roman"/>
                <w:sz w:val="16"/>
              </w:rPr>
              <w:t xml:space="preserve">,</w:t>
            </w:r>
            <w:r>
              <w:rPr>
                <w:rFonts w:ascii="Times New Roman" w:hAnsi="Times New Roman"/>
                <w:sz w:val="16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c</m:t>
                  </m:r>
                </m:sub>
              </m:sSub>
            </m:oMath>
            <w:r>
              <w:rPr>
                <w:rFonts w:ascii="Times New Roman" w:hAnsi="Times New Roman"/>
                <w:sz w:val="16"/>
              </w:rPr>
              <w:t xml:space="preserve">, actions</w:t>
            </w:r>
          </w:p>
        </w:tc>
        <w:tc>
          <w:tcPr>
            <w:tcW w:w="4118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frozen protocol; declared evaluation unit; labels revealed only after decisions</w:t>
            </w:r>
          </w:p>
        </w:tc>
        <w:tc>
          <w:tcPr>
            <w:tcW w:w="3527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empirical performance and diagnostic claims</w:t>
            </w:r>
          </w:p>
        </w:tc>
      </w:tr>
    </w:tbl>
    <w:bookmarkStart w:id="27" w:name="risk-alignment"/>
    <w:p>
      <w:pPr>
        <w:pStyle w:val="Heading3"/>
        <w:widowControl/>
      </w:pPr>
      <w:r>
        <w:t xml:space="preserve">Risk Alignment</w:t>
      </w:r>
    </w:p>
    <w:p>
      <w:pPr>
        <w:pStyle w:val="FirstParagraph"/>
        <w:widowControl/>
      </w:pPr>
      <w:r>
        <w:t xml:space="preserve">Evidence is risk-aligned on a declared class when identical evidence cannot hide opposite benefit</w:t>
      </w:r>
      <w:r>
        <w:t xml:space="preserve"> </w:t>
      </w:r>
      <w:r>
        <w:t xml:space="preserve">signs. This property comes from the class and the evidence definition, not from using a powerful</w:t>
      </w:r>
      <w:r>
        <w:t xml:space="preserve"> </w:t>
      </w:r>
      <w:r>
        <w:t xml:space="preserve">regressor. Support checks and residual diagnostics may reveal a transfer failure, but they cannot</w:t>
      </w:r>
      <w:r>
        <w:t xml:space="preserve"> </w:t>
      </w:r>
      <w:r>
        <w:t xml:space="preserve">prove uniform alignment.</w:t>
      </w:r>
    </w:p>
    <w:bookmarkEnd w:id="27"/>
    <w:bookmarkEnd w:id="28"/>
    <w:bookmarkStart w:id="29" w:name="scope-of-the-population-theory"/>
    <w:p>
      <w:pPr>
        <w:pStyle w:val="Heading2"/>
        <w:widowControl/>
      </w:pPr>
      <w:r>
        <w:t xml:space="preserve">Scope of the Population Theory</w:t>
      </w:r>
    </w:p>
    <w:p>
      <w:pPr>
        <w:pStyle w:val="FirstParagraph"/>
        <w:widowControl/>
      </w:pPr>
      <w:r>
        <w:t xml:space="preserve">The population theorem below assumes binary labels and</w:t>
      </w:r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1</m:t>
        </m:r>
      </m:oMath>
      <w:r>
        <w:t xml:space="preserve"> </w:t>
      </w:r>
      <w:r>
        <w:t xml:space="preserve">loss. KGA itself only needs a scalar</w:t>
      </w:r>
      <w:r>
        <w:t xml:space="preserve"> </w:t>
      </w:r>
      <w:r>
        <w:t xml:space="preserve">benefit target, so we also evaluate it on multiclass benchmarks. Those experiments do not extend</w:t>
      </w:r>
      <w:r>
        <w:t xml:space="preserve"> </w:t>
      </w:r>
      <w:r>
        <w:t xml:space="preserve">the binary theorem. In multiclass problems, we may write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P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a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P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sSub>
          <m:e>
            <m:r>
              <m:t>f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P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</m:oMath>
      <w:r>
        <w:t xml:space="preserve">; no identity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assumed outside binary classification.</w:t>
      </w:r>
    </w:p>
    <w:bookmarkEnd w:id="29"/>
    <w:bookmarkStart w:id="30" w:name="reading-guide"/>
    <w:p>
      <w:pPr>
        <w:pStyle w:val="Heading2"/>
        <w:widowControl/>
      </w:pPr>
      <w:r>
        <w:t xml:space="preserve">Reading Guide</w:t>
      </w:r>
    </w:p>
    <w:p>
      <w:pPr>
        <w:pStyle w:val="FirstParagraph"/>
        <w:widowControl/>
      </w:pPr>
      <w:r>
        <w:t xml:space="preserve">Six quantities carry the argument.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label-free margin seen on cases where the frozen and</w:t>
      </w:r>
      <w:r>
        <w:t xml:space="preserve"> </w:t>
      </w:r>
      <w:r>
        <w:t xml:space="preserve">adapted models disagree.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is the target calibration drift that labels would reveal, 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is the largest drift allowed by the declared population class. Their combined effect</w:t>
      </w:r>
      <w:r>
        <w:t xml:space="preserve"> </w:t>
      </w:r>
      <w:r>
        <w:t xml:space="preserve">determines the true benefit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. In the practical method,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Δ</m:t>
            </m:r>
          </m:e>
        </m:acc>
      </m:oMath>
      <w:r>
        <w:t xml:space="preserve"> </w:t>
      </w:r>
      <w:r>
        <w:t xml:space="preserve">estimates that</w:t>
      </w:r>
      <w:r>
        <w:t xml:space="preserve"> </w:t>
      </w:r>
      <w:r>
        <w:t xml:space="preserve">benefit from label-free evidence, while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the uncertainty radius around the estimate.</w:t>
      </w:r>
      <w:r>
        <w:t xml:space="preserve"> </w:t>
      </w:r>
      <w:r>
        <w:t xml:space="preserve">The population theory uses</w:t>
      </w:r>
      <w:r>
        <w:t xml:space="preserve"> 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r>
          <m:t>γ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,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; KGA uses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̂"/>
          </m:accPr>
          <m:e>
            <m:r>
              <m:rPr>
                <m:sty m:val="p"/>
              </m:rPr>
              <m:t>Δ</m:t>
            </m:r>
          </m:e>
        </m:acc>
        <m:r>
          <m:rPr>
            <m:sty m:val="p"/>
          </m:rPr>
          <m:t>,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to decide whether the sign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clear enough to act. The</w:t>
      </w:r>
      <w:r>
        <w:t xml:space="preserve"> </w:t>
      </w:r>
      <w:r>
        <w:t xml:space="preserve">distinctions that carry the paper are</w:t>
      </w:r>
      <w:r>
        <w:t xml:space="preserve"> </w:t>
      </w:r>
      <m:oMath>
        <m:r>
          <m:t>M</m:t>
        </m:r>
        <m:r>
          <m:rPr>
            <m:sty m:val="p"/>
          </m:rPr>
          <m:t>≠</m:t>
        </m:r>
        <m:acc>
          <m:accPr>
            <m:chr m:val="̂"/>
          </m:accPr>
          <m:e>
            <m:r>
              <m:rPr>
                <m:sty m:val="p"/>
              </m:rPr>
              <m:t>Δ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≠</m:t>
        </m:r>
        <m:r>
          <m:t>ε</m:t>
        </m:r>
      </m:oMath>
      <w:r>
        <w:t xml:space="preserve">.</w:t>
      </w:r>
    </w:p>
    <w:bookmarkEnd w:id="30"/>
    <w:bookmarkEnd w:id="31"/>
    <w:bookmarkStart w:id="41" w:name="population-knowability"/>
    <w:p>
      <w:pPr>
        <w:pStyle w:val="Heading1"/>
        <w:widowControl/>
      </w:pPr>
      <w:r>
        <w:t xml:space="preserve">Population Knowability</w:t>
      </w:r>
    </w:p>
    <w:p>
      <w:pPr>
        <w:pStyle w:val="FirstParagraph"/>
        <w:widowControl/>
      </w:pPr>
      <w:r>
        <w:t xml:space="preserve">We now state the main population result. We repeat the setup so this short paper can be read on its</w:t>
      </w:r>
      <w:r>
        <w:t xml:space="preserve"> </w:t>
      </w:r>
      <w:r>
        <w:t xml:space="preserve">own.</w:t>
      </w:r>
    </w:p>
    <w:bookmarkStart w:id="32" w:name="disagreement-region-model"/>
    <w:p>
      <w:pPr>
        <w:pStyle w:val="Heading2"/>
        <w:widowControl/>
      </w:pPr>
      <w:r>
        <w:t xml:space="preserve">Disagreement-Region Model</w:t>
      </w:r>
    </w:p>
    <w:p>
      <w:pPr>
        <w:pStyle w:val="FirstParagraph"/>
        <w:widowControl/>
      </w:pPr>
      <w:r>
        <w:rPr>
          <w:b/>
          <w:bCs/>
        </w:rPr>
        <w:t xml:space="preserve">Assumption 1</w:t>
      </w:r>
      <w:r>
        <w:t xml:space="preserve"> </w:t>
      </w:r>
      <w:r>
        <w:t xml:space="preserve">(Deployment setup).</w:t>
      </w:r>
      <w:r>
        <w:t xml:space="preserve"> 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, use</w:t>
      </w:r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1</m:t>
        </m:r>
      </m:oMath>
      <w:r>
        <w:t xml:space="preserve"> </w:t>
      </w:r>
      <w:r>
        <w:t xml:space="preserve">loss, and assume</w:t>
      </w:r>
      <w:r>
        <w:t xml:space="preserve"> </w:t>
      </w:r>
      <m:oMath>
        <m:sSub>
          <m:e>
            <m:r>
              <m:t>μ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:</m:t>
        </m:r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f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 Let</w:t>
      </w:r>
      <w:r>
        <w:t xml:space="preserve"> </w:t>
      </w:r>
      <m:oMath>
        <m:r>
          <m:t>s</m:t>
        </m:r>
        <m:r>
          <m:rPr>
            <m:sty m:val="p"/>
          </m:rPr>
          <m:t>:</m:t>
        </m:r>
        <m:r>
          <m:rPr>
            <m:scr m:val="script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be a source-calibrated candidate-correctness score and define the target</w:t>
      </w:r>
      <w:r>
        <w:t xml:space="preserve"> </w:t>
      </w:r>
      <w:r>
        <w:t xml:space="preserve">pointwise correctness</w:t>
      </w:r>
      <w:r>
        <w:t xml:space="preserve"> </w:t>
      </w:r>
      <m:oMath>
        <m:sSub>
          <m:e>
            <m:r>
              <m:t>η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P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sSub>
          <m:e>
            <m:r>
              <m:t>f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 On</w:t>
      </w:r>
      <w:r>
        <w:t xml:space="preserve"> </w:t>
      </w:r>
      <m:oMath>
        <m:r>
          <m:t>D</m:t>
        </m:r>
      </m:oMath>
      <w:r>
        <w:t xml:space="preserve">, set</w:t>
      </w:r>
    </w:p>
    <w:p>
      <w:pPr>
        <w:pStyle w:val="BodyText"/>
        <w:widowControl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r>
            <m:t>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γ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sSub>
            <m:e>
              <m:r>
                <m:t>η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(3)</m:t>
          </m:r>
        </m:oMath>
      </m:oMathPara>
    </w:p>
    <w:p>
      <w:pPr>
        <w:pStyle w:val="FirstParagraph"/>
        <w:widowControl/>
      </w:pPr>
      <w:r>
        <w:t xml:space="preserve">The declared population class 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C</m:t>
            </m:r>
          </m:e>
          <m:sub>
            <m:r>
              <m:t>β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P</m:t>
            </m:r>
          </m:e>
          <m:sub>
            <m:r>
              <m:t>T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|</m:t>
        </m:r>
        <m:r>
          <m:t>γ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T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β</m:t>
        </m:r>
        <m:r>
          <m:rPr>
            <m:sty m:val="p"/>
          </m:rPr>
          <m:t>}</m:t>
        </m:r>
      </m:oMath>
      <w:r>
        <w:t xml:space="preserve"> </w:t>
      </w:r>
      <w:r>
        <w:t xml:space="preserve">for an externally supplied</w:t>
      </w:r>
      <w:r>
        <w:t xml:space="preserve"> </w:t>
      </w:r>
      <m:oMath>
        <m:r>
          <m:t>β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  <w:widowControl/>
      </w:pPr>
      <w:r>
        <w:rPr>
          <w:i/>
          <w:iCs/>
        </w:rPr>
        <w:t xml:space="preserve">Remark 1</w:t>
      </w:r>
      <w:r>
        <w:t xml:space="preserve"> </w:t>
      </w:r>
      <w:r>
        <w:t xml:space="preserve">(Residual identity).</w:t>
      </w:r>
      <w:r>
        <w:t xml:space="preserve"> </w:t>
      </w:r>
      <w:r>
        <w:t xml:space="preserve"> </w:t>
      </w:r>
      <w:r>
        <w:t xml:space="preserve">The definition gives</w:t>
      </w:r>
    </w:p>
    <w:p>
      <w:pPr>
        <w:pStyle w:val="BodyText"/>
        <w:widowControl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+</m:t>
          </m:r>
          <m:r>
            <m:t>γ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sSub>
            <m:e>
              <m:r>
                <m:t>η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  <w:widowControl/>
      </w:pPr>
      <m:oMathPara>
        <m:oMathParaPr>
          <m:jc m:val="center"/>
        </m:oMathParaPr>
        <m:oMath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sSub>
            <m:e>
              <m:r>
                <m:t>η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  <w:widowControl/>
      </w:pPr>
      <w:r>
        <w:t xml:space="preserve">This is an identity, not empirical evidence that calibration transfers.</w:t>
      </w:r>
    </w:p>
    <w:p>
      <w:pPr>
        <w:pStyle w:val="BodyText"/>
        <w:widowControl/>
      </w:pPr>
      <w:r>
        <w:rPr>
          <w:b/>
          <w:bCs/>
        </w:rPr>
        <w:t xml:space="preserve">Definition 2</w:t>
      </w:r>
      <w:r>
        <w:t xml:space="preserve"> </w:t>
      </w:r>
      <w:r>
        <w:t xml:space="preserve">(Risk alignment).</w:t>
      </w:r>
      <w:r>
        <w:t xml:space="preserve"> </w:t>
      </w:r>
      <w:r>
        <w:t xml:space="preserve"> </w:t>
      </w:r>
      <w:r>
        <w:t xml:space="preserve">Evidence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risk-aligned on a class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if no two laws in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with opposite</w:t>
      </w:r>
      <w:r>
        <w:t xml:space="preserve"> </w:t>
      </w:r>
      <w:r>
        <w:t xml:space="preserve">benefit signs induce the same law of</w:t>
      </w:r>
      <w:r>
        <w:t xml:space="preserve"> </w:t>
      </w:r>
      <m:oMath>
        <m:r>
          <m:t>Z</m:t>
        </m:r>
      </m:oMath>
      <w:r>
        <w:t xml:space="preserve">. Population frontier claims take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to be fixed on each</w:t>
      </w:r>
      <w:r>
        <w:t xml:space="preserve"> </w:t>
      </w:r>
      <w:r>
        <w:t xml:space="preserve">augmented evidence fibre, equivalently by using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  <w:widowControl/>
      </w:pPr>
      <w:r>
        <w:rPr>
          <w:b/>
          <w:bCs/>
        </w:rPr>
        <w:t xml:space="preserve">Definition 3</w:t>
      </w:r>
      <w:r>
        <w:t xml:space="preserve"> </w:t>
      </w:r>
      <w:r>
        <w:t xml:space="preserve">(Strict directional soundness).</w:t>
      </w:r>
      <w:r>
        <w:t xml:space="preserve"> </w:t>
      </w:r>
      <w:r>
        <w:t xml:space="preserve"> </w:t>
      </w:r>
      <w:r>
        <w:t xml:space="preserve">At a fixed augmented-evidence law, ADAPT is uniformly directionally sound when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every compatible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C</m:t>
            </m:r>
          </m:e>
          <m:sub>
            <m:r>
              <m:t>β</m:t>
            </m:r>
          </m:sub>
        </m:sSub>
      </m:oMath>
      <w:r>
        <w:t xml:space="preserve">; FREEZE is sound when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 such law.</w:t>
      </w:r>
      <w:r>
        <w:t xml:space="preserve"> </w:t>
      </w:r>
      <w:r>
        <w:t xml:space="preserve">A pointwise maximal three-way rule commits whenever one strict action is sound and abstains</w:t>
      </w:r>
      <w:r>
        <w:t xml:space="preserve"> </w:t>
      </w:r>
      <w:r>
        <w:t xml:space="preserve">otherwise. The strict convention treats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as insufficient for either directional claim,</w:t>
      </w:r>
      <w:r>
        <w:t xml:space="preserve"> </w:t>
      </w:r>
      <w:r>
        <w:t xml:space="preserve">although the actions then have equal task risk.</w:t>
      </w:r>
    </w:p>
    <w:bookmarkEnd w:id="32"/>
    <w:bookmarkStart w:id="33" w:name="X3370041a962c3ca405ac6cc1e832569788357ba"/>
    <w:p>
      <w:pPr>
        <w:pStyle w:val="Heading2"/>
        <w:widowControl/>
      </w:pPr>
      <w:r>
        <w:t xml:space="preserve">Label-Kernel Freedom on the Disagreement Region</w:t>
      </w:r>
    </w:p>
    <w:p>
      <w:pPr>
        <w:pStyle w:val="FirstParagraph"/>
        <w:widowControl/>
      </w:pPr>
      <w:r>
        <w:rPr>
          <w:b/>
          <w:bCs/>
        </w:rPr>
        <w:t xml:space="preserve">Lemma 1</w:t>
      </w:r>
      <w:r>
        <w:t xml:space="preserve"> </w:t>
      </w:r>
      <w:r>
        <w:t xml:space="preserve">(Label-kernel freedom on disagreement).</w:t>
      </w:r>
      <w:r>
        <w:t xml:space="preserve"> </w:t>
      </w:r>
      <w:r>
        <w:t xml:space="preserve"> </w:t>
      </w:r>
      <w:r>
        <w:rPr>
          <w:i/>
          <w:iCs/>
        </w:rPr>
        <w:t xml:space="preserve">Fix</w:t>
      </w:r>
      <w:r>
        <w:rPr>
          <w:i/>
          <w:iCs/>
        </w:rPr>
        <w:t xml:space="preserve"> </w:t>
      </w:r>
      <m:oMath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T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S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rPr>
          <w:i/>
          <w:iCs/>
        </w:rPr>
        <w:t xml:space="preserve">, hence</w:t>
      </w:r>
      <w:r>
        <w:rPr>
          <w:i/>
          <w:iCs/>
        </w:rPr>
        <w:t xml:space="preserve"> </w:t>
      </w:r>
      <m:oMath>
        <m:r>
          <m:t>D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m:oMath>
        <m:r>
          <m:t>M</m:t>
        </m:r>
      </m:oMath>
      <w:r>
        <w:rPr>
          <w:i/>
          <w:iCs/>
        </w:rPr>
        <w:t xml:space="preserve">, and fix the conditional label law outside</w:t>
      </w:r>
      <w:r>
        <w:rPr>
          <w:i/>
          <w:iCs/>
        </w:rPr>
        <w:t xml:space="preserve"> </w:t>
      </w:r>
      <m:oMath>
        <m:r>
          <m:t>D</m:t>
        </m:r>
      </m:oMath>
      <w:r>
        <w:rPr>
          <w:i/>
          <w:iCs/>
        </w:rPr>
        <w:t xml:space="preserve">.</w:t>
      </w:r>
      <w:r>
        <w:rPr>
          <w:i/>
          <w:iCs/>
        </w:rPr>
        <w:t xml:space="preserve"> </w:t>
      </w:r>
      <w:r>
        <w:rPr>
          <w:i/>
          <w:iCs/>
        </w:rPr>
        <w:t xml:space="preserve">For every measurable</w:t>
      </w:r>
      <w:r>
        <w:rPr>
          <w:i/>
          <w:iCs/>
        </w:rPr>
        <w:t xml:space="preserve"> </w:t>
      </w:r>
      <m:oMath>
        <m:r>
          <m:t>η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there is a target law with input marginal</w:t>
      </w:r>
      <w:r>
        <w:rPr>
          <w:i/>
          <w:iCs/>
        </w:rPr>
        <w:t xml:space="preserve"> </w:t>
      </w:r>
      <m:oMath>
        <m:sSub>
          <m:e>
            <m:r>
              <m:t>μ</m:t>
            </m:r>
          </m:e>
          <m:sub>
            <m:r>
              <m:t>T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f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on</w:t>
      </w:r>
      <w:r>
        <w:rPr>
          <w:i/>
          <w:iCs/>
        </w:rPr>
        <w:t xml:space="preserve"> </w:t>
      </w:r>
      <m:oMath>
        <m:r>
          <m:t>D</m:t>
        </m:r>
      </m:oMath>
      <w:r>
        <w:rPr>
          <w:i/>
          <w:iCs/>
        </w:rPr>
        <w:t xml:space="preserve">. Every label-free observable formed from the input batch,</w:t>
      </w:r>
      <w:r>
        <w:rPr>
          <w:i/>
          <w:iCs/>
        </w:rPr>
        <w:t xml:space="preserve"> </w:t>
      </w:r>
      <w:r>
        <w:rPr>
          <w:i/>
          <w:iCs/>
        </w:rPr>
        <w:t xml:space="preserve">the fixed models, and their outputs has the same law for all such</w:t>
      </w:r>
      <w:r>
        <w:rPr>
          <w:i/>
          <w:iCs/>
        </w:rPr>
        <w:t xml:space="preserve"> </w:t>
      </w:r>
      <m:oMath>
        <m:r>
          <m:t>η</m:t>
        </m:r>
      </m:oMath>
      <w:r>
        <w:rPr>
          <w:i/>
          <w:iCs/>
        </w:rPr>
        <w:t xml:space="preserve">, while</w:t>
      </w:r>
      <w:r>
        <w:rPr>
          <w:i/>
          <w:iCs/>
        </w:rPr>
        <w:t xml:space="preserve"> </w:t>
      </w:r>
      <m:oMathPara>
        <m:oMathParaPr>
          <m:jc m:val="center"/>
        </m:oMathParaPr>
        <m:oMath>
          <m:r>
            <m:t>γ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r>
            <m:t>η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  <w:widowControl/>
      </w:pPr>
      <w:r>
        <w:rPr>
          <w:i/>
          <w:iCs/>
        </w:rPr>
        <w:t xml:space="preserve">Proof.</w:t>
      </w:r>
      <w:r>
        <w:t xml:space="preserve"> </w:t>
      </w:r>
      <w:r>
        <w:t xml:space="preserve">On</w:t>
      </w:r>
      <w:r>
        <w:t xml:space="preserve"> </w:t>
      </w:r>
      <m:oMath>
        <m:r>
          <m:t>D</m:t>
        </m:r>
      </m:oMath>
      <w:r>
        <w:t xml:space="preserve">, binary predictors disagree, so their outputs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 Assign conditional mass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η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retaining the fixed kernel outside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This changes no input marginal or model output and therefore changes no label-free evidence law.</w:t>
      </w:r>
      <w:r>
        <w:t xml:space="preserve"> </w:t>
      </w:r>
      <w:r>
        <w:t xml:space="preserve">The expression for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follows from Eq. (3). ◻</w:t>
      </w:r>
    </w:p>
    <w:bookmarkEnd w:id="33"/>
    <w:bookmarkStart w:id="34" w:name="X5a94b9d48aaf3ec4957b807ccd5ee82da1e9c20"/>
    <w:p>
      <w:pPr>
        <w:pStyle w:val="Heading2"/>
        <w:widowControl/>
      </w:pPr>
      <w:r>
        <w:t xml:space="preserve">Benefit Reduction and Matched-Evidence Impossibility</w:t>
      </w:r>
    </w:p>
    <w:p>
      <w:pPr>
        <w:pStyle w:val="FirstParagraph"/>
        <w:widowControl/>
      </w:pPr>
      <w:r>
        <w:rPr>
          <w:b/>
          <w:bCs/>
        </w:rPr>
        <w:t xml:space="preserve">Lemma 2</w:t>
      </w:r>
      <w:r>
        <w:t xml:space="preserve"> </w:t>
      </w:r>
      <w:r>
        <w:t xml:space="preserve">(Disagreement-region reduction).</w:t>
      </w:r>
      <w:r>
        <w:t xml:space="preserve"> </w:t>
      </w:r>
      <w:r>
        <w:t xml:space="preserve"> </w:t>
      </w:r>
      <w:r>
        <w:rPr>
          <w:i/>
          <w:iCs/>
        </w:rPr>
        <w:t xml:space="preserve">Under Assumption 1, with</w:t>
      </w:r>
      <w:r>
        <w:rPr>
          <w:i/>
          <w:iCs/>
        </w:rP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rPr>
                <m:scr m:val="double-struck"/>
                <m:sty m:val="p"/>
              </m:rPr>
              <m:t>P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sSub>
          <m:e>
            <m:r>
              <m:t>f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</m:oMath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=</m:t>
          </m:r>
          <m:r>
            <m:t>2</m:t>
          </m:r>
          <m:r>
            <m:t> </m:t>
          </m:r>
          <m:sSub>
            <m:e>
              <m:r>
                <m:t>μ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rPr>
              <m:sty m:val="p"/>
            </m:rPr>
            <m:t>,</m:t>
          </m:r>
        </m:oMath>
      </m:oMathPara>
      <w:r>
        <w:rPr>
          <w:i/>
          <w:iCs/>
        </w:rPr>
        <w:t xml:space="preserve"> </w:t>
      </w:r>
      <m:oMathPara>
        <m:oMathParaPr>
          <m:jc m:val="center"/>
        </m:oMathParaPr>
        <m:oMath>
          <m:r>
            <m:rPr>
              <m:sty m:val="p"/>
            </m:rPr>
            <m:t>sign</m:t>
          </m:r>
          <m:r>
            <m:rPr>
              <m:sty m:val="p"/>
            </m:rPr>
            <m:t>Δ</m:t>
          </m:r>
          <m:r>
            <m:rPr>
              <m:sty m:val="p"/>
            </m:rPr>
            <m:t>=</m:t>
          </m:r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−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+</m:t>
          </m:r>
          <m:r>
            <m:t>γ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  <w:r>
        <w:rPr>
          <w:i/>
          <w:iCs/>
        </w:rPr>
        <w:t xml:space="preserve"> </w:t>
      </w:r>
      <w:r>
        <w:rPr>
          <w:i/>
          <w:iCs/>
        </w:rPr>
        <w:t xml:space="preserve">The identity</w:t>
      </w:r>
      <w:r>
        <w:rPr>
          <w:i/>
          <w:iCs/>
        </w:rPr>
        <w:t xml:space="preserve"> </w:t>
      </w:r>
      <m:oMath>
        <m:r>
          <m:rPr>
            <m:sty m:val="p"/>
          </m:rPr>
          <m:t>sign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rPr>
            <m:sty m:val="p"/>
          </m:rPr>
          <m:t>sign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γ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holds for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every</w:t>
      </w:r>
      <w:r>
        <w:rPr>
          <w:i/>
          <w:iCs/>
        </w:rPr>
        <w:t xml:space="preserve"> </w:t>
      </w:r>
      <w:r>
        <w:rPr>
          <w:i/>
          <w:iCs/>
        </w:rPr>
        <w:t xml:space="preserve">target law; it does not</w:t>
      </w:r>
      <w:r>
        <w:rPr>
          <w:i/>
          <w:iCs/>
        </w:rPr>
        <w:t xml:space="preserve"> </w:t>
      </w:r>
      <w:r>
        <w:rPr>
          <w:i/>
          <w:iCs/>
        </w:rPr>
        <w:t xml:space="preserve">assume</w:t>
      </w:r>
      <w:r>
        <w:rPr>
          <w:i/>
          <w:iCs/>
        </w:rPr>
        <w:t xml:space="preserve"> </w:t>
      </w:r>
      <m:oMath>
        <m:r>
          <m:rPr>
            <m:sty m:val="p"/>
          </m:rPr>
          <m:t>|</m:t>
        </m:r>
        <m:r>
          <m:t>γ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β</m:t>
        </m:r>
      </m:oMath>
      <w:r>
        <w:rPr>
          <w:i/>
          <w:iCs/>
        </w:rPr>
        <w:t xml:space="preserve">.</w:t>
      </w:r>
    </w:p>
    <w:p>
      <w:pPr>
        <w:pStyle w:val="FirstParagraph"/>
        <w:widowControl/>
      </w:pPr>
      <w:r>
        <w:rPr>
          <w:i/>
          <w:iCs/>
        </w:rPr>
        <w:t xml:space="preserve">Proof.</w:t>
      </w:r>
      <w:r>
        <w:t xml:space="preserve"> </w:t>
      </w:r>
      <w:r>
        <w:t xml:space="preserve">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exactly one of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correct under</w:t>
      </w:r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1</m:t>
        </m:r>
      </m:oMath>
      <w:r>
        <w:t xml:space="preserve"> </w:t>
      </w:r>
      <w:r>
        <w:t xml:space="preserve">loss, so the benefit equals</w:t>
      </w:r>
      <w:r>
        <w:t xml:space="preserve"> </w:t>
      </w:r>
      <m:oMath>
        <m:r>
          <m:t>2</m:t>
        </m:r>
        <m:sSub>
          <m:e>
            <m:r>
              <m:t>μ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. By the definitions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γ</m:t>
        </m:r>
      </m:oMath>
      <w:r>
        <w:t xml:space="preserve">,</w:t>
      </w:r>
    </w:p>
    <w:p>
      <w:pPr>
        <w:pStyle w:val="BodyText"/>
        <w:widowControl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+</m:t>
          </m:r>
          <m:r>
            <m:t>γ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μ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</m:sub>
              </m:sSub>
              <m:r>
                <m:rPr>
                  <m:sty m:val="p"/>
                </m:rPr>
                <m:t>[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t>μ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D</m:t>
              </m:r>
            </m:sub>
          </m:sSub>
          <m:r>
            <m:rPr>
              <m:sty m:val="p"/>
            </m:rPr>
            <m:t>[</m:t>
          </m:r>
          <m:sSub>
            <m:e>
              <m:r>
                <m:t>η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  <w:widowControl/>
      </w:pPr>
      <m:oMathPara>
        <m:oMathParaPr>
          <m:jc m:val="center"/>
        </m:oMathParaPr>
        <m:oMath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t>μ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D</m:t>
              </m:r>
            </m:sub>
          </m:sSub>
          <m:r>
            <m:rPr>
              <m:sty m:val="p"/>
            </m:rPr>
            <m:t>[</m:t>
          </m:r>
          <m:sSub>
            <m:e>
              <m:r>
                <m:t>η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−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  <w:widowControl/>
      </w:pPr>
      <w:r>
        <w:t xml:space="preserve">so</w:t>
      </w:r>
      <w:r>
        <w:t xml:space="preserve"> </w:t>
      </w:r>
      <m:oMath>
        <m:r>
          <m:rPr>
            <m:sty m:val="p"/>
          </m:rPr>
          <m:t>sign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rPr>
            <m:sty m:val="p"/>
          </m:rPr>
          <m:t>sign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sign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γ</m:t>
        </m:r>
        <m:r>
          <m:rPr>
            <m:sty m:val="p"/>
          </m:rPr>
          <m:t>)</m:t>
        </m:r>
      </m:oMath>
      <w:r>
        <w:t xml:space="preserve">. ◻</w:t>
      </w:r>
    </w:p>
    <w:p>
      <w:pPr>
        <w:pStyle w:val="BodyText"/>
        <w:widowControl/>
      </w:pPr>
      <w:r>
        <w:rPr>
          <w:b/>
          <w:bCs/>
        </w:rPr>
        <w:t xml:space="preserve">Theorem 1</w:t>
      </w:r>
      <w:r>
        <w:t xml:space="preserve"> </w:t>
      </w:r>
      <w:r>
        <w:t xml:space="preserve">(Interior matched-evidence impossibility).</w:t>
      </w:r>
      <w:r>
        <w:t xml:space="preserve"> </w:t>
      </w:r>
      <w:r>
        <w:t xml:space="preserve"> </w:t>
      </w:r>
      <w:r>
        <w:rPr>
          <w:i/>
          <w:iCs/>
        </w:rPr>
        <w:t xml:space="preserve">Fix</w:t>
      </w:r>
      <w:r>
        <w:rPr>
          <w:i/>
          <w:iCs/>
        </w:rPr>
        <w:t xml:space="preserve"> </w:t>
      </w:r>
      <m:oMath>
        <m:r>
          <m:t>β</m:t>
        </m:r>
        <m:r>
          <m:rPr>
            <m:sty m:val="p"/>
          </m:rPr>
          <m:t>&gt;</m:t>
        </m:r>
        <m:r>
          <m:t>0</m:t>
        </m:r>
      </m:oMath>
      <w:r>
        <w:rPr>
          <w:i/>
          <w:iCs/>
        </w:rPr>
        <w:t xml:space="preserve">. For any margin with</w:t>
      </w:r>
      <w:r>
        <w:rPr>
          <w:i/>
          <w:iCs/>
        </w:rPr>
        <w:t xml:space="preserve"> </w:t>
      </w:r>
      <m:oMath>
        <m:r>
          <m:rPr>
            <m:sty m:val="p"/>
          </m:rPr>
          <m:t>|</m:t>
        </m:r>
        <m:r>
          <m:t>M</m:t>
        </m:r>
        <m:r>
          <m:rPr>
            <m:sty m:val="p"/>
          </m:rPr>
          <m:t>|</m:t>
        </m:r>
        <m:r>
          <m:rPr>
            <m:sty m:val="p"/>
          </m:rPr>
          <m:t>&lt;</m:t>
        </m:r>
        <m:r>
          <m:t>β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there exist</w:t>
      </w:r>
      <w:r>
        <w:rPr>
          <w:i/>
          <w:iCs/>
        </w:rPr>
        <w:t xml:space="preserve"> </w:t>
      </w:r>
      <m:oMath>
        <m:sSubSup>
          <m:e>
            <m:r>
              <m:t>P</m:t>
            </m:r>
          </m:e>
          <m:sub>
            <m:r>
              <m:t>T</m:t>
            </m:r>
          </m:sub>
          <m:sup>
            <m:r>
              <m:t>1</m:t>
            </m:r>
          </m:sup>
        </m:sSubSup>
        <m:r>
          <m:rPr>
            <m:sty m:val="p"/>
          </m:rPr>
          <m:t>,</m:t>
        </m:r>
        <m:sSubSup>
          <m:e>
            <m:r>
              <m:t>P</m:t>
            </m:r>
          </m:e>
          <m:sub>
            <m:r>
              <m:t>T</m:t>
            </m:r>
          </m:sub>
          <m:sup>
            <m:r>
              <m:t>2</m:t>
            </m:r>
          </m:sup>
        </m:sSubSup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C</m:t>
            </m:r>
          </m:e>
          <m:sub>
            <m:r>
              <m:t>β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such</w:t>
      </w:r>
      <w:r>
        <w:rPr>
          <w:i/>
          <w:iCs/>
        </w:rPr>
        <w:t xml:space="preserve"> </w:t>
      </w:r>
      <w:r>
        <w:rPr>
          <w:i/>
          <w:iCs/>
        </w:rPr>
        <w:t xml:space="preserve">that</w:t>
      </w:r>
      <w:r>
        <w:rPr>
          <w:i/>
          <w:iCs/>
        </w:rPr>
        <w:t xml:space="preserve"> </w:t>
      </w:r>
      <m:oMath>
        <m:r>
          <m:rPr>
            <m:sty m:val="p"/>
          </m:rPr>
          <m:t>L</m:t>
        </m:r>
        <m:r>
          <m:rPr>
            <m:sty m:val="p"/>
          </m:rPr>
          <m:t>a</m:t>
        </m:r>
        <m:r>
          <m:rPr>
            <m:sty m:val="p"/>
          </m:rPr>
          <m:t>w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∣</m:t>
        </m:r>
        <m:sSubSup>
          <m:e>
            <m:r>
              <m:t>P</m:t>
            </m:r>
          </m:e>
          <m:sub>
            <m:r>
              <m:t>T</m:t>
            </m:r>
          </m:sub>
          <m:sup>
            <m:r>
              <m:t>1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</m:t>
        </m:r>
        <m:r>
          <m:rPr>
            <m:sty m:val="p"/>
          </m:rPr>
          <m:t>a</m:t>
        </m:r>
        <m:r>
          <m:rPr>
            <m:sty m:val="p"/>
          </m:rPr>
          <m:t>w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∣</m:t>
        </m:r>
        <m:sSubSup>
          <m:e>
            <m:r>
              <m:t>P</m:t>
            </m:r>
          </m:e>
          <m:sub>
            <m:r>
              <m:t>T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for</w:t>
      </w:r>
      <w:r>
        <w:rPr>
          <w:i/>
          <w:iCs/>
        </w:rP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)</m:t>
        </m:r>
      </m:oMath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m:oMath>
        <m:r>
          <m:t>M</m:t>
        </m:r>
        <m:r>
          <m:rPr>
            <m:sty m:val="p"/>
          </m:rPr>
          <m:t>(</m:t>
        </m:r>
        <m:sSubSup>
          <m:e>
            <m:r>
              <m:t>P</m:t>
            </m:r>
          </m:e>
          <m:sub>
            <m:r>
              <m:t>T</m:t>
            </m:r>
          </m:sub>
          <m:sup>
            <m:r>
              <m:t>1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(</m:t>
        </m:r>
        <m:sSubSup>
          <m:e>
            <m:r>
              <m:t>P</m:t>
            </m:r>
          </m:e>
          <m:sub>
            <m:r>
              <m:t>T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m:oMath>
        <m:r>
          <m:rPr>
            <m:sty m:val="p"/>
          </m:rPr>
          <m:t>sign</m:t>
        </m:r>
        <m:sSub>
          <m:e>
            <m:r>
              <m:rPr>
                <m:sty m:val="p"/>
              </m:rPr>
              <m:t>Δ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sign</m:t>
        </m:r>
        <m:sSub>
          <m:e>
            <m:r>
              <m:rPr>
                <m:sty m:val="p"/>
              </m:rPr>
              <m:t>Δ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 (For</w:t>
      </w:r>
      <w:r>
        <w:rPr>
          <w:i/>
          <w:iCs/>
        </w:rP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the class</w:t>
      </w:r>
      <w:r>
        <w:rPr>
          <w:i/>
          <w:i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C</m:t>
            </m:r>
          </m:e>
          <m:sub>
            <m:r>
              <m:t>0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forces</w:t>
      </w:r>
      <w:r>
        <w:rPr>
          <w:i/>
          <w:iCs/>
        </w:rP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, so</w:t>
      </w:r>
      <w:r>
        <w:rPr>
          <w:i/>
          <w:iCs/>
        </w:rPr>
        <w:t xml:space="preserve"> </w:t>
      </w:r>
      <m:oMath>
        <m:r>
          <m:rPr>
            <m:sty m:val="p"/>
          </m:rPr>
          <m:t>sign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rPr>
            <m:sty m:val="p"/>
          </m:rPr>
          <m:t>sign</m:t>
        </m:r>
        <m:r>
          <m:t>M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determined and no such pair exists: matched-evidence ambiguity is a strictly-positive-drift</w:t>
      </w:r>
      <w:r>
        <w:rPr>
          <w:i/>
          <w:iCs/>
        </w:rPr>
        <w:t xml:space="preserve"> </w:t>
      </w:r>
      <w:r>
        <w:rPr>
          <w:i/>
          <w:iCs/>
        </w:rPr>
        <w:t xml:space="preserve">phenomenon.)</w:t>
      </w:r>
    </w:p>
    <w:p>
      <w:pPr>
        <w:pStyle w:val="BodyText"/>
        <w:widowControl/>
      </w:pPr>
      <w:r>
        <w:rPr>
          <w:i/>
          <w:iCs/>
        </w:rPr>
        <w:t xml:space="preserve">Proof.</w:t>
      </w:r>
      <w:r>
        <w:t xml:space="preserve"> </w:t>
      </w:r>
      <w:r>
        <w:t xml:space="preserve">This is Lemma 1 read at one radius. Choose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δ</m:t>
        </m:r>
        <m:r>
          <m:rPr>
            <m:sty m:val="p"/>
          </m:rPr>
          <m:t>&lt;</m:t>
        </m:r>
        <m:r>
          <m:rPr>
            <m:sty m:val="p"/>
          </m:rPr>
          <m:t>min</m:t>
        </m:r>
        <m:r>
          <m:rPr>
            <m:sty m:val="p"/>
          </m:rPr>
          <m:t>{</m:t>
        </m:r>
        <m:r>
          <m:t>β</m:t>
        </m:r>
        <m:r>
          <m:rPr>
            <m:sty m:val="p"/>
          </m:rPr>
          <m:t>−</m:t>
        </m:r>
        <m:r>
          <m:rPr>
            <m:sty m:val="p"/>
          </m:rPr>
          <m:t>|</m:t>
        </m:r>
        <m:r>
          <m:t>M</m:t>
        </m:r>
        <m:r>
          <m:rPr>
            <m:sty m:val="p"/>
          </m:rPr>
          <m:t>|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}</m:t>
        </m:r>
      </m:oMath>
      <w:r>
        <w:t xml:space="preserve"> </w:t>
      </w:r>
      <w:r>
        <w:t xml:space="preserve">and apply the lemma with the two constant kernels</w:t>
      </w:r>
      <w:r>
        <w:t xml:space="preserve"> </w:t>
      </w:r>
      <m:oMath>
        <m:r>
          <m:t>η</m:t>
        </m:r>
        <m:r>
          <m:rPr>
            <m:sty m:val="p"/>
          </m:rPr>
          <m:t>≡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θ</m:t>
        </m:r>
        <m:r>
          <m:t>δ</m:t>
        </m:r>
      </m:oMath>
      <w:r>
        <w:t xml:space="preserve">,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</m:oMath>
      <w:r>
        <w:t xml:space="preserve">, holding the off-</w:t>
      </w:r>
      <m:oMath>
        <m:r>
          <m:t>D</m:t>
        </m:r>
      </m:oMath>
      <w:r>
        <w:t xml:space="preserve"> </w:t>
      </w:r>
      <w:r>
        <w:t xml:space="preserve">kernel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common to both worlds. The lemma supplies the two laws</w:t>
      </w:r>
      <w:r>
        <w:t xml:space="preserve"> </w:t>
      </w:r>
      <m:oMath>
        <m:sSubSup>
          <m:e>
            <m:r>
              <m:t>P</m:t>
            </m:r>
          </m:e>
          <m:sub>
            <m:r>
              <m:t>T</m:t>
            </m:r>
          </m:sub>
          <m:sup>
            <m:r>
              <m:t>θ</m:t>
            </m:r>
          </m:sup>
        </m:sSubSup>
      </m:oMath>
      <w:r>
        <w:t xml:space="preserve">, and:</w:t>
      </w:r>
      <w:r>
        <w:t xml:space="preserve"> </w:t>
      </w:r>
      <w:r>
        <w:rPr>
          <w:i/>
          <w:iCs/>
        </w:rPr>
        <w:t xml:space="preserve">class membership,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θ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θ</m:t>
        </m:r>
        <m:r>
          <m:t>δ</m:t>
        </m:r>
      </m:oMath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γ</m:t>
            </m:r>
          </m:e>
          <m:sub>
            <m:r>
              <m:t>θ</m:t>
            </m:r>
          </m:sub>
        </m:sSub>
        <m:r>
          <m:rPr>
            <m:sty m:val="p"/>
          </m:rPr>
          <m:t>=</m:t>
        </m:r>
        <m:r>
          <m:t>θ</m:t>
        </m:r>
        <m:r>
          <m:t>δ</m:t>
        </m:r>
        <m:r>
          <m:rPr>
            <m:sty m:val="p"/>
          </m:rPr>
          <m:t>−</m:t>
        </m:r>
        <m:r>
          <m:t>M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γ</m:t>
            </m:r>
          </m:e>
          <m:sub>
            <m:r>
              <m:t>θ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+</m:t>
        </m:r>
        <m:r>
          <m:rPr>
            <m:sty m:val="p"/>
          </m:rPr>
          <m:t>|</m:t>
        </m:r>
        <m:r>
          <m:t>M</m:t>
        </m:r>
        <m:r>
          <m:rPr>
            <m:sty m:val="p"/>
          </m:rPr>
          <m:t>|</m:t>
        </m:r>
        <m:r>
          <m:rPr>
            <m:sty m:val="p"/>
          </m:rPr>
          <m:t>&lt;</m:t>
        </m:r>
        <m:r>
          <m:t>β</m:t>
        </m:r>
      </m:oMath>
      <w:r>
        <w:t xml:space="preserve">, hence both worlds lie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C</m:t>
            </m:r>
          </m:e>
          <m:sub>
            <m:r>
              <m:t>β</m:t>
            </m:r>
          </m:sub>
        </m:sSub>
      </m:oMath>
      <w:r>
        <w:t xml:space="preserve">;</w:t>
      </w:r>
      <w:r>
        <w:t xml:space="preserve"> </w:t>
      </w:r>
      <w:r>
        <w:rPr>
          <w:i/>
          <w:iCs/>
        </w:rPr>
        <w:t xml:space="preserve">matched evidence,</w:t>
      </w:r>
      <w:r>
        <w:t xml:space="preserve"> </w:t>
      </w:r>
      <m:oMath>
        <m:r>
          <m:rPr>
            <m:sty m:val="p"/>
          </m:rPr>
          <m:t>L</m:t>
        </m:r>
        <m:r>
          <m:rPr>
            <m:sty m:val="p"/>
          </m:rPr>
          <m:t>a</m:t>
        </m:r>
        <m:r>
          <m:rPr>
            <m:sty m:val="p"/>
          </m:rPr>
          <m:t>w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∣</m:t>
        </m:r>
        <m:sSubSup>
          <m:e>
            <m:r>
              <m:t>P</m:t>
            </m:r>
          </m:e>
          <m:sub>
            <m:r>
              <m:t>T</m:t>
            </m:r>
          </m:sub>
          <m:sup>
            <m:r>
              <m:t>η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by the lemma 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W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L</m:t>
        </m:r>
        <m:r>
          <m:rPr>
            <m:sty m:val="p"/>
          </m:rPr>
          <m:t>a</m:t>
        </m:r>
        <m:r>
          <m:rPr>
            <m:sty m:val="p"/>
          </m:rPr>
          <m:t>w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∣</m:t>
        </m:r>
        <m:sSubSup>
          <m:e>
            <m:r>
              <m:t>P</m:t>
            </m:r>
          </m:e>
          <m:sub>
            <m:r>
              <m:t>T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</m:t>
        </m:r>
        <m:r>
          <m:rPr>
            <m:sty m:val="p"/>
          </m:rPr>
          <m:t>a</m:t>
        </m:r>
        <m:r>
          <m:rPr>
            <m:sty m:val="p"/>
          </m:rPr>
          <m:t>w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∣</m:t>
        </m:r>
        <m:sSubSup>
          <m:e>
            <m:r>
              <m:t>P</m:t>
            </m:r>
          </m:e>
          <m:sub>
            <m:r>
              <m:t>T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rPr>
          <w:i/>
          <w:iCs/>
        </w:rPr>
        <w:t xml:space="preserve">opposite signs,</w:t>
      </w:r>
      <w:r>
        <w:t xml:space="preserve"> </w:t>
      </w:r>
      <w:r>
        <w:t xml:space="preserve">Lemma 2 gives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θ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μ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t> </m:t>
        </m:r>
        <m:r>
          <m:t>θ</m:t>
        </m:r>
        <m:r>
          <m:t>δ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sign</m:t>
        </m:r>
        <m:sSub>
          <m:e>
            <m:r>
              <m:rPr>
                <m:sty m:val="p"/>
              </m:rPr>
              <m:t>Δ</m:t>
            </m:r>
          </m:e>
          <m:sub>
            <m:r>
              <m:t>θ</m:t>
            </m:r>
          </m:sub>
        </m:sSub>
        <m:r>
          <m:rPr>
            <m:sty m:val="p"/>
          </m:rPr>
          <m:t>=</m:t>
        </m:r>
        <m:r>
          <m:t>θ</m:t>
        </m:r>
      </m:oMath>
      <w:r>
        <w:t xml:space="preserve">. ◻</w:t>
      </w:r>
    </w:p>
    <w:p>
      <w:pPr>
        <w:pStyle w:val="BodyText"/>
        <w:widowControl/>
      </w:pPr>
      <w:r>
        <w:t xml:space="preserve">The two evidence laws here coincide</w:t>
      </w:r>
      <w:r>
        <w:t xml:space="preserve"> </w:t>
      </w:r>
      <w:r>
        <w:rPr>
          <w:i/>
          <w:iCs/>
        </w:rPr>
        <w:t xml:space="preserve">exactly</w:t>
      </w:r>
      <w:r>
        <w:t xml:space="preserve">, not merely approximately: the</w:t>
      </w:r>
      <w:r>
        <w:t xml:space="preserve"> </w:t>
      </w:r>
      <w:r>
        <w:t xml:space="preserve">construction changes only the label kernel on</w:t>
      </w:r>
      <w:r>
        <w:t xml:space="preserve"> </w:t>
      </w:r>
      <m:oMath>
        <m:r>
          <m:t>D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function of unlabeled inputs and</w:t>
      </w:r>
      <w:r>
        <w:t xml:space="preserve"> </w:t>
      </w:r>
      <w:r>
        <w:t xml:space="preserve">model outputs. We therefore do not present this as a Le Cam two-point argument. A Le Cam argument</w:t>
      </w:r>
      <w:r>
        <w:t xml:space="preserve"> </w:t>
      </w:r>
      <w:r>
        <w:t xml:space="preserve">trades off a positive total-variation distance against the achievable error; here the distance is</w:t>
      </w:r>
      <w:r>
        <w:t xml:space="preserve"> </w:t>
      </w:r>
      <w:r>
        <w:t xml:space="preserve">zero, which is the degenerate and strongest case, and the corresponding statement is exact</w:t>
      </w:r>
      <w:r>
        <w:t xml:space="preserve"> </w:t>
      </w:r>
      <w:r>
        <w:t xml:space="preserve">non-identifiability rather than a rate.</w:t>
      </w:r>
    </w:p>
    <w:p>
      <w:pPr>
        <w:pStyle w:val="BodyText"/>
        <w:widowControl/>
      </w:pPr>
      <w:r>
        <w:rPr>
          <w:b/>
          <w:bCs/>
        </w:rPr>
        <w:t xml:space="preserve">Corollary 1</w:t>
      </w:r>
      <w:r>
        <w:t xml:space="preserve"> </w:t>
      </w:r>
      <w:r>
        <w:t xml:space="preserve">(Matched-evidence abstention lower bound).</w:t>
      </w:r>
      <w:r>
        <w:t xml:space="preserve"> </w:t>
      </w:r>
      <w:r>
        <w:t xml:space="preserve"> </w:t>
      </w:r>
      <w:r>
        <w:rPr>
          <w:i/>
          <w:iCs/>
        </w:rPr>
        <w:t xml:space="preserve">Fix</w:t>
      </w:r>
      <w:r>
        <w:rPr>
          <w:i/>
          <w:iCs/>
        </w:rPr>
        <w:t xml:space="preserve"> </w:t>
      </w:r>
      <m:oMath>
        <m:r>
          <m:t>α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rPr>
          <w:i/>
          <w:iCs/>
        </w:rPr>
        <w:t xml:space="preserve">. On the shared evidence law constructed in</w:t>
      </w:r>
      <w:r>
        <w:rPr>
          <w:i/>
          <w:iCs/>
        </w:rPr>
        <w:t xml:space="preserve"> </w:t>
      </w:r>
      <w:r>
        <w:rPr>
          <w:i/>
          <w:iCs/>
        </w:rPr>
        <w:t xml:space="preserve">Theorem 1, any possibly randomized label-free rule</w:t>
      </w:r>
      <w:r>
        <w:rPr>
          <w:i/>
          <w:iCs/>
        </w:rPr>
        <w:t xml:space="preserve"> </w:t>
      </w:r>
      <m:oMath>
        <m:r>
          <m:t>g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satisfying</w:t>
      </w:r>
      <w:r>
        <w:rPr>
          <w:i/>
          <w:iCs/>
        </w:rP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=</m:t>
        </m:r>
        <m:r>
          <m:rPr>
            <m:nor/>
            <m:sty m:val="p"/>
          </m:rPr>
          <m:t>adapt</m:t>
        </m:r>
        <m:r>
          <m:rPr>
            <m:sty m:val="p"/>
          </m:rPr>
          <m:t>,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≤</m:t>
        </m:r>
        <m:r>
          <m:t>α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in every admissible world and</w:t>
      </w:r>
      <w:r>
        <w:rPr>
          <w:i/>
          <w:iCs/>
        </w:rP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=</m:t>
        </m:r>
        <m:r>
          <m:rPr>
            <m:nor/>
            <m:sty m:val="p"/>
          </m:rPr>
          <m:t>freeze</m:t>
        </m:r>
        <m:r>
          <m:rPr>
            <m:sty m:val="p"/>
          </m:rPr>
          <m:t>,</m:t>
        </m:r>
        <m:r>
          <m:rPr>
            <m:sty m:val="p"/>
          </m:rPr>
          <m:t>Δ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≤</m:t>
        </m:r>
        <m:r>
          <m:t>α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in every admissible world must satisfy</w:t>
      </w:r>
      <w:r>
        <w:rPr>
          <w:i/>
          <w:iCs/>
        </w:rP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=</m:t>
        </m:r>
        <m:r>
          <m:rPr>
            <m:nor/>
            <m:sty m:val="p"/>
          </m:rPr>
          <m:t>abstain</m:t>
        </m:r>
        <m:r>
          <m:rPr>
            <m:sty m:val="p"/>
          </m:rPr>
          <m:t>]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2</m:t>
        </m:r>
        <m:r>
          <m:t>α</m:t>
        </m:r>
      </m:oMath>
      <w:r>
        <w:rPr>
          <w:i/>
          <w:iCs/>
        </w:rPr>
        <w:t xml:space="preserve">.</w:t>
      </w:r>
    </w:p>
    <w:p>
      <w:pPr>
        <w:pStyle w:val="BodyText"/>
        <w:widowControl/>
      </w:pPr>
      <w:r>
        <w:rPr>
          <w:i/>
          <w:iCs/>
        </w:rPr>
        <w:t xml:space="preserve">Proof.</w:t>
      </w:r>
      <w:r>
        <w:t xml:space="preserve"> </w:t>
      </w:r>
      <w:r>
        <w:t xml:space="preserve">The rule has the same action probabilities in the two evidence-identical worlds. Its adapt</w:t>
      </w:r>
      <w:r>
        <w:t xml:space="preserve"> </w:t>
      </w:r>
      <w:r>
        <w:t xml:space="preserve">probability is at most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in the negative world and its freeze probability is at most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in the positive world. The three action probabilities sum to one. ◻</w:t>
      </w:r>
    </w:p>
    <w:bookmarkEnd w:id="34"/>
    <w:bookmarkStart w:id="35" w:name="boundary-case"/>
    <w:p>
      <w:pPr>
        <w:pStyle w:val="Heading2"/>
        <w:widowControl/>
      </w:pPr>
      <w:r>
        <w:t xml:space="preserve">Boundary Case</w:t>
      </w:r>
    </w:p>
    <w:p>
      <w:pPr>
        <w:pStyle w:val="FirstParagraph"/>
        <w:widowControl/>
      </w:pPr>
      <w:r>
        <w:rPr>
          <w:b/>
          <w:bCs/>
        </w:rPr>
        <w:t xml:space="preserve">Proposition 1</w:t>
      </w:r>
      <w:r>
        <w:t xml:space="preserve"> </w:t>
      </w:r>
      <w:r>
        <w:t xml:space="preserve">(Boundary case and closed-band abstention).</w:t>
      </w:r>
      <w:r>
        <w:t xml:space="preserve"> </w:t>
      </w:r>
      <w:r>
        <w:t xml:space="preserve"> </w:t>
      </w:r>
      <w:r>
        <w:rPr>
          <w:i/>
          <w:iCs/>
        </w:rPr>
        <w:t xml:space="preserve">Fix</w:t>
      </w:r>
      <w:r>
        <w:rPr>
          <w:i/>
          <w:iCs/>
        </w:rPr>
        <w:t xml:space="preserve"> </w:t>
      </w:r>
      <m:oMath>
        <m:r>
          <m:t>α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rPr>
          <w:i/>
          <w:iCs/>
        </w:rPr>
        <w:t xml:space="preserve">. Under Definition 3, abstention is the pointwise</w:t>
      </w:r>
      <w:r>
        <w:rPr>
          <w:i/>
          <w:iCs/>
        </w:rPr>
        <w:t xml:space="preserve"> </w:t>
      </w:r>
      <w:r>
        <w:rPr>
          <w:i/>
          <w:iCs/>
        </w:rPr>
        <w:t xml:space="preserve">maximal sound three-way action throughout the closed band</w:t>
      </w:r>
      <w:r>
        <w:rPr>
          <w:i/>
          <w:iCs/>
        </w:rPr>
        <w:t xml:space="preserve"> </w:t>
      </w:r>
      <m:oMath>
        <m:r>
          <m:rPr>
            <m:sty m:val="p"/>
          </m:rPr>
          <m:t>|</m:t>
        </m:r>
        <m:r>
          <m:t>M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β</m:t>
        </m:r>
      </m:oMath>
      <w:r>
        <w:rPr>
          <w:i/>
          <w:iCs/>
        </w:rPr>
        <w:t xml:space="preserve">, and any label-free rule</w:t>
      </w:r>
      <w:r>
        <w:rPr>
          <w:i/>
          <w:iCs/>
        </w:rPr>
        <w:t xml:space="preserve"> </w:t>
      </w:r>
      <w:r>
        <w:rPr>
          <w:i/>
          <w:iCs/>
        </w:rPr>
        <w:t xml:space="preserve">controlling both marginal errors at level</w:t>
      </w:r>
      <w:r>
        <w:rPr>
          <w:i/>
          <w:iCs/>
        </w:rPr>
        <w:t xml:space="preserve"> </w:t>
      </w:r>
      <m:oMath>
        <m:r>
          <m:t>α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abstains there with probability at least</w:t>
      </w:r>
      <w:r>
        <w:rPr>
          <w:i/>
          <w:iCs/>
        </w:rP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α</m:t>
        </m:r>
      </m:oMath>
      <w:r>
        <w:rPr>
          <w:i/>
          <w:iCs/>
        </w:rPr>
        <w:t xml:space="preserve">. Opposite nonzero signs are asserted only in the interior</w:t>
      </w:r>
      <w:r>
        <w:rPr>
          <w:i/>
          <w:iCs/>
        </w:rPr>
        <w:t xml:space="preserve"> </w:t>
      </w:r>
      <m:oMath>
        <m:r>
          <m:rPr>
            <m:sty m:val="p"/>
          </m:rPr>
          <m:t>|</m:t>
        </m:r>
        <m:r>
          <m:t>M</m:t>
        </m:r>
        <m:r>
          <m:rPr>
            <m:sty m:val="p"/>
          </m:rPr>
          <m:t>|</m:t>
        </m:r>
        <m:r>
          <m:rPr>
            <m:sty m:val="p"/>
          </m:rPr>
          <m:t>&lt;</m:t>
        </m:r>
        <m:r>
          <m:t>β</m:t>
        </m:r>
      </m:oMath>
      <w:r>
        <w:rPr>
          <w:i/>
          <w:iCs/>
        </w:rPr>
        <w:t xml:space="preserve">.</w:t>
      </w:r>
    </w:p>
    <w:p>
      <w:pPr>
        <w:pStyle w:val="BodyText"/>
        <w:widowControl/>
      </w:pPr>
      <w:r>
        <w:rPr>
          <w:i/>
          <w:iCs/>
        </w:rPr>
        <w:t xml:space="preserve">Proof.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|</m:t>
        </m:r>
        <m:r>
          <m:t>M</m:t>
        </m:r>
        <m:r>
          <m:rPr>
            <m:sty m:val="p"/>
          </m:rPr>
          <m:t>|</m:t>
        </m:r>
        <m:r>
          <m:rPr>
            <m:sty m:val="p"/>
          </m:rPr>
          <m:t>&lt;</m:t>
        </m:r>
        <m:r>
          <m:t>β</m:t>
        </m:r>
      </m:oMath>
      <w:r>
        <w:t xml:space="preserve"> </w:t>
      </w:r>
      <w:r>
        <w:t xml:space="preserve">this is Theorem 1 together with</w:t>
      </w:r>
      <w:r>
        <w:t xml:space="preserve"> </w:t>
      </w:r>
      <w:r>
        <w:t xml:space="preserve">Corollary 1. For</w:t>
      </w:r>
      <w:r>
        <w:t xml:space="preserve"> </w:t>
      </w:r>
      <m:oMath>
        <m:r>
          <m:rPr>
            <m:sty m:val="p"/>
          </m:rPr>
          <m:t>|</m:t>
        </m:r>
        <m:r>
          <m:t>M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β</m:t>
        </m:r>
        <m:r>
          <m:rPr>
            <m:sty m:val="p"/>
          </m:rPr>
          <m:t>&gt;</m:t>
        </m:r>
        <m:r>
          <m:t>0</m:t>
        </m:r>
      </m:oMath>
      <w:r>
        <w:t xml:space="preserve">, the declared class contains an</w:t>
      </w:r>
      <w:r>
        <w:t xml:space="preserve"> </w:t>
      </w:r>
      <w:r>
        <w:t xml:space="preserve">augmented-evidence-identical zero-benefit world (take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M</m:t>
        </m:r>
      </m:oMath>
      <w:r>
        <w:t xml:space="preserve">, admissible since</w:t>
      </w:r>
      <w:r>
        <w:t xml:space="preserve"> </w:t>
      </w:r>
      <m:oMath>
        <m:r>
          <m:rPr>
            <m:sty m:val="p"/>
          </m:rPr>
          <m:t>|</m:t>
        </m:r>
        <m:r>
          <m:t>γ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β</m:t>
        </m:r>
      </m:oMath>
      <w:r>
        <w:t xml:space="preserve">) and a strict-benefit world of sign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). In the zero-benefit world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directional error events</w:t>
      </w:r>
      <w:r>
        <w:t xml:space="preserve"> </w:t>
      </w:r>
      <m:oMath>
        <m:r>
          <m:rPr>
            <m:sty m:val="p"/>
          </m:rPr>
          <m:t>{</m:t>
        </m:r>
        <m:r>
          <m:rPr>
            <m:nor/>
            <m:sty m:val="p"/>
          </m:rPr>
          <m:t>adapt</m:t>
        </m:r>
        <m:r>
          <m:rPr>
            <m:sty m:val="p"/>
          </m:rPr>
          <m:t>,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rPr>
            <m:nor/>
            <m:sty m:val="p"/>
          </m:rPr>
          <m:t>freeze</m:t>
        </m:r>
        <m:r>
          <m:rPr>
            <m:sty m:val="p"/>
          </m:rPr>
          <m:t>,</m:t>
        </m:r>
        <m:r>
          <m:rPr>
            <m:sty m:val="p"/>
          </m:rPr>
          <m:t>Δ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}</m:t>
        </m:r>
      </m:oMath>
      <w:r>
        <w:t xml:space="preserve"> </w:t>
      </w:r>
      <w:r>
        <w:t xml:space="preserve">occur whenever the rule commits; since the rule’s action</w:t>
      </w:r>
      <w:r>
        <w:t xml:space="preserve"> </w:t>
      </w:r>
      <w:r>
        <w:t xml:space="preserve">probabilities are identical across the two evidence-identical worlds, dual control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[</m:t>
        </m:r>
        <m:r>
          <m:rPr>
            <m:nor/>
            <m:sty m:val="p"/>
          </m:rPr>
          <m:t>adapt</m:t>
        </m:r>
        <m:r>
          <m:rPr>
            <m:sty m:val="p"/>
          </m:rPr>
          <m:t>]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[</m:t>
        </m:r>
        <m:r>
          <m:rPr>
            <m:nor/>
            <m:sty m:val="p"/>
          </m:rPr>
          <m:t>freeze</m:t>
        </m:r>
        <m:r>
          <m:rPr>
            <m:sty m:val="p"/>
          </m:rPr>
          <m:t>]</m:t>
        </m:r>
        <m:r>
          <m:rPr>
            <m:sty m:val="p"/>
          </m:rPr>
          <m:t>≤</m:t>
        </m:r>
        <m:r>
          <m:t>α</m:t>
        </m:r>
      </m:oMath>
      <w:r>
        <w:t xml:space="preserve">, hence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[</m:t>
        </m:r>
        <m:r>
          <m:rPr>
            <m:nor/>
            <m:sty m:val="p"/>
          </m:rPr>
          <m:t>abstain</m:t>
        </m:r>
        <m:r>
          <m:rPr>
            <m:sty m:val="p"/>
          </m:rPr>
          <m:t>]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2</m:t>
        </m:r>
        <m:r>
          <m:t>α</m:t>
        </m:r>
      </m:oMath>
      <w:r>
        <w:t xml:space="preserve">, and neither strict action is uniformly directionally sound.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class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C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≡</m:t>
        </m:r>
        <m:r>
          <m:t>0</m:t>
        </m:r>
      </m:oMath>
      <w:r>
        <w:t xml:space="preserve"> </w:t>
      </w:r>
      <w:r>
        <w:t xml:space="preserve">and the same</w:t>
      </w:r>
      <w:r>
        <w:t xml:space="preserve"> </w:t>
      </w:r>
      <w:r>
        <w:t xml:space="preserve">conclusion holds directly. ◻</w:t>
      </w:r>
    </w:p>
    <w:p>
      <w:pPr>
        <w:pStyle w:val="BodyText"/>
        <w:widowControl/>
      </w:pPr>
      <w:r>
        <w:t xml:space="preserve">This directional convention is stricter</w:t>
      </w:r>
      <w:r>
        <w:t xml:space="preserve"> </w:t>
      </w:r>
      <w:r>
        <w:t xml:space="preserve">than task regret: at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=</m:t>
        </m:r>
        <m:r>
          <m:t>0</m:t>
        </m:r>
      </m:oMath>
      <w:r>
        <w:t xml:space="preserve">, adapt and freeze are risk-equivalent but neither certifies a strict</w:t>
      </w:r>
      <w:r>
        <w:t xml:space="preserve"> </w:t>
      </w:r>
      <w:r>
        <w:t xml:space="preserve">sign.</w:t>
      </w:r>
    </w:p>
    <w:bookmarkEnd w:id="35"/>
    <w:bookmarkStart w:id="39" w:name="exact-strict-commitment-frontier"/>
    <w:p>
      <w:pPr>
        <w:pStyle w:val="Heading2"/>
        <w:widowControl/>
      </w:pPr>
      <w:r>
        <w:t xml:space="preserve">Exact Strict-Commitment Frontier</w:t>
      </w:r>
    </w:p>
    <w:p>
      <w:pPr>
        <w:pStyle w:val="FirstParagraph"/>
        <w:widowControl/>
      </w:pPr>
      <w:r>
        <w:rPr>
          <w:b/>
          <w:bCs/>
        </w:rPr>
        <w:t xml:space="preserve">Theorem 2</w:t>
      </w:r>
      <w:r>
        <w:t xml:space="preserve"> </w:t>
      </w:r>
      <w:r>
        <w:t xml:space="preserve">(Exact strict-commitment frontier).</w:t>
      </w:r>
      <w:r>
        <w:t xml:space="preserve"> </w:t>
      </w:r>
      <w:r>
        <w:t xml:space="preserve"> </w:t>
      </w:r>
      <w:r>
        <w:rPr>
          <w:i/>
          <w:iCs/>
        </w:rPr>
        <w:t xml:space="preserve">Under Assumption 1, fix the observables</w:t>
      </w:r>
      <w:r>
        <w:rPr>
          <w:i/>
          <w:iCs/>
        </w:rPr>
        <w:t xml:space="preserve"> </w:t>
      </w:r>
      <m:oMath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T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S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so</w:t>
      </w:r>
      <w:r>
        <w:rPr>
          <w:i/>
          <w:iCs/>
        </w:rPr>
        <w:t xml:space="preserve"> </w:t>
      </w:r>
      <m:oMath>
        <m:r>
          <m:t>M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</w:t>
      </w:r>
      <w:r>
        <w:rPr>
          <w:i/>
          <w:iCs/>
        </w:rPr>
        <w:t xml:space="preserve"> </w:t>
      </w:r>
      <w:r>
        <w:rPr>
          <w:i/>
          <w:iCs/>
        </w:rPr>
        <w:t xml:space="preserve">determined, and let</w:t>
      </w:r>
      <w:r>
        <w:rPr>
          <w:i/>
          <w:iCs/>
        </w:rPr>
        <w:t xml:space="preserve"> </w:t>
      </w:r>
      <m:oMath>
        <m:r>
          <m:t>β</m:t>
        </m:r>
        <m:r>
          <m:rPr>
            <m:sty m:val="p"/>
          </m:rPr>
          <m:t>≥</m:t>
        </m:r>
        <m:r>
          <m:t>0</m:t>
        </m:r>
      </m:oMath>
      <w:r>
        <w:rPr>
          <w:i/>
          <w:iCs/>
        </w:rPr>
        <w:t xml:space="preserve">. The necessity and maximality clauses use the full class</w:t>
      </w:r>
      <w:r>
        <w:rPr>
          <w:i/>
          <w:i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C</m:t>
            </m:r>
          </m:e>
          <m:sub>
            <m:r>
              <m:t>β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and therefore its richness: it contains the evidence-identical label kernels</w:t>
      </w:r>
      <w:r>
        <w:rPr>
          <w:i/>
          <w:iCs/>
        </w:rPr>
        <w:t xml:space="preserve"> </w:t>
      </w:r>
      <w:r>
        <w:rPr>
          <w:i/>
          <w:iCs/>
        </w:rPr>
        <w:t xml:space="preserve">constructed in Theorem 1 and the zero-benefit boundary law. For a narrower declared</w:t>
      </w:r>
      <w:r>
        <w:rPr>
          <w:i/>
          <w:iCs/>
        </w:rPr>
        <w:t xml:space="preserve"> </w:t>
      </w:r>
      <w:r>
        <w:rPr>
          <w:i/>
          <w:iCs/>
        </w:rPr>
        <w:t xml:space="preserve">subclass not closed under these constructions, only the sufficiency clause follows without an</w:t>
      </w:r>
      <w:r>
        <w:rPr>
          <w:i/>
          <w:iCs/>
        </w:rPr>
        <w:t xml:space="preserve"> </w:t>
      </w:r>
      <w:r>
        <w:rPr>
          <w:i/>
          <w:iCs/>
        </w:rPr>
        <w:t xml:space="preserve">additional richness assumption.</w:t>
      </w:r>
    </w:p>
    <w:p>
      <w:pPr>
        <w:widowControl/>
        <w:numPr>
          <w:ilvl w:val="0"/>
          <w:numId w:val="1002"/>
        </w:numPr>
      </w:pPr>
      <w:r>
        <w:rPr>
          <w:b/>
          <w:bCs/>
          <w:i/>
          <w:iCs/>
        </w:rPr>
        <w:t xml:space="preserve">Reduction.</w:t>
      </w:r>
      <w:r>
        <w:rPr>
          <w:i/>
          <w:iCs/>
        </w:rPr>
        <w:t xml:space="preserve"> </w:t>
      </w:r>
      <w:r>
        <w:rPr>
          <w:i/>
          <w:iCs/>
        </w:rPr>
        <w:t xml:space="preserve">For every</w:t>
      </w:r>
      <w:r>
        <w:rPr>
          <w:i/>
          <w:iCs/>
        </w:rP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</m:oMath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m:oMath>
        <m:r>
          <m:rPr>
            <m:sty m:val="p"/>
          </m:rPr>
          <m:t>sign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rPr>
            <m:sty m:val="p"/>
          </m:rPr>
          <m:t>sign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γ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(Lemma 2).</w:t>
      </w:r>
    </w:p>
    <w:p>
      <w:pPr>
        <w:widowControl/>
        <w:numPr>
          <w:ilvl w:val="0"/>
          <w:numId w:val="1002"/>
        </w:numPr>
      </w:pPr>
      <w:r>
        <w:rPr>
          <w:b/>
          <w:bCs/>
          <w:i/>
          <w:iCs/>
        </w:rPr>
        <w:t xml:space="preserve">Sufficiency.</w:t>
      </w:r>
      <w:r>
        <w:rPr>
          <w:i/>
          <w:iCs/>
        </w:rPr>
        <w:t xml:space="preserve"> </w:t>
      </w:r>
      <w:r>
        <w:rPr>
          <w:i/>
          <w:iCs/>
        </w:rPr>
        <w:t xml:space="preserve">If</w:t>
      </w:r>
      <w:r>
        <w:rPr>
          <w:i/>
          <w:iCs/>
        </w:rPr>
        <w:t xml:space="preserve"> </w:t>
      </w:r>
      <m:oMath>
        <m:r>
          <m:rPr>
            <m:sty m:val="p"/>
          </m:rPr>
          <m:t>|</m:t>
        </m:r>
        <m:r>
          <m:t>M</m:t>
        </m:r>
        <m:r>
          <m:rPr>
            <m:sty m:val="p"/>
          </m:rPr>
          <m:t>|</m:t>
        </m:r>
        <m:r>
          <m:rPr>
            <m:sty m:val="p"/>
          </m:rPr>
          <m:t>&gt;</m:t>
        </m:r>
        <m:r>
          <m:t>β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C</m:t>
            </m:r>
          </m:e>
          <m:sub>
            <m:r>
              <m:t>β</m:t>
            </m:r>
          </m:sub>
        </m:sSub>
      </m:oMath>
      <w:r>
        <w:rPr>
          <w:i/>
          <w:iCs/>
        </w:rPr>
        <w:t xml:space="preserve">, then</w:t>
      </w:r>
      <w:r>
        <w:rPr>
          <w:i/>
          <w:iCs/>
        </w:rPr>
        <w:t xml:space="preserve"> </w:t>
      </w:r>
      <m:oMath>
        <m:r>
          <m:rPr>
            <m:sty m:val="p"/>
          </m:rPr>
          <m:t>sign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rPr>
            <m:sty m:val="p"/>
          </m:rPr>
          <m:t>sign</m:t>
        </m:r>
        <m:r>
          <m:t>M</m:t>
        </m:r>
      </m:oMath>
      <w:r>
        <w:rPr>
          <w:i/>
          <w:iCs/>
        </w:rPr>
        <w:t xml:space="preserve">.</w:t>
      </w:r>
    </w:p>
    <w:p>
      <w:pPr>
        <w:widowControl/>
        <w:numPr>
          <w:ilvl w:val="0"/>
          <w:numId w:val="1002"/>
        </w:numPr>
      </w:pPr>
      <w:r>
        <w:rPr>
          <w:b/>
          <w:bCs/>
          <w:i/>
          <w:iCs/>
        </w:rPr>
        <w:t xml:space="preserve">Necessity.</w:t>
      </w:r>
      <w:r>
        <w:rPr>
          <w:i/>
          <w:iCs/>
        </w:rPr>
        <w:t xml:space="preserve"> </w:t>
      </w:r>
      <w:r>
        <w:rPr>
          <w:i/>
          <w:iCs/>
        </w:rPr>
        <w:t xml:space="preserve">If</w:t>
      </w:r>
      <w:r>
        <w:rPr>
          <w:i/>
          <w:iCs/>
        </w:rPr>
        <w:t xml:space="preserve"> </w:t>
      </w:r>
      <m:oMath>
        <m:r>
          <m:rPr>
            <m:sty m:val="p"/>
          </m:rPr>
          <m:t>|</m:t>
        </m:r>
        <m:r>
          <m:t>M</m:t>
        </m:r>
        <m:r>
          <m:rPr>
            <m:sty m:val="p"/>
          </m:rPr>
          <m:t>|</m:t>
        </m:r>
        <m:r>
          <m:rPr>
            <m:sty m:val="p"/>
          </m:rPr>
          <m:t>&lt;</m:t>
        </m:r>
        <m:r>
          <m:t>β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(which requires</w:t>
      </w:r>
      <w:r>
        <w:rPr>
          <w:i/>
          <w:iCs/>
        </w:rPr>
        <w:t xml:space="preserve"> </w:t>
      </w:r>
      <m:oMath>
        <m:r>
          <m:t>β</m:t>
        </m:r>
        <m:r>
          <m:rPr>
            <m:sty m:val="p"/>
          </m:rPr>
          <m:t>&gt;</m:t>
        </m:r>
        <m:r>
          <m:t>0</m:t>
        </m:r>
      </m:oMath>
      <w:r>
        <w:rPr>
          <w:i/>
          <w:iCs/>
        </w:rPr>
        <w:t xml:space="preserve">), there exist</w:t>
      </w:r>
      <w:r>
        <w:rPr>
          <w:i/>
          <w:iCs/>
        </w:rPr>
        <w:t xml:space="preserve"> </w:t>
      </w:r>
      <m:oMath>
        <m:sSubSup>
          <m:e>
            <m:r>
              <m:t>P</m:t>
            </m:r>
          </m:e>
          <m:sub>
            <m:r>
              <m:t>T</m:t>
            </m:r>
          </m:sub>
          <m:sup>
            <m:r>
              <m:t>1</m:t>
            </m:r>
          </m:sup>
        </m:sSubSup>
        <m:r>
          <m:rPr>
            <m:sty m:val="p"/>
          </m:rPr>
          <m:t>,</m:t>
        </m:r>
        <m:sSubSup>
          <m:e>
            <m:r>
              <m:t>P</m:t>
            </m:r>
          </m:e>
          <m:sub>
            <m:r>
              <m:t>T</m:t>
            </m:r>
          </m:sub>
          <m:sup>
            <m:r>
              <m:t>2</m:t>
            </m:r>
          </m:sup>
        </m:sSubSup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C</m:t>
            </m:r>
          </m:e>
          <m:sub>
            <m:r>
              <m:t>β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with the same augmented-evidence law and opposite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nonzero</w:t>
      </w:r>
      <w:r>
        <w:rPr>
          <w:i/>
          <w:iCs/>
        </w:rPr>
        <w:t xml:space="preserve"> </w:t>
      </w:r>
      <w:r>
        <w:rPr>
          <w:i/>
          <w:iCs/>
        </w:rPr>
        <w:t xml:space="preserve">benefit</w:t>
      </w:r>
      <w:r>
        <w:rPr>
          <w:i/>
          <w:iCs/>
        </w:rPr>
        <w:t xml:space="preserve"> </w:t>
      </w:r>
      <w:r>
        <w:rPr>
          <w:i/>
          <w:iCs/>
        </w:rPr>
        <w:t xml:space="preserve">signs; at</w:t>
      </w:r>
      <w:r>
        <w:rPr>
          <w:i/>
          <w:iCs/>
        </w:rPr>
        <w:t xml:space="preserve"> </w:t>
      </w:r>
      <m:oMath>
        <m:r>
          <m:rPr>
            <m:sty m:val="p"/>
          </m:rPr>
          <m:t>|</m:t>
        </m:r>
        <m:r>
          <m:t>M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β</m:t>
        </m:r>
        <m:r>
          <m:rPr>
            <m:sty m:val="p"/>
          </m:rPr>
          <m:t>&gt;</m:t>
        </m:r>
        <m:r>
          <m:t>0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the admissible drift</w:t>
      </w:r>
      <w:r>
        <w:rPr>
          <w:i/>
          <w:iCs/>
        </w:rP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sign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  <m:r>
          <m:t>β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yields</w:t>
      </w:r>
      <w:r>
        <w:rPr>
          <w:i/>
          <w:iCs/>
        </w:rP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, and in the</w:t>
      </w:r>
      <w:r>
        <w:rPr>
          <w:i/>
          <w:iCs/>
        </w:rPr>
        <w:t xml:space="preserve"> </w:t>
      </w:r>
      <w:r>
        <w:rPr>
          <w:i/>
          <w:iCs/>
        </w:rPr>
        <w:t xml:space="preserve">degenerate case</w:t>
      </w:r>
      <w:r>
        <w:rPr>
          <w:i/>
          <w:iCs/>
        </w:rPr>
        <w:t xml:space="preserve"> </w:t>
      </w:r>
      <m:oMath>
        <m:r>
          <m:t>M</m:t>
        </m:r>
        <m:r>
          <m:rPr>
            <m:sty m:val="p"/>
          </m:rPr>
          <m:t>=</m:t>
        </m:r>
        <m:r>
          <m:t>β</m:t>
        </m:r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the class</w:t>
      </w:r>
      <w:r>
        <w:rPr>
          <w:i/>
          <w:i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C</m:t>
            </m:r>
          </m:e>
          <m:sub>
            <m:r>
              <m:t>0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forces</w:t>
      </w:r>
      <w:r>
        <w:rPr>
          <w:i/>
          <w:iCs/>
        </w:rP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≡</m:t>
        </m:r>
        <m:r>
          <m:t>0</m:t>
        </m:r>
      </m:oMath>
      <w:r>
        <w:rPr>
          <w:i/>
          <w:iCs/>
        </w:rPr>
        <w:t xml:space="preserve">. Hence no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strict</w:t>
      </w:r>
      <w:r>
        <w:rPr>
          <w:i/>
          <w:iCs/>
        </w:rPr>
        <w:t xml:space="preserve"> </w:t>
      </w:r>
      <w:r>
        <w:rPr>
          <w:i/>
          <w:iCs/>
        </w:rPr>
        <w:t xml:space="preserve">benefit direction is uniformly supported by</w:t>
      </w:r>
      <w:r>
        <w:rPr>
          <w:i/>
          <w:iCs/>
        </w:rPr>
        <w:t xml:space="preserve"> </w:t>
      </w:r>
      <m:oMath>
        <m:r>
          <m:rPr>
            <m:sty m:val="p"/>
          </m:rPr>
          <m:t>L</m:t>
        </m:r>
        <m:r>
          <m:rPr>
            <m:sty m:val="p"/>
          </m:rPr>
          <m:t>a</m:t>
        </m:r>
        <m:r>
          <m:rPr>
            <m:sty m:val="p"/>
          </m:rPr>
          <m:t>w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over</w:t>
      </w:r>
      <w:r>
        <w:rPr>
          <w:i/>
          <w:i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C</m:t>
            </m:r>
          </m:e>
          <m:sub>
            <m:r>
              <m:t>β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whenever</w:t>
      </w:r>
      <w:r>
        <w:rPr>
          <w:i/>
          <w:iCs/>
        </w:rPr>
        <w:t xml:space="preserve"> </w:t>
      </w:r>
      <m:oMath>
        <m:r>
          <m:rPr>
            <m:sty m:val="p"/>
          </m:rPr>
          <m:t>|</m:t>
        </m:r>
        <m:r>
          <m:t>M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β</m:t>
        </m:r>
      </m:oMath>
      <w:r>
        <w:rPr>
          <w:i/>
          <w:iCs/>
        </w:rPr>
        <w:t xml:space="preserve">.</w:t>
      </w:r>
    </w:p>
    <w:p>
      <w:pPr>
        <w:widowControl/>
        <w:numPr>
          <w:ilvl w:val="0"/>
          <w:numId w:val="1002"/>
        </w:numPr>
      </w:pPr>
      <w:r>
        <w:rPr>
          <w:b/>
          <w:bCs/>
          <w:i/>
          <w:iCs/>
        </w:rPr>
        <w:t xml:space="preserve">Strict-commitment iff.</w:t>
      </w:r>
      <w:r>
        <w:rPr>
          <w:i/>
          <w:iCs/>
        </w:rPr>
        <w:t xml:space="preserve"> </w:t>
      </w:r>
      <w:r>
        <w:rPr>
          <w:i/>
          <w:iCs/>
        </w:rPr>
        <w:t xml:space="preserve">At the fixed augmented-evidence law, a</w:t>
      </w:r>
      <w:r>
        <w:rPr>
          <w:i/>
          <w:iCs/>
        </w:rPr>
        <w:t xml:space="preserve"> </w:t>
      </w:r>
      <w:r>
        <w:rPr>
          <w:i/>
          <w:iCs/>
        </w:rPr>
        <w:t xml:space="preserve">strict action in</w:t>
      </w:r>
      <w:r>
        <w:rPr>
          <w:i/>
          <w:iCs/>
        </w:rPr>
        <w:t xml:space="preserve"> </w:t>
      </w:r>
      <m:oMath>
        <m:r>
          <m:rPr>
            <m:sty m:val="p"/>
          </m:rPr>
          <m:t>{</m:t>
        </m:r>
        <m:r>
          <m:rPr>
            <m:nor/>
            <m:sty m:val="p"/>
          </m:rPr>
          <m:t>adapt</m:t>
        </m:r>
        <m:r>
          <m:rPr>
            <m:sty m:val="p"/>
          </m:rPr>
          <m:t>,</m:t>
        </m:r>
        <m:r>
          <m:rPr>
            <m:nor/>
            <m:sty m:val="p"/>
          </m:rPr>
          <m:t>freeze</m:t>
        </m:r>
        <m:r>
          <m:rPr>
            <m:sty m:val="p"/>
          </m:rPr>
          <m:t>}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uniformly directionally sound in the</w:t>
      </w:r>
      <w:r>
        <w:rPr>
          <w:i/>
          <w:iCs/>
        </w:rPr>
        <w:t xml:space="preserve"> </w:t>
      </w:r>
      <w:r>
        <w:rPr>
          <w:i/>
          <w:iCs/>
        </w:rPr>
        <w:t xml:space="preserve">sense of Definition 3 if and only if</w:t>
      </w:r>
      <w:r>
        <w:rPr>
          <w:i/>
          <w:iCs/>
        </w:rPr>
        <w:t xml:space="preserve"> </w:t>
      </w:r>
      <m:oMath>
        <m:r>
          <m:rPr>
            <m:sty m:val="p"/>
          </m:rPr>
          <m:t>|</m:t>
        </m:r>
        <m:r>
          <m:t>M</m:t>
        </m:r>
        <m:r>
          <m:rPr>
            <m:sty m:val="p"/>
          </m:rPr>
          <m:t>|</m:t>
        </m:r>
        <m:r>
          <m:rPr>
            <m:sty m:val="p"/>
          </m:rPr>
          <m:t>&gt;</m:t>
        </m:r>
        <m:r>
          <m:t>β</m:t>
        </m:r>
      </m:oMath>
      <w:r>
        <w:rPr>
          <w:i/>
          <w:iCs/>
        </w:rPr>
        <w:t xml:space="preserve">; on the closed band</w:t>
      </w:r>
      <w:r>
        <w:rPr>
          <w:i/>
          <w:iCs/>
        </w:rPr>
        <w:t xml:space="preserve"> </w:t>
      </w:r>
      <m:oMath>
        <m:r>
          <m:rPr>
            <m:sty m:val="p"/>
          </m:rPr>
          <m:t>|</m:t>
        </m:r>
        <m:r>
          <m:t>M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β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(including</w:t>
      </w:r>
      <w:r>
        <w:rPr>
          <w:i/>
          <w:iCs/>
        </w:rPr>
        <w:t xml:space="preserve"> </w:t>
      </w:r>
      <m:oMath>
        <m:r>
          <m:t>M</m:t>
        </m:r>
        <m:r>
          <m:rPr>
            <m:sty m:val="p"/>
          </m:rPr>
          <m:t>=</m:t>
        </m:r>
        <m:r>
          <m:t>β</m:t>
        </m:r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, where</w:t>
      </w:r>
      <w:r>
        <w:rPr>
          <w:i/>
          <w:iCs/>
        </w:rP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≡</m:t>
        </m:r>
        <m:r>
          <m:t>0</m:t>
        </m:r>
      </m:oMath>
      <w:r>
        <w:rPr>
          <w:i/>
          <w:iCs/>
        </w:rPr>
        <w:t xml:space="preserve">) abstention</w:t>
      </w:r>
      <w:r>
        <w:rPr>
          <w:i/>
          <w:iCs/>
        </w:rPr>
        <w:t xml:space="preserve"> </w:t>
      </w:r>
      <w:r>
        <w:rPr>
          <w:i/>
          <w:iCs/>
        </w:rPr>
        <w:t xml:space="preserve">is the pointwise maximal sound action.</w:t>
      </w:r>
    </w:p>
    <w:p>
      <w:pPr>
        <w:pStyle w:val="FirstParagraph"/>
        <w:widowControl/>
      </w:pPr>
      <w:r>
        <w:rPr>
          <w:i/>
          <w:iCs/>
        </w:rPr>
        <w:t xml:space="preserve">The population rule</w:t>
      </w:r>
      <w:r>
        <w:rPr>
          <w:i/>
          <w:iCs/>
        </w:rPr>
        <w:t xml:space="preserve"> </w:t>
      </w:r>
      <m:oMath>
        <m:r>
          <m:t>M</m:t>
        </m:r>
        <m:r>
          <m:rPr>
            <m:sty m:val="p"/>
          </m:rPr>
          <m:t>&gt;</m:t>
        </m:r>
        <m:r>
          <m:t>β</m:t>
        </m:r>
        <m:r>
          <m:rPr>
            <m:sty m:val="p"/>
          </m:rPr>
          <m:t>⇒</m:t>
        </m:r>
        <m:r>
          <m:rPr>
            <m:nor/>
            <m:sty m:val="p"/>
          </m:rPr>
          <m:t>adapt</m:t>
        </m:r>
      </m:oMath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m:oMath>
        <m:r>
          <m:t>M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β</m:t>
        </m:r>
        <m:r>
          <m:rPr>
            <m:sty m:val="p"/>
          </m:rPr>
          <m:t>⇒</m:t>
        </m:r>
        <m:r>
          <m:rPr>
            <m:nor/>
            <m:sty m:val="p"/>
          </m:rPr>
          <m:t>freeze</m:t>
        </m:r>
      </m:oMath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m:oMath>
        <m:r>
          <m:rPr>
            <m:sty m:val="p"/>
          </m:rPr>
          <m:t>|</m:t>
        </m:r>
        <m:r>
          <m:t>M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β</m:t>
        </m:r>
        <m:r>
          <m:rPr>
            <m:sty m:val="p"/>
          </m:rPr>
          <m:t>⇒</m:t>
        </m:r>
        <m:r>
          <m:rPr>
            <m:nor/>
            <m:sty m:val="p"/>
          </m:rPr>
          <m:t>abstain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the pointwise maximal sound certificate on</w:t>
      </w:r>
      <w:r>
        <w:rPr>
          <w:i/>
          <w:i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C</m:t>
            </m:r>
          </m:e>
          <m:sub>
            <m:r>
              <m:t>β</m:t>
            </m:r>
          </m:sub>
        </m:sSub>
      </m:oMath>
      <w:r>
        <w:rPr>
          <w:i/>
          <w:iCs/>
        </w:rPr>
        <w:t xml:space="preserve">.</w:t>
      </w:r>
    </w:p>
    <w:p>
      <w:pPr>
        <w:pStyle w:val="BodyText"/>
        <w:widowControl/>
      </w:pPr>
      <w:r>
        <w:rPr>
          <w:i/>
          <w:iCs/>
        </w:rPr>
        <w:t xml:space="preserve">Proof.</w:t>
      </w:r>
      <w:r>
        <w:t xml:space="preserve"> </w:t>
      </w:r>
      <w:r>
        <w:t xml:space="preserve">Part (i) is Lemma 2. For (ii), if</w:t>
      </w:r>
      <w:r>
        <w:t xml:space="preserve"> </w:t>
      </w:r>
      <m:oMath>
        <m:r>
          <m:t>M</m:t>
        </m:r>
        <m:r>
          <m:rPr>
            <m:sty m:val="p"/>
          </m:rPr>
          <m:t>&gt;</m:t>
        </m:r>
        <m:r>
          <m:t>β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|</m:t>
        </m:r>
        <m:r>
          <m:t>γ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β</m:t>
        </m:r>
      </m:oMath>
      <w:r>
        <w:t xml:space="preserve">, then</w:t>
      </w:r>
      <w:r>
        <w:t xml:space="preserve"> </w:t>
      </w:r>
      <m:oMath>
        <m:r>
          <m:t>M</m:t>
        </m:r>
        <m:r>
          <m:rPr>
            <m:sty m:val="p"/>
          </m:rPr>
          <m:t>+</m:t>
        </m:r>
        <m:r>
          <m:t>γ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sign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rPr>
            <m:sty m:val="p"/>
          </m:rPr>
          <m:t>sign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γ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; the negative case is symmetric. For (iii),</w:t>
      </w:r>
      <w:r>
        <w:t xml:space="preserve"> </w:t>
      </w:r>
      <w:r>
        <w:t xml:space="preserve">Theorem 1 supplies two laws in the same augmented-evidence fibre with opposite</w:t>
      </w:r>
      <w:r>
        <w:t xml:space="preserve"> </w:t>
      </w:r>
      <w:r>
        <w:t xml:space="preserve">nonzero signs whenever</w:t>
      </w:r>
      <w:r>
        <w:t xml:space="preserve"> </w:t>
      </w:r>
      <m:oMath>
        <m:r>
          <m:rPr>
            <m:sty m:val="p"/>
          </m:rPr>
          <m:t>|</m:t>
        </m:r>
        <m:r>
          <m:t>M</m:t>
        </m:r>
        <m:r>
          <m:rPr>
            <m:sty m:val="p"/>
          </m:rPr>
          <m:t>|</m:t>
        </m:r>
        <m:r>
          <m:rPr>
            <m:sty m:val="p"/>
          </m:rPr>
          <m:t>&lt;</m:t>
        </m:r>
        <m:r>
          <m:t>β</m:t>
        </m:r>
      </m:oMath>
      <w:r>
        <w:t xml:space="preserve">. At</w:t>
      </w:r>
      <w:r>
        <w:t xml:space="preserve"> </w:t>
      </w:r>
      <m:oMath>
        <m:r>
          <m:rPr>
            <m:sty m:val="p"/>
          </m:rPr>
          <m:t>|</m:t>
        </m:r>
        <m:r>
          <m:t>M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β</m:t>
        </m:r>
      </m:oMath>
      <w:r>
        <w:t xml:space="preserve"> </w:t>
      </w:r>
      <w:r>
        <w:t xml:space="preserve">the boundary law with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sign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  <m:r>
          <m:t>β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=</m:t>
        </m:r>
        <m:r>
          <m:t>0</m:t>
        </m:r>
      </m:oMath>
      <w:r>
        <w:t xml:space="preserve">, still precluding a determined nonzero sign. Part (iv)</w:t>
      </w:r>
      <w:r>
        <w:t xml:space="preserve"> </w:t>
      </w:r>
      <w:r>
        <w:t xml:space="preserve">combines (ii), (iii), and Proposition 1. Pointwise maximality follows because</w:t>
      </w:r>
      <w:r>
        <w:t xml:space="preserve"> </w:t>
      </w:r>
      <w:r>
        <w:t xml:space="preserve">(ii) certifies the unique strict direction outside the band, while Theorem 1 and</w:t>
      </w:r>
      <w:r>
        <w:t xml:space="preserve"> </w:t>
      </w:r>
      <w:r>
        <w:t xml:space="preserve">Proposition 1 rule out both strict directions inside and on the boundary. ◻</w:t>
      </w:r>
    </w:p>
    <w:p>
      <w:pPr>
        <w:pStyle w:val="CaptionedFigure"/>
        <w:widowControl/>
        <w:jc w:val="center"/>
      </w:pPr>
      <w:r>
        <w:drawing>
          <wp:inline>
            <wp:extent cx="4267200" cy="1666875"/>
            <wp:effectExtent b="0" l="0" r="0" t="0"/>
            <wp:docPr descr="Population strict-commitment frontier over observable margin M and declared drift budget beta." title="Population strict-commitment frontier over observable margin M and declared drift budget beta" id="37" name="Picture"/>
            <a:graphic>
              <a:graphicData uri="http://schemas.openxmlformats.org/drawingml/2006/picture">
                <pic:pic>
                  <pic:nvPicPr>
                    <pic:cNvPr descr="figures/fig_frontier_schematic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1666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widowControl/>
      </w:pPr>
      <w:r>
        <w:t xml:space="preserve">Figure 2. Population strict-commitment frontier.</w:t>
      </w:r>
      <w:r>
        <w:t xml:space="preserve"> </w:t>
      </w:r>
      <m:oMath>
        <m:r>
          <m:t>M</m:t>
        </m:r>
        <m:r>
          <m:rPr>
            <m:sty m:val="p"/>
          </m:rPr>
          <m:t>&gt;</m:t>
        </m:r>
        <m:r>
          <m:t>β</m:t>
        </m:r>
      </m:oMath>
      <w:r>
        <w:t xml:space="preserve"> </w:t>
      </w:r>
      <w:r>
        <w:t xml:space="preserve">supports adapt;</w:t>
      </w:r>
      <w:r>
        <w:t xml:space="preserve"> </w:t>
      </w:r>
      <m:oMath>
        <m:r>
          <m:t>M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β</m:t>
        </m:r>
      </m:oMath>
      <w:r>
        <w:t xml:space="preserve"> </w:t>
      </w:r>
      <w:r>
        <w:t xml:space="preserve">supports freeze; and</w:t>
      </w:r>
      <w:r>
        <w:t xml:space="preserve"> </w:t>
      </w:r>
      <m:oMath>
        <m:r>
          <m:rPr>
            <m:sty m:val="p"/>
          </m:rPr>
          <m:t>|</m:t>
        </m:r>
        <m:r>
          <m:t>M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β</m:t>
        </m:r>
      </m:oMath>
      <w:r>
        <w:t xml:space="preserve"> </w:t>
      </w:r>
      <w:r>
        <w:t xml:space="preserve">supports no uniform strict commitment. Interior</w:t>
      </w:r>
      <w:r>
        <w:t xml:space="preserve"> </w:t>
      </w:r>
      <w:r>
        <w:t xml:space="preserve">ambiguity uses opposite nonzero benefit signs, whereas the boundary uses zero-benefit ambiguity.</w:t>
      </w:r>
      <w:r>
        <w:t xml:space="preserve"> </w:t>
      </w:r>
      <w:r>
        <w:t xml:space="preserve">This population rule is not the numerical KGA rule used on the real-data panels.</w:t>
      </w:r>
    </w:p>
    <w:tbl>
      <w:tblPr>
        <w:tblStyle w:val="Table"/>
        <w:tblW w:type="dxa" w:w="99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1599"/>
        <w:gridCol w:w="6761"/>
        <w:gridCol w:w="1600"/>
      </w:tblGrid>
      <w:tr>
        <w:trPr>
          <w:tblHeader w:val="on"/>
          <w:tblHeader w:val="true"/>
        </w:trPr>
        <w:tc>
          <w:tcPr>
            <w:tcW w:w="1599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E8EEF5"/>
          </w:tcPr>
          <w:p>
            <w:pPr>
              <w:pStyle w:val="Compact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Region</w:t>
            </w:r>
          </w:p>
        </w:tc>
        <w:tc>
          <w:tcPr>
            <w:tcW w:w="6761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E8EEF5"/>
          </w:tcPr>
          <w:p>
            <w:pPr>
              <w:pStyle w:val="Compact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Meaning</w:t>
            </w:r>
          </w:p>
        </w:tc>
        <w:tc>
          <w:tcPr>
            <w:tcW w:w="1600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E8EEF5"/>
          </w:tcPr>
          <w:p>
            <w:pPr>
              <w:pStyle w:val="Compact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Action</w:t>
            </w:r>
          </w:p>
        </w:tc>
      </w:tr>
      <w:tr>
        <w:tc>
          <w:tcPr>
            <w:tcW w:w="1599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keepNext/>
              <w:spacing w:before="0" w:after="0" w:line="240" w:lineRule="auto"/>
              <w:jc w:val="left"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β</m:t>
              </m:r>
            </m:oMath>
          </w:p>
        </w:tc>
        <w:tc>
          <w:tcPr>
            <w:tcW w:w="6761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keepNext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drift cannot flip a positive sign</w:t>
            </w:r>
          </w:p>
        </w:tc>
        <w:tc>
          <w:tcPr>
            <w:tcW w:w="1600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keepNext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ADAPT</w:t>
            </w:r>
          </w:p>
        </w:tc>
      </w:tr>
      <w:tr>
        <w:tc>
          <w:tcPr>
            <w:tcW w:w="1599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keepNext/>
              <w:spacing w:before="0" w:after="0" w:line="240" w:lineRule="auto"/>
              <w:jc w:val="left"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β</m:t>
              </m:r>
            </m:oMath>
          </w:p>
        </w:tc>
        <w:tc>
          <w:tcPr>
            <w:tcW w:w="6761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keepNext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drift cannot flip a negative sign</w:t>
            </w:r>
          </w:p>
        </w:tc>
        <w:tc>
          <w:tcPr>
            <w:tcW w:w="1600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keepNext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FREEZE</w:t>
            </w:r>
          </w:p>
        </w:tc>
      </w:tr>
      <w:tr>
        <w:tc>
          <w:tcPr>
            <w:tcW w:w="1599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keepNext/>
              <w:spacing w:before="0" w:after="0" w:line="240" w:lineRule="auto"/>
              <w:jc w:val="left"/>
            </w:pPr>
            <m:oMath>
              <m:r>
                <m:rPr>
                  <m:sty m:val="p"/>
                </m:rPr>
                <m:t>|</m:t>
              </m:r>
              <m:r>
                <m:t>M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&lt;</m:t>
              </m:r>
              <m:r>
                <m:t>β</m:t>
              </m:r>
            </m:oMath>
          </w:p>
        </w:tc>
        <w:tc>
          <w:tcPr>
            <w:tcW w:w="6761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keepNext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drift can reverse the strict sign</w:t>
            </w:r>
          </w:p>
        </w:tc>
        <w:tc>
          <w:tcPr>
            <w:tcW w:w="1600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keepNext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ABSTAIN</w:t>
            </w:r>
          </w:p>
        </w:tc>
      </w:tr>
      <w:tr>
        <w:tc>
          <w:tcPr>
            <w:tcW w:w="1599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keepNext/>
              <w:spacing w:before="0" w:after="0" w:line="240" w:lineRule="auto"/>
              <w:jc w:val="left"/>
            </w:pPr>
            <m:oMath>
              <m:r>
                <m:rPr>
                  <m:sty m:val="p"/>
                </m:rPr>
                <m:t>|</m:t>
              </m:r>
              <m:r>
                <m:t>M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r>
                <m:t>β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</w:p>
        </w:tc>
        <w:tc>
          <w:tcPr>
            <w:tcW w:w="6761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keepNext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drift can reduce benefit to zero</w:t>
            </w:r>
          </w:p>
        </w:tc>
        <w:tc>
          <w:tcPr>
            <w:tcW w:w="1600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keepNext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ABSTAIN</w:t>
            </w:r>
          </w:p>
        </w:tc>
      </w:tr>
      <w:tr>
        <w:tc>
          <w:tcPr>
            <w:tcW w:w="1599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>
            <w:tcW w:w="6761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benefit is identically zero</w:t>
            </w:r>
          </w:p>
        </w:tc>
        <w:tc>
          <w:tcPr>
            <w:tcW w:w="1600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ABSTAIN</w:t>
            </w:r>
          </w:p>
        </w:tc>
      </w:tr>
    </w:tbl>
    <w:bookmarkEnd w:id="39"/>
    <w:bookmarkStart w:id="40" w:name="X414fa8246b475e897b5be35e04e142d593bdcdf"/>
    <w:p>
      <w:pPr>
        <w:pStyle w:val="Heading2"/>
        <w:widowControl/>
      </w:pPr>
      <w:r>
        <w:t xml:space="preserve">Interpretation and Limits of the Frontier</w:t>
      </w:r>
    </w:p>
    <w:p>
      <w:pPr>
        <w:pStyle w:val="FirstParagraph"/>
        <w:widowControl/>
      </w:pPr>
      <w:r>
        <w:t xml:space="preserve">The theorem depends on a declared class. Choosing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assumes that calibration does not</w:t>
      </w:r>
      <w:r>
        <w:t xml:space="preserve"> </w:t>
      </w:r>
      <w:r>
        <w:t xml:space="preserve">drift; it is not a conservative default. Without a credible upper bound on</w:t>
      </w:r>
      <w:r>
        <w:t xml:space="preserve"> </w:t>
      </w:r>
      <m:oMath>
        <m:r>
          <m:rPr>
            <m:sty m:val="p"/>
          </m:rPr>
          <m:t>|</m:t>
        </m:r>
        <m:r>
          <m:t>γ</m:t>
        </m:r>
        <m:r>
          <m:rPr>
            <m:sty m:val="p"/>
          </m:rPr>
          <m:t>|</m:t>
        </m:r>
      </m:oMath>
      <w:r>
        <w:t xml:space="preserve">, the</w:t>
      </w:r>
      <w:r>
        <w:t xml:space="preserve"> </w:t>
      </w:r>
      <w:r>
        <w:t xml:space="preserve">population frontier cannot support a robust strict action. More unlabeled samples do not solve this</w:t>
      </w:r>
      <w:r>
        <w:t xml:space="preserve"> </w:t>
      </w:r>
      <w:r>
        <w:t xml:space="preserve">problem because the missing difference lies in the target labels, not in the input batch.</w:t>
      </w:r>
    </w:p>
    <w:p>
      <w:pPr>
        <w:pStyle w:val="BodyText"/>
        <w:widowControl/>
      </w:pPr>
      <w:r>
        <w:t xml:space="preserve">Empirical abstention is not automatically evidence of structural unknowability. A wide finite-sample</w:t>
      </w:r>
      <w:r>
        <w:t xml:space="preserve"> </w:t>
      </w:r>
      <w:r>
        <w:t xml:space="preserve">interval may instead reflect limited calibration data, estimator error, or transfer failure. The</w:t>
      </w:r>
      <w:r>
        <w:t xml:space="preserve"> </w:t>
      </w:r>
      <w:r>
        <w:t xml:space="preserve">frontier therefore leaves one central question: can its required drift budget be learned from the</w:t>
      </w:r>
      <w:r>
        <w:t xml:space="preserve"> </w:t>
      </w:r>
      <w:r>
        <w:t xml:space="preserve">same label-free evidence?</w:t>
      </w:r>
    </w:p>
    <w:bookmarkEnd w:id="40"/>
    <w:bookmarkEnd w:id="41"/>
    <w:bookmarkStart w:id="48" w:name="X44a1a7bb4ba29aefd8cd1eda7b7ca119c913962"/>
    <w:p>
      <w:pPr>
        <w:pStyle w:val="Heading1"/>
        <w:widowControl/>
      </w:pPr>
      <w:r>
        <w:t xml:space="preserve">Can the Drift Budget Be Learned Label-Free?</w:t>
      </w:r>
    </w:p>
    <w:bookmarkStart w:id="42" w:name="audit-setup-and-evidence-fibres"/>
    <w:p>
      <w:pPr>
        <w:pStyle w:val="Heading2"/>
        <w:widowControl/>
      </w:pPr>
      <w:r>
        <w:t xml:space="preserve">Audit Setup and Evidence Fibres</w:t>
      </w:r>
    </w:p>
    <w:p>
      <w:pPr>
        <w:pStyle w:val="FirstParagraph"/>
        <w:widowControl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collect everything a deployment-time audit may read: the unlabeled target batch, the fixed</w:t>
      </w:r>
      <w:r>
        <w:t xml:space="preserve"> </w:t>
      </w:r>
      <w:r>
        <w:t xml:space="preserve">models and score function, label-free statistics derived from them, and any source or calibration</w:t>
      </w:r>
      <w:r>
        <w:t xml:space="preserve"> </w:t>
      </w:r>
      <w:r>
        <w:t xml:space="preserve">sample whose law is specified independently of the target label kernel. An audit is a nonnegative</w:t>
      </w:r>
      <w:r>
        <w:t xml:space="preserve"> </w:t>
      </w:r>
      <w:r>
        <w:t xml:space="preserve">random quantity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independent randomization.</w:t>
      </w:r>
    </w:p>
    <w:p>
      <w:pPr>
        <w:pStyle w:val="BodyText"/>
        <w:widowControl/>
      </w:pPr>
      <w:r>
        <w:t xml:space="preserve">For a declared class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and an observable law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L</m:t>
        </m:r>
        <m:r>
          <m:rPr>
            <m:sty m:val="p"/>
          </m:rPr>
          <m:t>a</m:t>
        </m:r>
        <m:r>
          <m:rPr>
            <m:sty m:val="p"/>
          </m:rPr>
          <m:t>w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 define the evidence fibre</w:t>
      </w:r>
    </w:p>
    <w:p>
      <w:pPr>
        <w:pStyle w:val="BodyText"/>
        <w:widowControl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{</m:t>
          </m:r>
          <m:r>
            <m:t>P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rPr>
              <m:sty m:val="p"/>
            </m:rPr>
            <m:t>:</m:t>
          </m:r>
          <m:r>
            <m:rPr>
              <m:sty m:val="p"/>
            </m:rPr>
            <m:t>L</m:t>
          </m:r>
          <m:r>
            <m:rPr>
              <m:sty m:val="p"/>
            </m:rPr>
            <m:t>a</m:t>
          </m:r>
          <m:r>
            <m:rPr>
              <m:sty m:val="p"/>
            </m:rPr>
            <m:t>w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z</m:t>
          </m:r>
          <m:r>
            <m:rPr>
              <m:sty m:val="p"/>
            </m:rPr>
            <m:t>}</m:t>
          </m:r>
        </m:oMath>
      </m:oMathPara>
    </w:p>
    <w:p>
      <w:pPr>
        <w:pStyle w:val="FirstParagraph"/>
        <w:widowControl/>
      </w:pPr>
      <w:r>
        <w:t xml:space="preserve">and its unresolved drift radius</w:t>
      </w:r>
    </w:p>
    <w:p>
      <w:pPr>
        <w:pStyle w:val="BodyText"/>
        <w:widowControl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Γ</m:t>
              </m:r>
            </m:e>
            <m:sub>
              <m:r>
                <m:t>z</m:t>
              </m:r>
            </m:sub>
          </m:sSub>
          <m:r>
            <m:rPr>
              <m:sty m:val="p"/>
            </m:rPr>
            <m:t>(</m:t>
          </m:r>
          <m:r>
            <m:rPr>
              <m:scr m:val="script"/>
              <m:sty m:val="p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sup</m:t>
              </m:r>
            </m:e>
            <m:lim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|</m:t>
          </m:r>
          <m:r>
            <m:t>γ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t> </m:t>
          </m:r>
          <m:r>
            <m:rPr>
              <m:nor/>
              <m:sty m:val="p"/>
            </m:rPr>
            <m:t>(4)</m:t>
          </m:r>
        </m:oMath>
      </m:oMathPara>
    </w:p>
    <w:p>
      <w:pPr>
        <w:pStyle w:val="FirstParagraph"/>
        <w:widowControl/>
      </w:pPr>
      <w:r>
        <w:t xml:space="preserve">The fibre collects target laws that the audit cannot distinguish. Its radius is therefore the</w:t>
      </w:r>
      <w:r>
        <w:t xml:space="preserve"> </w:t>
      </w:r>
      <w:r>
        <w:t xml:space="preserve">smallest uniform drift budget that those observations could support.</w:t>
      </w:r>
    </w:p>
    <w:bookmarkEnd w:id="42"/>
    <w:bookmarkStart w:id="43" w:name="exact-minimax-label-free-budget"/>
    <w:p>
      <w:pPr>
        <w:pStyle w:val="Heading2"/>
        <w:widowControl/>
      </w:pPr>
      <w:r>
        <w:t xml:space="preserve">Exact Minimax Label-Free Budget</w:t>
      </w:r>
    </w:p>
    <w:p>
      <w:pPr>
        <w:pStyle w:val="FirstParagraph"/>
        <w:widowControl/>
      </w:pPr>
      <w:r>
        <w:rPr>
          <w:b/>
          <w:bCs/>
        </w:rPr>
        <w:t xml:space="preserve">Theorem 3</w:t>
      </w:r>
      <w:r>
        <w:t xml:space="preserve"> </w:t>
      </w:r>
      <w:r>
        <w:t xml:space="preserve">(Exact label-free audit floor).</w:t>
      </w:r>
      <w:r>
        <w:t xml:space="preserve"> </w:t>
      </w:r>
      <w:r>
        <w:t xml:space="preserve"> </w:t>
      </w:r>
      <w:r>
        <w:rPr>
          <w:i/>
          <w:iCs/>
        </w:rPr>
        <w:t xml:space="preserve">Fix a nonempty fibre</w:t>
      </w:r>
      <w:r>
        <w:rPr>
          <w:i/>
          <w:i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m:oMath>
        <m:r>
          <m:t>δ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i/>
          <w:iCs/>
        </w:rPr>
        <w:t xml:space="preserve">. If</w:t>
      </w:r>
      <w:r>
        <w:rPr>
          <w:i/>
          <w:iCs/>
        </w:rP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rPr>
          <w:i/>
          <w:iCs/>
        </w:rPr>
        <w:t xml:space="preserve"> </w:t>
      </w:r>
      <w:r>
        <w:rPr>
          <w:i/>
          <w:iCs/>
        </w:rPr>
        <w:t xml:space="preserve">satisfies</w:t>
      </w:r>
      <w:r>
        <w:rPr>
          <w:i/>
          <w:iCs/>
        </w:rPr>
        <w:t xml:space="preserve"> </w:t>
      </w:r>
      <m:oMath>
        <m:sSub>
          <m:e>
            <m:r>
              <m:rPr>
                <m:scr m:val="double-struck"/>
                <m:sty m:val="p"/>
              </m:rPr>
              <m:t>P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|</m:t>
        </m:r>
        <m:r>
          <m:t>γ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≤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δ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for every</w:t>
      </w:r>
      <w:r>
        <w:rPr>
          <w:i/>
          <w:iCs/>
        </w:rP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</m:oMath>
      <w:r>
        <w:rPr>
          <w:i/>
          <w:iCs/>
        </w:rPr>
        <w:t xml:space="preserve">, then</w:t>
      </w:r>
      <w:r>
        <w:rPr>
          <w:i/>
          <w:iCs/>
        </w:rPr>
        <w:t xml:space="preserve"> </w:t>
      </w: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≥</m:t>
              </m:r>
              <m:sSub>
                <m:e>
                  <m:r>
                    <m:rPr>
                      <m:sty m:val="p"/>
                    </m:rPr>
                    <m:t>Γ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≥</m:t>
          </m:r>
          <m:r>
            <m:t>1</m:t>
          </m:r>
          <m:r>
            <m:rPr>
              <m:sty m:val="p"/>
            </m:rPr>
            <m:t>−</m:t>
          </m:r>
          <m:r>
            <m:t>δ</m:t>
          </m:r>
          <m:r>
            <m:rPr>
              <m:sty m:val="p"/>
            </m:rPr>
            <m:t>.</m:t>
          </m:r>
        </m:oMath>
      </m:oMathPara>
      <w:r>
        <w:rPr>
          <w:i/>
          <w:iCs/>
        </w:rPr>
        <w:t xml:space="preserve"> </w:t>
      </w:r>
      <w:r>
        <w:rPr>
          <w:i/>
          <w:iCs/>
        </w:rPr>
        <w:t xml:space="preserve">The constant audit</w:t>
      </w:r>
      <w:r>
        <w:rPr>
          <w:i/>
          <w:iCs/>
        </w:rP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≡</m:t>
        </m:r>
        <m:sSub>
          <m:e>
            <m:r>
              <m:rPr>
                <m:sty m:val="p"/>
              </m:rPr>
              <m:t>Γ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rPr>
            <m:scr m:val="script"/>
            <m:sty m:val="p"/>
          </m:rPr>
          <m:t>C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valid with</w:t>
      </w:r>
      <w:r>
        <w:rPr>
          <w:i/>
          <w:iCs/>
        </w:rPr>
        <w:t xml:space="preserve"> </w:t>
      </w:r>
      <m:oMath>
        <m:r>
          <m:t>δ</m:t>
        </m:r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rPr>
          <w:i/>
          <w:iCs/>
        </w:rPr>
        <w:t xml:space="preserve"> </w:t>
      </w:r>
      <w:r>
        <w:rPr>
          <w:i/>
          <w:iCs/>
        </w:rPr>
        <w:t xml:space="preserve">Consequently, on the high-probability event above, an audited frontier commits only where the</w:t>
      </w:r>
      <w:r>
        <w:rPr>
          <w:i/>
          <w:iCs/>
        </w:rPr>
        <w:t xml:space="preserve"> </w:t>
      </w:r>
      <w:r>
        <w:rPr>
          <w:i/>
          <w:iCs/>
        </w:rPr>
        <w:t xml:space="preserve">frontier using the declared radius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</m:rPr>
              <m:t>Γ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rPr>
            <m:scr m:val="script"/>
            <m:sty m:val="p"/>
          </m:rPr>
          <m:t>C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already commits.</w:t>
      </w:r>
    </w:p>
    <w:p>
      <w:pPr>
        <w:pStyle w:val="FirstParagraph"/>
        <w:widowControl/>
      </w:pPr>
      <w:r>
        <w:rPr>
          <w:i/>
          <w:iCs/>
        </w:rPr>
        <w:t xml:space="preserve">Proof.</w:t>
      </w:r>
      <w:r>
        <w:t xml:space="preserve"> </w:t>
      </w:r>
      <w:r>
        <w:t xml:space="preserve">Every law in the fibre induces the same law for</w:t>
      </w:r>
      <w:r>
        <w:t xml:space="preserve"> </w:t>
      </w:r>
      <m:oMath>
        <m:r>
          <m:t>W</m:t>
        </m:r>
      </m:oMath>
      <w:r>
        <w:t xml:space="preserve">, and hence the same law for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. Validity for each fixed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requires that common law to exceed</w:t>
      </w:r>
      <w:r>
        <w:t xml:space="preserve"> </w:t>
      </w:r>
      <m:oMath>
        <m:r>
          <m:rPr>
            <m:sty m:val="p"/>
          </m:rPr>
          <m:t>|</m:t>
        </m:r>
        <m:r>
          <m:t>γ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|</m:t>
        </m:r>
      </m:oMath>
      <w:r>
        <w:t xml:space="preserve"> </w:t>
      </w:r>
      <w:r>
        <w:t xml:space="preserve">with probability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δ</m:t>
        </m:r>
      </m:oMath>
      <w:r>
        <w:t xml:space="preserve">. Taking an increasing sequence of attainable</w:t>
      </w:r>
      <w:r>
        <w:t xml:space="preserve"> </w:t>
      </w:r>
      <w:r>
        <w:t xml:space="preserve">drifts approaching the supremum gives the lower bound. The constant audit is valid by the</w:t>
      </w:r>
      <w:r>
        <w:t xml:space="preserve"> </w:t>
      </w:r>
      <w:r>
        <w:t xml:space="preserve">definition of the supremum. If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≥</m:t>
        </m:r>
        <m:sSub>
          <m:e>
            <m:r>
              <m:rPr>
                <m:sty m:val="p"/>
              </m:rPr>
              <m:t>Γ</m:t>
            </m:r>
          </m:e>
          <m:sub>
            <m:r>
              <m:t>z</m:t>
            </m:r>
          </m:sub>
        </m:sSub>
      </m:oMath>
      <w:r>
        <w:t xml:space="preserve">, then</w:t>
      </w:r>
      <w:r>
        <w:t xml:space="preserve"> </w:t>
      </w:r>
      <m:oMath>
        <m:r>
          <m:rPr>
            <m:sty m:val="p"/>
          </m:rPr>
          <m:t>|</m:t>
        </m:r>
        <m:r>
          <m:t>M</m:t>
        </m:r>
        <m:r>
          <m:rPr>
            <m:sty m:val="p"/>
          </m:rPr>
          <m:t>|</m:t>
        </m:r>
        <m:r>
          <m:rPr>
            <m:sty m:val="p"/>
          </m:rPr>
          <m:t>&gt;</m:t>
        </m:r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|</m:t>
        </m:r>
        <m:r>
          <m:t>M</m:t>
        </m:r>
        <m:r>
          <m:rPr>
            <m:sty m:val="p"/>
          </m:rPr>
          <m:t>|</m:t>
        </m:r>
        <m:r>
          <m:rPr>
            <m:sty m:val="p"/>
          </m:rPr>
          <m:t>&gt;</m:t>
        </m:r>
        <m:sSub>
          <m:e>
            <m:r>
              <m:rPr>
                <m:sty m:val="p"/>
              </m:rPr>
              <m:t>Γ</m:t>
            </m:r>
          </m:e>
          <m:sub>
            <m:r>
              <m:t>z</m:t>
            </m:r>
          </m:sub>
        </m:sSub>
      </m:oMath>
      <w:r>
        <w:t xml:space="preserve">. ◻</w:t>
      </w:r>
    </w:p>
    <w:p>
      <w:pPr>
        <w:pStyle w:val="BodyText"/>
        <w:widowControl/>
      </w:pPr>
      <w:r>
        <w:t xml:space="preserve">This result does not say that useful budgets never exist. It says that the same label-free fibre</w:t>
      </w:r>
      <w:r>
        <w:t xml:space="preserve"> </w:t>
      </w:r>
      <w:r>
        <w:t xml:space="preserve">cannot create information about the target label kernel that the fibre definition removes. A valid</w:t>
      </w:r>
      <w:r>
        <w:t xml:space="preserve"> </w:t>
      </w:r>
      <w:r>
        <w:t xml:space="preserve">audit must cover the unresolved radius; reading more functions of the same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does not shrink it.</w:t>
      </w:r>
    </w:p>
    <w:bookmarkEnd w:id="43"/>
    <w:bookmarkStart w:id="44" w:name="declared-budget-and-abstention-radius"/>
    <w:p>
      <w:pPr>
        <w:pStyle w:val="Heading2"/>
        <w:widowControl/>
      </w:pPr>
      <w:r>
        <w:t xml:space="preserve">Declared Budget and Abstention Radius</w:t>
      </w:r>
    </w:p>
    <w:p>
      <w:pPr>
        <w:pStyle w:val="FirstParagraph"/>
        <w:widowControl/>
      </w:pPr>
      <w:r>
        <w:t xml:space="preserve">For the full declared class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C</m:t>
            </m:r>
          </m:e>
          <m:sub>
            <m:r>
              <m:t>β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:</m:t>
        </m:r>
        <m:r>
          <m:rPr>
            <m:sty m:val="p"/>
          </m:rPr>
          <m:t>|</m:t>
        </m:r>
        <m:r>
          <m:t>γ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β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β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the label-kernel construction in</w:t>
      </w:r>
      <w:r>
        <w:t xml:space="preserve"> </w:t>
      </w:r>
      <w:r>
        <w:t xml:space="preserve">Lemma 1 gives</w:t>
      </w:r>
    </w:p>
    <w:p>
      <w:pPr>
        <w:pStyle w:val="BodyText"/>
        <w:widowControl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Γ</m:t>
              </m:r>
            </m:e>
            <m:sub>
              <m:r>
                <m:t>z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C</m:t>
              </m:r>
            </m:e>
            <m:sub>
              <m:r>
                <m:t>β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β</m:t>
          </m:r>
          <m:r>
            <m:t> </m:t>
          </m:r>
          <m:r>
            <m:rPr>
              <m:nor/>
              <m:sty m:val="p"/>
            </m:rPr>
            <m:t>(5)</m:t>
          </m:r>
        </m:oMath>
      </m:oMathPara>
    </w:p>
    <w:p>
      <w:pPr>
        <w:pStyle w:val="FirstParagraph"/>
        <w:widowControl/>
      </w:pPr>
      <w:r>
        <w:t xml:space="preserve">Thus the least fibre-wide budget a label-free audit can certify is the budget already declared by</w:t>
      </w:r>
      <w:r>
        <w:t xml:space="preserve"> </w:t>
      </w:r>
      <w:r>
        <w:t xml:space="preserve">the class. The same number is also the population abstention radius:</w:t>
      </w:r>
    </w:p>
    <w:p>
      <w:pPr>
        <w:pStyle w:val="BodyText"/>
        <w:widowControl/>
      </w:pPr>
      <m:oMathPara>
        <m:oMathParaPr>
          <m:jc m:val="center"/>
        </m:oMathParaPr>
        <m:oMath>
          <m:borderBox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least valid fibre-wide drift budget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population abstention radius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β</m:t>
                    </m:r>
                  </m:e>
                </m:mr>
              </m:m>
            </m:e>
          </m:borderBox>
        </m:oMath>
      </m:oMathPara>
    </w:p>
    <w:p>
      <w:pPr>
        <w:pStyle w:val="FirstParagraph"/>
        <w:widowControl/>
      </w:pPr>
      <w:r>
        <w:t xml:space="preserve">This equality connects the audit problem to the strict-commitment frontier. It does not turn the</w:t>
      </w:r>
      <w:r>
        <w:t xml:space="preserve"> </w:t>
      </w:r>
      <w:r>
        <w:t xml:space="preserve">declaration into an estimate.</w:t>
      </w:r>
    </w:p>
    <w:bookmarkEnd w:id="44"/>
    <w:bookmarkStart w:id="45" w:name="X055c93b151714dffa90614c745536c556b763f3"/>
    <w:p>
      <w:pPr>
        <w:pStyle w:val="Heading2"/>
        <w:widowControl/>
      </w:pPr>
      <w:r>
        <w:t xml:space="preserve">Why Labels at the Wrong Domain Buy Nothing</w:t>
      </w:r>
    </w:p>
    <w:p>
      <w:pPr>
        <w:pStyle w:val="FirstParagraph"/>
        <w:widowControl/>
      </w:pPr>
      <w:r>
        <w:t xml:space="preserve">Suppose the audit also observes a fully labeled calibration domain, but the declared class contains</w:t>
      </w:r>
      <w:r>
        <w:t xml:space="preserve"> </w:t>
      </w:r>
      <w:r>
        <w:t xml:space="preserve">no coupling between that domain’s label kernel and the deployment label kernel. The construction in</w:t>
      </w:r>
      <w:r>
        <w:t xml:space="preserve"> </w:t>
      </w:r>
      <w:r>
        <w:t xml:space="preserve">Lemma 1 changes only deployment labels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and leaves the calibration sample</w:t>
      </w:r>
      <w:r>
        <w:t xml:space="preserve"> </w:t>
      </w:r>
      <w:r>
        <w:t xml:space="preserve">unchanged. The augmented evidence law is therefore identical across the same target fibre, so</w:t>
      </w:r>
      <w:r>
        <w:t xml:space="preserve"> </w:t>
      </w:r>
      <w:r>
        <w:t xml:space="preserve">Theorem 3 applies without a smaller radius. Labels help only when they</w:t>
      </w:r>
      <w:r>
        <w:t xml:space="preserve"> </w:t>
      </w:r>
      <w:r>
        <w:t xml:space="preserve">come from the deployment domain or when a stated assumption links the labeled and deployment</w:t>
      </w:r>
      <w:r>
        <w:t xml:space="preserve"> </w:t>
      </w:r>
      <w:r>
        <w:t xml:space="preserve">domains.</w:t>
      </w:r>
    </w:p>
    <w:bookmarkEnd w:id="45"/>
    <w:bookmarkStart w:id="46" w:name="what-additional-structure-can-buy"/>
    <w:p>
      <w:pPr>
        <w:pStyle w:val="Heading2"/>
        <w:widowControl/>
      </w:pPr>
      <w:r>
        <w:t xml:space="preserve">What Additional Structure Can Buy</w:t>
      </w:r>
    </w:p>
    <w:p>
      <w:pPr>
        <w:pStyle w:val="FirstParagraph"/>
        <w:widowControl/>
      </w:pPr>
      <w:r>
        <w:t xml:space="preserve">The missing information can be supplied, but each route changes the problem. Deployment labels can</w:t>
      </w:r>
      <w:r>
        <w:t xml:space="preserve"> </w:t>
      </w:r>
      <w:r>
        <w:t xml:space="preserve">estimate target correctness directly. Historical labeled deployments can support an</w:t>
      </w:r>
      <w:r>
        <w:t xml:space="preserve"> </w:t>
      </w:r>
      <w:r>
        <w:t xml:space="preserve">episode-marginal budget under an exchangeability model. A structural coupling can bound the change</w:t>
      </w:r>
      <w:r>
        <w:t xml:space="preserve"> </w:t>
      </w:r>
      <w:r>
        <w:t xml:space="preserve">between calibration and target domains. Domain knowledge can declare a physically meaningful</w:t>
      </w:r>
      <w:r>
        <w:t xml:space="preserve"> </w:t>
      </w:r>
      <w:r>
        <w:t xml:space="preserve">limit. These are purchases made with labels or assumptions; they are not consequences of the</w:t>
      </w:r>
      <w:r>
        <w:t xml:space="preserve"> </w:t>
      </w:r>
      <w:r>
        <w:t xml:space="preserve">current unlabeled batch. Detailed rate results and extended constructions belong to the long-form</w:t>
      </w:r>
      <w:r>
        <w:t xml:space="preserve"> </w:t>
      </w:r>
      <w:r>
        <w:t xml:space="preserve">theory record and are not required by the empirical claims here.</w:t>
      </w:r>
    </w:p>
    <w:bookmarkEnd w:id="46"/>
    <w:bookmarkStart w:id="47" w:name="implications-for-k-bound"/>
    <w:p>
      <w:pPr>
        <w:pStyle w:val="Heading2"/>
        <w:widowControl/>
      </w:pPr>
      <w:r>
        <w:t xml:space="preserve">Implications for K-Bound</w:t>
      </w:r>
    </w:p>
    <w:p>
      <w:pPr>
        <w:pStyle w:val="FirstParagraph"/>
        <w:widowControl/>
      </w:pPr>
      <w:r>
        <w:t xml:space="preserve">KGA does not estimate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and does not numerically apply</w:t>
      </w:r>
      <w:r>
        <w:t xml:space="preserve"> </w:t>
      </w:r>
      <m:oMath>
        <m:r>
          <m:rPr>
            <m:sty m:val="p"/>
          </m:rPr>
          <m:t>|</m:t>
        </m:r>
        <m:r>
          <m:t>M</m:t>
        </m:r>
        <m:r>
          <m:rPr>
            <m:sty m:val="p"/>
          </m:rPr>
          <m:t>|</m:t>
        </m:r>
        <m:r>
          <m:rPr>
            <m:sty m:val="p"/>
          </m:rPr>
          <m:t>&gt;</m:t>
        </m:r>
        <m:r>
          <m:t>β</m:t>
        </m:r>
      </m:oMath>
      <w:r>
        <w:t xml:space="preserve"> </w:t>
      </w:r>
      <w:r>
        <w:t xml:space="preserve">on the reported real-data</w:t>
      </w:r>
      <w:r>
        <w:t xml:space="preserve"> </w:t>
      </w:r>
      <w:r>
        <w:t xml:space="preserve">benchmarks. Its practical certificate instead places a finite-sample uncertainty radius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around the learned benefit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Δ</m:t>
            </m:r>
          </m:e>
        </m:acc>
      </m:oMath>
      <w:r>
        <w:t xml:space="preserve">. The population frontier and KGA therefore</w:t>
      </w:r>
      <w:r>
        <w:t xml:space="preserve"> </w:t>
      </w:r>
      <w:r>
        <w:t xml:space="preserve">share the target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, but they answer different questions with different uncertainty objects.</w:t>
      </w:r>
    </w:p>
    <w:bookmarkEnd w:id="47"/>
    <w:bookmarkEnd w:id="48"/>
    <w:bookmarkStart w:id="60" w:name="finite-sample-certification-and-kga"/>
    <w:p>
      <w:pPr>
        <w:pStyle w:val="Heading1"/>
        <w:widowControl/>
      </w:pPr>
      <w:r>
        <w:t xml:space="preserve">Finite-Sample Certification and KGA</w:t>
      </w:r>
    </w:p>
    <w:bookmarkStart w:id="52" w:name="Xd0d17dee1047da6d97d18e1b90a5dd122683504"/>
    <w:p>
      <w:pPr>
        <w:pStyle w:val="Heading2"/>
        <w:widowControl/>
      </w:pPr>
      <w:r>
        <w:t xml:space="preserve">Finite-Sample Adapt/Freeze/Abstain Certificate</w:t>
      </w:r>
    </w:p>
    <w:p>
      <w:pPr>
        <w:pStyle w:val="FirstParagraph"/>
        <w:widowControl/>
      </w:pPr>
      <w:r>
        <w:t xml:space="preserve">The practical layer estimates the realized benefit directly. We import the shared certificate</w:t>
      </w:r>
      <w:r>
        <w:t xml:space="preserve"> </w:t>
      </w:r>
      <w:r>
        <w:t xml:space="preserve">statement and proof.</w:t>
      </w:r>
    </w:p>
    <w:p>
      <w:pPr>
        <w:pStyle w:val="BodyText"/>
        <w:widowControl/>
      </w:pPr>
      <w:r>
        <w:rPr>
          <w:b/>
          <w:bCs/>
        </w:rPr>
        <w:t xml:space="preserve">Theorem 4</w:t>
      </w:r>
      <w:r>
        <w:t xml:space="preserve"> </w:t>
      </w:r>
      <w:r>
        <w:t xml:space="preserve">(Finite-sample adapt/freeze/abstain certificate).</w:t>
      </w:r>
      <w:r>
        <w:t xml:space="preserve"> </w:t>
      </w:r>
      <w:r>
        <w:t xml:space="preserve"> </w:t>
      </w:r>
      <w:r>
        <w:rPr>
          <w:i/>
          <w:iCs/>
        </w:rPr>
        <w:t xml:space="preserve">Suppose</w:t>
      </w:r>
      <w:r>
        <w:rPr>
          <w:i/>
          <w:iCs/>
        </w:rPr>
        <w:t xml:space="preserve"> </w:t>
      </w:r>
      <m:oMath>
        <m:r>
          <m:rPr>
            <m:sty m:val="p"/>
          </m:rPr>
          <m:t>Δ</m:t>
        </m:r>
      </m:oMath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Δ</m:t>
            </m:r>
          </m:e>
        </m:acc>
      </m:oMath>
      <w:r>
        <w:rPr>
          <w:i/>
          <w:iCs/>
        </w:rPr>
        <w:t xml:space="preserve">, and the nonnegative random radius</w:t>
      </w:r>
      <w:r>
        <w:rPr>
          <w:i/>
          <w:iCs/>
        </w:rPr>
        <w:t xml:space="preserve"> </w:t>
      </w:r>
      <m:oMath>
        <m:r>
          <m:t>ε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are measurable</w:t>
      </w:r>
      <w:r>
        <w:rPr>
          <w:i/>
          <w:iCs/>
        </w:rPr>
        <w:t xml:space="preserve"> </w:t>
      </w:r>
      <w:r>
        <w:rPr>
          <w:i/>
          <w:iCs/>
        </w:rPr>
        <w:t xml:space="preserve">on a common probability space containing all calibration, benefit-model fitting, and</w:t>
      </w:r>
      <w:r>
        <w:rPr>
          <w:i/>
          <w:iCs/>
        </w:rPr>
        <w:t xml:space="preserve"> </w:t>
      </w:r>
      <w:r>
        <w:rPr>
          <w:i/>
          <w:iCs/>
        </w:rPr>
        <w:t xml:space="preserve">deployment-unit randomness, and that the benefit interval satisfies marginal coverage</w:t>
      </w:r>
      <w:r>
        <w:rPr>
          <w:i/>
          <w:iCs/>
        </w:rPr>
        <w:t xml:space="preserve"> </w:t>
      </w: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 </m:t>
              </m:r>
              <m:r>
                <m:rPr>
                  <m:sty m:val="p"/>
                </m:rPr>
                <m:t>|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≤</m:t>
              </m:r>
              <m:r>
                <m:t>ε</m:t>
              </m:r>
              <m:r>
                <m:t> </m:t>
              </m:r>
            </m:e>
          </m:d>
          <m:r>
            <m:t> </m:t>
          </m:r>
          <m:r>
            <m:rPr>
              <m:sty m:val="p"/>
            </m:rPr>
            <m:t>≥</m:t>
          </m:r>
          <m:r>
            <m:t> 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  <w:r>
        <w:rPr>
          <w:i/>
          <w:iCs/>
        </w:rPr>
        <w:t xml:space="preserve"> </w:t>
      </w:r>
      <w:r>
        <w:rPr>
          <w:i/>
          <w:iCs/>
        </w:rPr>
        <w:t xml:space="preserve">Define</w:t>
      </w:r>
      <w:r>
        <w:rPr>
          <w:i/>
          <w:iCs/>
        </w:rPr>
        <w:t xml:space="preserve"> </w:t>
      </w: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adapt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freeze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</m:e>
                    </m:acc>
                    <m:r>
                      <m:rPr>
                        <m:sty m:val="p"/>
                      </m:rPr>
                      <m:t>+</m:t>
                    </m:r>
                    <m:r>
                      <m:t>ε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abstain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  <w:r>
        <w:rPr>
          <w:i/>
          <w:iCs/>
        </w:rPr>
        <w:t xml:space="preserve"> </w:t>
      </w:r>
      <w:r>
        <w:rPr>
          <w:i/>
          <w:iCs/>
        </w:rPr>
        <w:t xml:space="preserve">Then, marginally over that common probability space,</w:t>
      </w:r>
      <w:r>
        <w:rPr>
          <w:i/>
          <w:iCs/>
        </w:rPr>
        <w:t xml:space="preserve"> </w:t>
      </w: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adapt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≤</m:t>
              </m:r>
              <m:r>
                <m:t>0</m:t>
              </m:r>
            </m:e>
          </m:d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  <w:r>
        <w:rPr>
          <w:i/>
          <w:iCs/>
        </w:rPr>
        <w:t xml:space="preserve"> </w:t>
      </w: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freeze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</m:d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  <w:widowControl/>
      </w:pPr>
      <w:r>
        <w:rPr>
          <w:i/>
          <w:iCs/>
        </w:rPr>
        <w:t xml:space="preserve">Proof.</w:t>
      </w:r>
      <w:r>
        <w:t xml:space="preserve"> </w:t>
      </w:r>
      <w:r>
        <w:t xml:space="preserve">On the event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|</m:t>
        </m:r>
        <m:acc>
          <m:accPr>
            <m:chr m:val="̂"/>
          </m:accPr>
          <m:e>
            <m:r>
              <m:rPr>
                <m:sty m:val="p"/>
              </m:rPr>
              <m:t>Δ</m:t>
            </m:r>
          </m:e>
        </m:acc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ε</m:t>
        </m:r>
        <m:r>
          <m:rPr>
            <m:sty m:val="p"/>
          </m:rPr>
          <m:t>}</m:t>
        </m:r>
      </m:oMath>
      <w:r>
        <w:t xml:space="preserve">, the condition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Δ</m:t>
            </m:r>
          </m:e>
        </m:acc>
        <m:r>
          <m:rPr>
            <m:sty m:val="p"/>
          </m:rPr>
          <m:t>−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so a false adapt requires the complement of</w:t>
      </w:r>
      <w:r>
        <w:t xml:space="preserve"> </w:t>
      </w:r>
      <w:r>
        <w:t xml:space="preserve">this event, which has probability at most</w:t>
      </w:r>
      <w:r>
        <w:t xml:space="preserve"> </w:t>
      </w:r>
      <m:oMath>
        <m:r>
          <m:t>α</m:t>
        </m:r>
      </m:oMath>
      <w:r>
        <w:t xml:space="preserve">. The freeze case is symmetric. ◻</w:t>
      </w:r>
    </w:p>
    <w:p>
      <w:pPr>
        <w:pStyle w:val="BodyText"/>
        <w:widowControl/>
      </w:pPr>
      <w:r>
        <w:t xml:space="preserve">Exchangeability, or an explicit shift correction, is one route to this coverage assumption. Risk</w:t>
      </w:r>
      <w:r>
        <w:t xml:space="preserve"> </w:t>
      </w:r>
      <w:r>
        <w:t xml:space="preserve">alignment is not required for the conditional-on-coverage implication.</w:t>
      </w:r>
    </w:p>
    <w:p>
      <w:pPr>
        <w:pStyle w:val="BodyText"/>
        <w:widowControl/>
      </w:pPr>
      <w:r>
        <w:rPr>
          <w:i/>
          <w:iCs/>
        </w:rPr>
        <w:t xml:space="preserve">Remark 2</w:t>
      </w:r>
      <w:r>
        <w:t xml:space="preserve"> </w:t>
      </w:r>
      <w:r>
        <w:t xml:space="preserve">(Marginal vs. conditional error).</w:t>
      </w:r>
      <w:r>
        <w:t xml:space="preserve"> </w:t>
      </w:r>
      <w:r>
        <w:t xml:space="preserve"> </w:t>
      </w:r>
      <w:r>
        <w:t xml:space="preserve">Theorem 4 bounds the</w:t>
      </w:r>
      <w:r>
        <w:t xml:space="preserve"> </w:t>
      </w:r>
      <w:r>
        <w:rPr>
          <w:i/>
          <w:iCs/>
        </w:rPr>
        <w:t xml:space="preserve">marginal, unconditional</w:t>
      </w:r>
      <w:r>
        <w:t xml:space="preserve"> </w:t>
      </w:r>
      <w:r>
        <w:t xml:space="preserve">false-adapt and</w:t>
      </w:r>
      <w:r>
        <w:t xml:space="preserve"> </w:t>
      </w:r>
      <w:r>
        <w:t xml:space="preserve">false-freeze probabilities (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u</m:t>
            </m:r>
          </m:sub>
        </m:sSub>
      </m:oMath>
      <w:r>
        <w:t xml:space="preserve">). It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bound the conditional</w:t>
      </w:r>
      <w:r>
        <w:t xml:space="preserve"> </w:t>
      </w:r>
      <w:r>
        <w:t xml:space="preserve">rate</w:t>
      </w:r>
      <w: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[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∣</m:t>
        </m:r>
        <m:r>
          <m:rPr>
            <m:nor/>
            <m:sty m:val="p"/>
          </m:rPr>
          <m:t>adapt</m:t>
        </m:r>
        <m:r>
          <m:rPr>
            <m:sty m:val="p"/>
          </m:rPr>
          <m:t>]</m:t>
        </m:r>
      </m:oMath>
      <w:r>
        <w:t xml:space="preserve">, which we report empirically.</w:t>
      </w:r>
      <w:r>
        <w:t xml:space="preserve"> </w:t>
      </w:r>
      <w:r>
        <w:t xml:space="preserve">Risk alignment (Definition 2) is required for the</w:t>
      </w:r>
      <w:r>
        <w:t xml:space="preserve"> </w:t>
      </w:r>
      <w:r>
        <w:rPr>
          <w:i/>
          <w:iCs/>
        </w:rPr>
        <w:t xml:space="preserve">frontier</w:t>
      </w:r>
      <w:r>
        <w:t xml:space="preserve"> </w:t>
      </w:r>
      <w:r>
        <w:t xml:space="preserve">identifiability claim; coverage alone certifies the</w:t>
      </w:r>
      <w:r>
        <w:t xml:space="preserve"> </w:t>
      </w:r>
      <w:r>
        <w:rPr>
          <w:i/>
          <w:iCs/>
        </w:rPr>
        <w:t xml:space="preserve">interval</w:t>
      </w:r>
      <w:r>
        <w:t xml:space="preserve"> </w:t>
      </w:r>
      <w:r>
        <w:t xml:space="preserve">rule above.</w:t>
      </w:r>
    </w:p>
    <w:p>
      <w:pPr>
        <w:pStyle w:val="BodyText"/>
        <w:widowControl/>
      </w:pPr>
      <w:r>
        <w:rPr>
          <w:i/>
          <w:iCs/>
        </w:rPr>
        <w:t xml:space="preserve">Remark 3</w:t>
      </w:r>
      <w:r>
        <w:t xml:space="preserve"> </w:t>
      </w:r>
      <w:r>
        <w:t xml:space="preserve">(Fallback when assumptions are unsupported).</w:t>
      </w:r>
      <w:r>
        <w:t xml:space="preserve"> </w:t>
      </w:r>
      <w:r>
        <w:t xml:space="preserve"> </w:t>
      </w:r>
      <w:r>
        <w:t xml:space="preserve">If interval coverage—or the calibration assumptions supporting it (exchangeability, or an explicit</w:t>
      </w:r>
      <w:r>
        <w:t xml:space="preserve"> </w:t>
      </w:r>
      <w:r>
        <w:t xml:space="preserve">shift correction)—cannot be justified on the deployment batch, Theorem 4</w:t>
      </w:r>
      <w:r>
        <w:t xml:space="preserve"> </w:t>
      </w:r>
      <w:r>
        <w:t xml:space="preserve">supplies no level-</w:t>
      </w:r>
      <m:oMath>
        <m:r>
          <m:t>α</m:t>
        </m:r>
      </m:oMath>
      <w:r>
        <w:t xml:space="preserve"> </w:t>
      </w:r>
      <w:r>
        <w:t xml:space="preserve">protection for either strict action. A deployment must then use a</w:t>
      </w:r>
      <w:r>
        <w:t xml:space="preserve"> </w:t>
      </w:r>
      <w:r>
        <w:t xml:space="preserve">separately declared operational fallback, such as abstention or serving the frozen model; this is a</w:t>
      </w:r>
      <w:r>
        <w:t xml:space="preserve"> </w:t>
      </w:r>
      <w:r>
        <w:t xml:space="preserve">policy recommendation, not a conclusion that either fallback is optimal. If instead</w:t>
      </w:r>
      <w:r>
        <w:t xml:space="preserve"> </w:t>
      </w:r>
      <w:r>
        <w:rPr>
          <w:i/>
          <w:iCs/>
        </w:rPr>
        <w:t xml:space="preserve">risk alignment</w:t>
      </w:r>
      <w:r>
        <w:t xml:space="preserve"> </w:t>
      </w:r>
      <w:r>
        <w:t xml:space="preserve">(Definition 2) cannot be justified, the population-frontier interpretation and the</w:t>
      </w:r>
      <w:r>
        <w:t xml:space="preserve"> </w:t>
      </w:r>
      <w:r>
        <w:t xml:space="preserve">transferability of the benefit estimator are unsupported, even though the interval implication of</w:t>
      </w:r>
      <w:r>
        <w:t xml:space="preserve"> </w:t>
      </w:r>
      <w:r>
        <w:t xml:space="preserve">Theorem 4 remains valid</w:t>
      </w:r>
      <w:r>
        <w:t xml:space="preserve"> </w:t>
      </w:r>
      <w:r>
        <w:rPr>
          <w:i/>
          <w:iCs/>
        </w:rPr>
        <w:t xml:space="preserve">conditional on coverage</w:t>
      </w:r>
      <w:r>
        <w:t xml:space="preserve"> </w:t>
      </w:r>
      <w:r>
        <w:t xml:space="preserve">(cf. Theorem 1).</w:t>
      </w:r>
    </w:p>
    <w:p>
      <w:pPr>
        <w:pStyle w:val="CaptionedFigure"/>
        <w:widowControl/>
        <w:jc w:val="center"/>
      </w:pPr>
      <w:r>
        <w:drawing>
          <wp:inline>
            <wp:extent cx="4267200" cy="2560320"/>
            <wp:effectExtent b="0" l="0" r="0" t="0"/>
            <wp:docPr descr="Finite-sample KGA certificate using the benefit estimate and uncertainty radius." title="Finite-sample KGA certificate using the benefit estimate and uncertainty radius" id="50" name="Picture"/>
            <a:graphic>
              <a:graphicData uri="http://schemas.openxmlformats.org/drawingml/2006/picture">
                <pic:pic>
                  <pic:nvPicPr>
                    <pic:cNvPr descr="figures/fig_certificate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5603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widowControl/>
      </w:pPr>
      <w:r>
        <w:t xml:space="preserve">Figure 3. Empirical certificate. KGA adapts only when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Δ</m:t>
            </m:r>
          </m:e>
        </m:acc>
        <m:r>
          <m:rPr>
            <m:sty m:val="p"/>
          </m:rPr>
          <m:t>−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freezes only when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Δ</m:t>
            </m:r>
          </m:e>
        </m:acc>
        <m:r>
          <m:rPr>
            <m:sty m:val="p"/>
          </m:rPr>
          <m:t>+</m:t>
        </m:r>
        <m:r>
          <m:t>ε</m:t>
        </m:r>
        <m:r>
          <m:rPr>
            <m:sty m:val="p"/>
          </m:rPr>
          <m:t>&lt;</m:t>
        </m:r>
        <m:r>
          <m:t>0</m:t>
        </m:r>
      </m:oMath>
      <w:r>
        <w:t xml:space="preserve">, and abstains otherwise. This finite-sample rule is distinct from</w:t>
      </w:r>
      <w:r>
        <w:t xml:space="preserve"> </w:t>
      </w:r>
      <w:r>
        <w:t xml:space="preserve">the population rule in Fig. 2.</w:t>
      </w:r>
    </w:p>
    <w:bookmarkEnd w:id="52"/>
    <w:bookmarkStart w:id="53" w:name="population-to-algorithm-bridge"/>
    <w:p>
      <w:pPr>
        <w:pStyle w:val="Heading2"/>
        <w:widowControl/>
      </w:pPr>
      <w:r>
        <w:t xml:space="preserve">Population-to-Algorithm Bridge</w:t>
      </w:r>
    </w:p>
    <w:p>
      <w:pPr>
        <w:pStyle w:val="FirstParagraph"/>
        <w:widowControl/>
      </w:pPr>
      <w:r>
        <w:t xml:space="preserve">Under the binary setup, the common target functional links the layers:</w:t>
      </w:r>
    </w:p>
    <w:p>
      <w:pPr>
        <w:pStyle w:val="BodyText"/>
        <w:widowControl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μ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+</m:t>
          </m:r>
          <m:r>
            <m:t>γ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acc>
            <m:accPr>
              <m:chr m:val="̂"/>
            </m:accPr>
            <m:e>
              <m:r>
                <m:rPr>
                  <m:sty m:val="p"/>
                </m:rPr>
                <m:t>Δ</m:t>
              </m:r>
            </m:e>
          </m:acc>
          <m:r>
            <m:rPr>
              <m:sty m:val="p"/>
            </m:rPr>
            <m:t>=</m:t>
          </m:r>
          <m:sSub>
            <m:e>
              <m:r>
                <m:t>h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(6)</m:t>
          </m:r>
        </m:oMath>
      </m:oMathPara>
    </w:p>
    <w:p>
      <w:pPr>
        <w:pStyle w:val="FirstParagraph"/>
        <w:widowControl/>
      </w:pPr>
      <w:r>
        <w:t xml:space="preserve">The population class bounds the first expression through</w:t>
      </w:r>
      <w:r>
        <w:t xml:space="preserve"> </w:t>
      </w:r>
      <m:oMath>
        <m:r>
          <m:rPr>
            <m:sty m:val="p"/>
          </m:rPr>
          <m:t>|</m:t>
        </m:r>
        <m:r>
          <m:t>γ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β</m:t>
        </m:r>
      </m:oMath>
      <w:r>
        <w:t xml:space="preserve">. KGA bounds the same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through prediction error. If</w:t>
      </w:r>
    </w:p>
    <w:p>
      <w:pPr>
        <w:pStyle w:val="BodyText"/>
        <w:widowControl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|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≤</m:t>
              </m:r>
              <m:r>
                <m:t>ε</m:t>
              </m:r>
            </m:e>
          </m:d>
          <m:r>
            <m:rPr>
              <m:sty m:val="p"/>
            </m:rPr>
            <m:t>≥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t> </m:t>
          </m:r>
          <m:r>
            <m:rPr>
              <m:nor/>
              <m:sty m:val="p"/>
            </m:rPr>
            <m:t>(7)</m:t>
          </m:r>
        </m:oMath>
      </m:oMathPara>
    </w:p>
    <w:p>
      <w:pPr>
        <w:pStyle w:val="FirstParagraph"/>
        <w:widowControl/>
      </w:pPr>
      <w:r>
        <w:t xml:space="preserve">then an interval that excludes zero supports the matching action for the observed deployment unit.</w:t>
      </w:r>
      <w:r>
        <w:t xml:space="preserve"> </w:t>
      </w:r>
      <w:r>
        <w:t xml:space="preserve">The two guarantees have different scopes. The frontier is uniform over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C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at fixed</w:t>
      </w:r>
      <w:r>
        <w:t xml:space="preserve"> </w:t>
      </w:r>
      <w:r>
        <w:t xml:space="preserve">population evidence. The interval statement is marginal over the declared calibration and</w:t>
      </w:r>
      <w:r>
        <w:t xml:space="preserve"> </w:t>
      </w:r>
      <w:r>
        <w:t xml:space="preserve">deployment randomness.</w:t>
      </w:r>
    </w:p>
    <w:p>
      <w:pPr>
        <w:pStyle w:val="TableCaption"/>
        <w:widowControl/>
      </w:pPr>
      <w:r>
        <w:t xml:space="preserve">Table 2. The direct bridge shares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but does not identify unlike quantities.</w:t>
      </w:r>
    </w:p>
    <w:tbl>
      <w:tblPr>
        <w:tblStyle w:val="Table"/>
        <w:tblW w:type="dxa" w:w="9960"/>
        <w:jc w:val="left"/>
        <w:tblLayout w:type="fixed"/>
        <w:tblLook w:firstRow="1" w:lastRow="0" w:firstColumn="0" w:lastColumn="0" w:noHBand="0" w:noVBand="0" w:val="0020"/>
        <w:tblCaption w:val="Table 2. The direct bridge shares \Delta but does not identify unlike quantities."/>
        <w:tblInd w:w="120" w:type="dxa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1956"/>
        <w:gridCol w:w="2163"/>
        <w:gridCol w:w="5841"/>
      </w:tblGrid>
      <w:tr>
        <w:trPr>
          <w:tblHeader w:val="on"/>
          <w:tblHeader w:val="true"/>
        </w:trPr>
        <w:tc>
          <w:tcPr>
            <w:tcW w:w="1956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E8EEF5"/>
          </w:tcPr>
          <w:p>
            <w:pPr>
              <w:pStyle w:val="Compact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Quantity</w:t>
            </w:r>
          </w:p>
        </w:tc>
        <w:tc>
          <w:tcPr>
            <w:tcW w:w="2163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E8EEF5"/>
          </w:tcPr>
          <w:p>
            <w:pPr>
              <w:pStyle w:val="Compact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Layer</w:t>
            </w:r>
          </w:p>
        </w:tc>
        <w:tc>
          <w:tcPr>
            <w:tcW w:w="5841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E8EEF5"/>
          </w:tcPr>
          <w:p>
            <w:pPr>
              <w:pStyle w:val="Compact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Role</w:t>
            </w:r>
          </w:p>
        </w:tc>
      </w:tr>
      <w:tr>
        <w:tc>
          <w:tcPr>
            <w:tcW w:w="1956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keepNext/>
              <w:spacing w:before="0" w:after="0" w:line="240" w:lineRule="auto"/>
              <w:jc w:val="left"/>
            </w:pPr>
            <m:oMath>
              <m:r>
                <m:t>M</m:t>
              </m:r>
            </m:oMath>
          </w:p>
        </w:tc>
        <w:tc>
          <w:tcPr>
            <w:tcW w:w="2163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keepNext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population</w:t>
            </w:r>
          </w:p>
        </w:tc>
        <w:tc>
          <w:tcPr>
            <w:tcW w:w="5841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keepNext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observable disagreement margin</w:t>
            </w:r>
          </w:p>
        </w:tc>
      </w:tr>
      <w:tr>
        <w:tc>
          <w:tcPr>
            <w:tcW w:w="1956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keepNext/>
              <w:spacing w:before="0" w:after="0" w:line="240" w:lineRule="auto"/>
              <w:jc w:val="left"/>
            </w:pPr>
            <m:oMath>
              <m:r>
                <m:t>γ</m:t>
              </m:r>
            </m:oMath>
          </w:p>
        </w:tc>
        <w:tc>
          <w:tcPr>
            <w:tcW w:w="2163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keepNext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population</w:t>
            </w:r>
          </w:p>
        </w:tc>
        <w:tc>
          <w:tcPr>
            <w:tcW w:w="5841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keepNext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latent calibration drift</w:t>
            </w:r>
          </w:p>
        </w:tc>
      </w:tr>
      <w:tr>
        <w:tc>
          <w:tcPr>
            <w:tcW w:w="1956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keepNext/>
              <w:spacing w:before="0" w:after="0" w:line="240" w:lineRule="auto"/>
              <w:jc w:val="left"/>
            </w:pPr>
            <m:oMath>
              <m:r>
                <m:t>β</m:t>
              </m:r>
            </m:oMath>
          </w:p>
        </w:tc>
        <w:tc>
          <w:tcPr>
            <w:tcW w:w="2163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keepNext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population</w:t>
            </w:r>
          </w:p>
        </w:tc>
        <w:tc>
          <w:tcPr>
            <w:tcW w:w="5841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keepNext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declared bound on</w:t>
            </w:r>
            <w:r>
              <w:rPr>
                <w:rFonts w:ascii="Times New Roman" w:hAnsi="Times New Roman"/>
                <w:sz w:val="17"/>
              </w:rP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γ</m:t>
              </m:r>
              <m:r>
                <m:rPr>
                  <m:sty m:val="p"/>
                </m:rPr>
                <m:t>|</m:t>
              </m:r>
            </m:oMath>
          </w:p>
        </w:tc>
      </w:tr>
      <w:tr>
        <w:tc>
          <w:tcPr>
            <w:tcW w:w="1956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keepNext/>
              <w:spacing w:before="0" w:after="0" w:line="240" w:lineRule="auto"/>
              <w:jc w:val="left"/>
            </w:pPr>
            <m:oMath>
              <m:r>
                <m:rPr>
                  <m:sty m:val="p"/>
                </m:rPr>
                <m:t>Δ</m:t>
              </m:r>
            </m:oMath>
          </w:p>
        </w:tc>
        <w:tc>
          <w:tcPr>
            <w:tcW w:w="2163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keepNext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both</w:t>
            </w:r>
          </w:p>
        </w:tc>
        <w:tc>
          <w:tcPr>
            <w:tcW w:w="5841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keepNext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target risk reduction</w:t>
            </w:r>
          </w:p>
        </w:tc>
      </w:tr>
      <w:tr>
        <w:tc>
          <w:tcPr>
            <w:tcW w:w="1956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keepNext/>
              <w:spacing w:before="0" w:after="0" w:line="240" w:lineRule="auto"/>
              <w:jc w:val="left"/>
            </w:pP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</m:e>
              </m:acc>
            </m:oMath>
          </w:p>
        </w:tc>
        <w:tc>
          <w:tcPr>
            <w:tcW w:w="2163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keepNext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empirical</w:t>
            </w:r>
          </w:p>
        </w:tc>
        <w:tc>
          <w:tcPr>
            <w:tcW w:w="5841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keepNext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learned estimate from</w:t>
            </w:r>
            <w:r>
              <w:rPr>
                <w:rFonts w:ascii="Times New Roman" w:hAnsi="Times New Roman"/>
                <w:sz w:val="17"/>
              </w:rPr>
              <w:t xml:space="preserve"> </w:t>
            </w:r>
            <m:oMath>
              <m:r>
                <m:t>Z</m:t>
              </m:r>
            </m:oMath>
          </w:p>
        </w:tc>
      </w:tr>
      <w:tr>
        <w:tc>
          <w:tcPr>
            <w:tcW w:w="1956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m:oMath>
              <m:r>
                <m:t>ε</m:t>
              </m:r>
            </m:oMath>
          </w:p>
        </w:tc>
        <w:tc>
          <w:tcPr>
            <w:tcW w:w="2163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empirical</w:t>
            </w:r>
          </w:p>
        </w:tc>
        <w:tc>
          <w:tcPr>
            <w:tcW w:w="5841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residual-coverage radius</w:t>
            </w:r>
          </w:p>
        </w:tc>
      </w:tr>
    </w:tbl>
    <w:p>
      <w:pPr>
        <w:pStyle w:val="BodyText"/>
        <w:widowControl/>
      </w:pPr>
      <w:r>
        <w:t xml:space="preserve">Three limits matter. First, KGA does not estimate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m:oMath>
        <m:r>
          <m:t>γ</m:t>
        </m:r>
      </m:oMath>
      <w:r>
        <w:t xml:space="preserve">, or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in the reported</w:t>
      </w:r>
      <w:r>
        <w:t xml:space="preserve"> </w:t>
      </w:r>
      <w:r>
        <w:t xml:space="preserve">real-data experiments. Second,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covers total prediction error; it does not estimate or</w:t>
      </w:r>
      <w:r>
        <w:t xml:space="preserve"> </w:t>
      </w:r>
      <w:r>
        <w:t xml:space="preserve">separate latent drift. Third, abstention can reflect structural ambiguity, limited data, a weak</w:t>
      </w:r>
      <w:r>
        <w:t xml:space="preserve"> </w:t>
      </w:r>
      <w:r>
        <w:t xml:space="preserve">estimator, transfer failure, or conservative calibration. Abstention alone does not prove that the</w:t>
      </w:r>
      <w:r>
        <w:t xml:space="preserve"> </w:t>
      </w:r>
      <w:r>
        <w:t xml:space="preserve">population law lies in</w:t>
      </w:r>
      <w:r>
        <w:t xml:space="preserve"> </w:t>
      </w:r>
      <m:oMath>
        <m:r>
          <m:rPr>
            <m:sty m:val="p"/>
          </m:rPr>
          <m:t>|</m:t>
        </m:r>
        <m:r>
          <m:t>M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β</m:t>
        </m:r>
      </m:oMath>
      <w:r>
        <w:t xml:space="preserve">.</w:t>
      </w:r>
    </w:p>
    <w:p>
      <w:pPr>
        <w:pStyle w:val="BodyText"/>
        <w:widowControl/>
      </w:pPr>
      <w:r>
        <w:t xml:space="preserve">The release keeps this separation in code. The population API requires an externally declared</w:t>
      </w:r>
      <w:r>
        <w:t xml:space="preserve"> 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and fails closed when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is absent. The KGA API instead accepts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̂"/>
          </m:accPr>
          <m:e>
            <m:r>
              <m:rPr>
                <m:sty m:val="p"/>
              </m:rPr>
              <m:t>Δ</m:t>
            </m:r>
          </m:e>
        </m:acc>
        <m:r>
          <m:rPr>
            <m:sty m:val="p"/>
          </m:rPr>
          <m:t>,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and has no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argument. A controlled algebraic check records the</w:t>
      </w:r>
      <w:r>
        <w:t xml:space="preserve"> </w:t>
      </w:r>
      <w:r>
        <w:t xml:space="preserve">two actions side by side on cells with the same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. The actions may agree or disagree because</w:t>
      </w:r>
      <w:r>
        <w:t xml:space="preserve"> </w:t>
      </w:r>
      <w:r>
        <w:t xml:space="preserve">the two layers use different uncertainty objects and scopes. This check is not a real-data estimate</w:t>
      </w:r>
      <w:r>
        <w:t xml:space="preserve"> </w:t>
      </w:r>
      <w:r>
        <w:t xml:space="preserve">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or a benchmark win.</w:t>
      </w:r>
    </w:p>
    <w:bookmarkEnd w:id="53"/>
    <w:bookmarkStart w:id="55" w:name="kga-algorithm-and-shadow-state-workflow"/>
    <w:p>
      <w:pPr>
        <w:pStyle w:val="Heading2"/>
        <w:widowControl/>
      </w:pPr>
      <w:r>
        <w:t xml:space="preserve">KGA Algorithm and Shadow-State Workflow</w:t>
      </w:r>
    </w:p>
    <w:bookmarkStart w:id="54" w:name="Xda13bec172c9313769b992e9b81100f9ea012a3"/>
    <w:p>
      <w:pPr>
        <w:pStyle w:val="Heading3"/>
        <w:keepNext/>
        <w:widowControl/>
        <w:spacing w:before="100" w:after="20" w:line="252" w:lineRule="auto"/>
      </w:pPr>
      <w:r>
        <w:rPr>
          <w:rFonts w:ascii="Times New Roman" w:hAnsi="Times New Roman" w:eastAsia="Times New Roman" w:cs="Times New Roman"/>
          <w:b/>
          <w:sz w:val="19"/>
        </w:rPr>
        <w:t xml:space="preserve">Algorithm 1. Knowability-Guided Adaptation (KGA).</w:t>
      </w:r>
    </w:p>
    <w:p>
      <w:pPr>
        <w:widowControl/>
        <w:numPr>
          <w:ilvl w:val="0"/>
          <w:numId w:val="1003"/>
        </w:numPr>
      </w:pPr>
      <w:r>
        <w:rPr>
          <w:b/>
          <w:bCs/>
        </w:rPr>
        <w:t xml:space="preserve">Inputs:</w:t>
      </w:r>
      <w:r>
        <w:t xml:space="preserve"> </w:t>
      </w:r>
      <w:r>
        <w:t xml:space="preserve">frozen model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, adapter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, unlabeled batch</w:t>
      </w:r>
      <w:r>
        <w:t xml:space="preserve"> </w:t>
      </w:r>
      <m:oMath>
        <m:r>
          <m:t>X</m:t>
        </m:r>
      </m:oMath>
      <w:r>
        <w:t xml:space="preserve">, fitted benefit model</w:t>
      </w:r>
      <w:r>
        <w:t xml:space="preserve"> </w:t>
      </w:r>
      <m:oMath>
        <m:sSub>
          <m:e>
            <m:r>
              <m:t>h</m:t>
            </m:r>
          </m:e>
          <m:sub>
            <m:r>
              <m:t>θ</m:t>
            </m:r>
          </m:sub>
        </m:sSub>
      </m:oMath>
      <w:r>
        <w:t xml:space="preserve">, and radius</w:t>
      </w:r>
      <w:r>
        <w:t xml:space="preserve"> </w:t>
      </w:r>
      <m:oMath>
        <m:r>
          <m:t>ε</m:t>
        </m:r>
      </m:oMath>
      <w:r>
        <w:t xml:space="preserve">.</w:t>
      </w:r>
    </w:p>
    <w:p>
      <w:pPr>
        <w:widowControl/>
        <w:numPr>
          <w:ilvl w:val="0"/>
          <w:numId w:val="1003"/>
        </w:numPr>
      </w:pPr>
      <w:r>
        <w:t xml:space="preserve">Checkpoint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propose</w:t>
      </w:r>
      <w:r>
        <w:t xml:space="preserve"> </w:t>
      </w:r>
      <m:oMath>
        <m:sSub>
          <m:e>
            <m:r>
              <m:t>f</m:t>
            </m:r>
          </m:e>
          <m:sub>
            <m:r>
              <m:t>a</m:t>
            </m:r>
          </m:sub>
        </m:sSub>
        <m:r>
          <m:rPr>
            <m:sty m:val="p"/>
          </m:rPr>
          <m:t>←</m:t>
        </m:r>
        <m:r>
          <m:rPr>
            <m:scr m:val="script"/>
            <m:sty m:val="p"/>
          </m:rPr>
          <m:t>A</m:t>
        </m:r>
        <m:r>
          <m:rPr>
            <m:sty m:val="p"/>
          </m:rPr>
          <m:t>(</m:t>
        </m:r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shadow state.</w:t>
      </w:r>
    </w:p>
    <w:p>
      <w:pPr>
        <w:widowControl/>
        <w:numPr>
          <w:ilvl w:val="0"/>
          <w:numId w:val="1003"/>
        </w:numPr>
      </w:pPr>
      <w:r>
        <w:t xml:space="preserve">Evaluate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, then extract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widowControl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Δ</m:t>
            </m:r>
          </m:e>
        </m:acc>
        <m:r>
          <m:rPr>
            <m:sty m:val="p"/>
          </m:rPr>
          <m:t>←</m:t>
        </m:r>
        <m:sSub>
          <m:e>
            <m:r>
              <m:t>h</m:t>
            </m:r>
          </m:e>
          <m:sub>
            <m:r>
              <m:t>θ</m:t>
            </m:r>
          </m:sub>
        </m:sSub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←</m:t>
        </m:r>
        <m:acc>
          <m:accPr>
            <m:chr m:val="̂"/>
          </m:accPr>
          <m:e>
            <m:r>
              <m:rPr>
                <m:sty m:val="p"/>
              </m:rPr>
              <m:t>Δ</m:t>
            </m:r>
          </m:e>
        </m:acc>
        <m:r>
          <m:rPr>
            <m:sty m:val="p"/>
          </m:rPr>
          <m:t>−</m:t>
        </m:r>
        <m:r>
          <m:t>ε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←</m:t>
        </m:r>
        <m:acc>
          <m:accPr>
            <m:chr m:val="̂"/>
          </m:accPr>
          <m:e>
            <m:r>
              <m:rPr>
                <m:sty m:val="p"/>
              </m:rPr>
              <m:t>Δ</m:t>
            </m:r>
          </m:e>
        </m:acc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widowControl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L</m:t>
        </m:r>
        <m:r>
          <m:rPr>
            <m:sty m:val="p"/>
          </m:rPr>
          <m:t>&gt;</m:t>
        </m:r>
        <m:r>
          <m:t>0</m:t>
        </m:r>
      </m:oMath>
      <w:r>
        <w:t xml:space="preserve">, commit</w:t>
      </w:r>
      <w:r>
        <w:t xml:space="preserve"> </w:t>
      </w:r>
      <m:oMath>
        <m:sSub>
          <m:e>
            <m:r>
              <m:t>f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and return</w:t>
      </w:r>
      <w:r>
        <w:t xml:space="preserve"> </w:t>
      </w:r>
      <w:r>
        <w:rPr>
          <w:smallCaps/>
        </w:rPr>
        <w:t xml:space="preserve">adapt</w:t>
      </w:r>
      <w:r>
        <w:t xml:space="preserve">. If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 roll back and return</w:t>
      </w:r>
      <w:r>
        <w:t xml:space="preserve"> </w:t>
      </w:r>
      <w:r>
        <w:rPr>
          <w:smallCaps/>
        </w:rPr>
        <w:t xml:space="preserve">freeze</w:t>
      </w:r>
      <w:r>
        <w:t xml:space="preserve">. Otherwise retain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, log uncertainty, and return</w:t>
      </w:r>
      <w:r>
        <w:t xml:space="preserve"> </w:t>
      </w:r>
      <w:r>
        <w:rPr>
          <w:smallCaps/>
        </w:rPr>
        <w:t xml:space="preserve">abstain</w:t>
      </w:r>
      <w:r>
        <w:t xml:space="preserve">.</w:t>
      </w:r>
    </w:p>
    <w:p>
      <w:pPr>
        <w:pStyle w:val="FirstParagraph"/>
        <w:widowControl/>
      </w:pPr>
      <w:r>
        <w:t xml:space="preserve">The workflow isolates candidate generation from commitment. No update reaches the serving state</w:t>
      </w:r>
      <w:r>
        <w:t xml:space="preserve"> </w:t>
      </w:r>
      <w:r>
        <w:t xml:space="preserve">until the evidence schema, calibrated estimator, interval, and action have all been evaluated. A</w:t>
      </w:r>
      <w:r>
        <w:t xml:space="preserve"> </w:t>
      </w:r>
      <w:r>
        <w:t xml:space="preserve">freeze or abstain decision discards the shadow state and retains the checkpointed model.</w:t>
      </w:r>
    </w:p>
    <w:bookmarkEnd w:id="54"/>
    <w:bookmarkEnd w:id="55"/>
    <w:bookmarkStart w:id="56" w:name="evidence-and-benefit-model"/>
    <w:p>
      <w:pPr>
        <w:pStyle w:val="Heading2"/>
        <w:widowControl/>
      </w:pPr>
      <w:r>
        <w:t xml:space="preserve">Evidence and Benefit Model</w:t>
      </w:r>
    </w:p>
    <w:p>
      <w:pPr>
        <w:pStyle w:val="FirstParagraph"/>
        <w:widowControl/>
      </w:pPr>
      <w:r>
        <w:t xml:space="preserve">The controlled-grid implementation records 11 label-free coordinates with effective rank 9.</w:t>
      </w:r>
      <w:r>
        <w:t xml:space="preserve"> </w:t>
      </w:r>
      <w:r>
        <w:t xml:space="preserve">Two coordinates are deterministic differences:</w:t>
      </w:r>
      <w:r>
        <w:t xml:space="preserve"> </w:t>
      </w:r>
      <w:r>
        <w:rPr>
          <w:rStyle w:val="VerbatimChar"/>
        </w:rPr>
        <w:t xml:space="preserve">entropy_drop</w:t>
      </w:r>
      <w:r>
        <w:t xml:space="preserve">=</w:t>
      </w:r>
      <w:r>
        <w:rPr>
          <w:rStyle w:val="VerbatimChar"/>
        </w:rPr>
        <w:t xml:space="preserve">pre_entropy</w:t>
      </w:r>
      <w:r>
        <w:t xml:space="preserve">-</w:t>
      </w:r>
      <w:r>
        <w:rPr>
          <w:rStyle w:val="VerbatimChar"/>
        </w:rPr>
        <w:t xml:space="preserve">post_entropy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pbal_drop</w:t>
      </w:r>
      <w:r>
        <w:t xml:space="preserve">=</w:t>
      </w:r>
      <w:r>
        <w:rPr>
          <w:rStyle w:val="VerbatimChar"/>
        </w:rPr>
        <w:t xml:space="preserve">pre_pbal</w:t>
      </w:r>
      <w:r>
        <w:t xml:space="preserve">-</w:t>
      </w:r>
      <w:r>
        <w:rPr>
          <w:rStyle w:val="VerbatimChar"/>
        </w:rPr>
        <w:t xml:space="preserve">post_pbal</w:t>
      </w:r>
      <w:r>
        <w:t xml:space="preserve">. The panel therefore contains 11</w:t>
      </w:r>
      <w:r>
        <w:t xml:space="preserve"> </w:t>
      </w:r>
      <w:r>
        <w:t xml:space="preserve">stored values, not 11 independent information sources. Together they describe confidence, class</w:t>
      </w:r>
      <w:r>
        <w:t xml:space="preserve"> </w:t>
      </w:r>
      <w:r>
        <w:t xml:space="preserve">balance, change from the frozen model, and update size.</w:t>
      </w:r>
    </w:p>
    <w:p>
      <w:pPr>
        <w:pStyle w:val="BodyText"/>
        <w:widowControl/>
      </w:pPr>
      <w:r>
        <w:t xml:space="preserve">Natural-shift artifacts do not all use the same schema. iWildCam, RxRx1, and most archived tracks</w:t>
      </w:r>
      <w:r>
        <w:t xml:space="preserve"> </w:t>
      </w:r>
      <w:r>
        <w:t xml:space="preserve">use the 11-feature panel. Camelyon17 uses 17 features by adding disagreement, entropy gap,</w:t>
      </w:r>
      <w:r>
        <w:t xml:space="preserve"> </w:t>
      </w:r>
      <w:r>
        <w:t xml:space="preserve">free-energy shift, batch-statistic divergence, a source-fixed ATC estimate, and confidence drop.</w:t>
      </w:r>
      <w:r>
        <w:t xml:space="preserve"> </w:t>
      </w:r>
      <w:r>
        <w:t xml:space="preserve">Office-Home uses 18 features and also records source-prior KL and mean candidate disagreement. A</w:t>
      </w:r>
      <w:r>
        <w:t xml:space="preserve"> </w:t>
      </w:r>
      <w:r>
        <w:t xml:space="preserve">model and its radius are valid only for the schema on which they were calibrated. Missing,</w:t>
      </w:r>
      <w:r>
        <w:t xml:space="preserve"> </w:t>
      </w:r>
      <w:r>
        <w:t xml:space="preserve">reordered, or invalid features force non-commitment.</w:t>
      </w:r>
    </w:p>
    <w:p>
      <w:pPr>
        <w:pStyle w:val="BodyText"/>
        <w:widowControl/>
      </w:pPr>
      <w:r>
        <w:t xml:space="preserve">The benefit model is a scikit-learn</w:t>
      </w:r>
      <w:r>
        <w:t xml:space="preserve"> </w:t>
      </w:r>
      <w:r>
        <w:rPr>
          <w:rStyle w:val="VerbatimChar"/>
        </w:rPr>
        <w:t xml:space="preserve">GradientBoostingRegressor</w:t>
      </w:r>
      <w:r>
        <w:t xml:space="preserve"> </w:t>
      </w:r>
      <w:r>
        <w:t xml:space="preserve">with squared-error loss,</w:t>
      </w:r>
      <w:r>
        <w:t xml:space="preserve"> </w:t>
      </w:r>
      <w:r>
        <w:t xml:space="preserve">250 trees, depth 2, learning rate</w:t>
      </w:r>
      <w:r>
        <w:t xml:space="preserve"> </w:t>
      </w:r>
      <m:oMath>
        <m:r>
          <m:t>0.05</m:t>
        </m:r>
      </m:oMath>
      <w:r>
        <w:t xml:space="preserve">, subsample</w:t>
      </w:r>
      <w:r>
        <w:t xml:space="preserve"> </w:t>
      </w:r>
      <m:oMath>
        <m:r>
          <m:t>0.8</m:t>
        </m:r>
      </m:oMath>
      <w:r>
        <w:t xml:space="preserve">, and random seed 0. We refit it for each</w:t>
      </w:r>
      <w:r>
        <w:t xml:space="preserve"> </w:t>
      </w:r>
      <w:r>
        <w:t xml:space="preserve">dataset and adapter. Thus</w:t>
      </w:r>
      <w:r>
        <w:t xml:space="preserve"> </w:t>
      </w:r>
      <w:r>
        <w:t xml:space="preserve">“adapter agnostic”</w:t>
      </w:r>
      <w:r>
        <w:t xml:space="preserve"> </w:t>
      </w:r>
      <w:r>
        <w:t xml:space="preserve">describes the interface: any adapter can propose a</w:t>
      </w:r>
      <w:r>
        <w:t xml:space="preserve"> </w:t>
      </w:r>
      <w:r>
        <w:t xml:space="preserve">candidate that is evaluated and either committed or rolled back. It does not mean that a benefit</w:t>
      </w:r>
      <w:r>
        <w:t xml:space="preserve"> </w:t>
      </w:r>
      <w:r>
        <w:t xml:space="preserve">model fitted for Tent transfers validly to EATA, SAR, or another adapter.</w:t>
      </w:r>
    </w:p>
    <w:bookmarkEnd w:id="56"/>
    <w:bookmarkStart w:id="58" w:name="calibration-designs"/>
    <w:p>
      <w:pPr>
        <w:pStyle w:val="Heading2"/>
        <w:widowControl/>
      </w:pPr>
      <w:r>
        <w:t xml:space="preserve">Calibration Designs</w:t>
      </w:r>
    </w:p>
    <w:p>
      <w:pPr>
        <w:pStyle w:val="FirstParagraph"/>
        <w:widowControl/>
      </w:pPr>
      <w:r>
        <w:t xml:space="preserve">For a clean calibration set with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|</m:t>
        </m:r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Δ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</m:oMath>
      <w:r>
        <w:t xml:space="preserve">, sort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use</w:t>
      </w:r>
    </w:p>
    <w:p>
      <w:pPr>
        <w:pStyle w:val="BodyText"/>
        <w:widowControl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=</m:t>
          </m:r>
          <m:d>
            <m:dPr>
              <m:begChr m:val="⌈"/>
              <m:sepChr m:val=""/>
              <m:endChr m:val="⌉"/>
              <m:grow/>
            </m:dPr>
            <m:e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t>ε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k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n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k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n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  <m:r>
            <m:t> </m:t>
          </m:r>
          <m:r>
            <m:rPr>
              <m:nor/>
              <m:sty m:val="p"/>
            </m:rPr>
            <m:t>(8)</m:t>
          </m:r>
        </m:oMath>
      </m:oMathPara>
    </w:p>
    <w:p>
      <w:pPr>
        <w:pStyle w:val="FirstParagraph"/>
        <w:widowControl/>
      </w:pPr>
      <w:r>
        <w:t xml:space="preserve">Under exchangeability, this is the ordinary split-conformal route to</w:t>
      </w:r>
      <w:r>
        <w:t xml:space="preserve"> </w:t>
      </w:r>
      <w:r>
        <w:t xml:space="preserve">Eq. (7). The controlled grids use leave-one-condition-out, out-of-fold</w:t>
      </w:r>
      <w:r>
        <w:t xml:space="preserve"> </w:t>
      </w:r>
      <w:r>
        <w:t xml:space="preserve">benefit predictions and leave-one-cell-out empirical residual radii. That prevents direct in-fold</w:t>
      </w:r>
      <w:r>
        <w:t xml:space="preserve"> </w:t>
      </w:r>
      <w:r>
        <w:t xml:space="preserve">leakage, but it is not relabeled as exact split conformal or jackknife+. Its coverage is empirical</w:t>
      </w:r>
      <w:r>
        <w:t xml:space="preserve"> </w:t>
      </w:r>
      <w:r>
        <w:t xml:space="preserve">and depends on stability. Natural-shift protocols instead separate development fitting, residual</w:t>
      </w:r>
      <w:r>
        <w:t xml:space="preserve"> </w:t>
      </w:r>
      <w:r>
        <w:t xml:space="preserve">calibration, and target scoring where the saved protocol supports that separation. Each canonical</w:t>
      </w:r>
      <w:r>
        <w:t xml:space="preserve"> </w:t>
      </w:r>
      <w:r>
        <w:t xml:space="preserve">row retains its own scope label because a numerical replay is not automatically a transfer proof.</w:t>
      </w:r>
    </w:p>
    <w:p>
      <w:pPr>
        <w:pStyle w:val="BodyText"/>
        <w:widowControl/>
      </w:pPr>
      <w:r>
        <w:t xml:space="preserve">The intuition is simple. Calibration records how far past benefit predictions missed their true</w:t>
      </w:r>
      <w:r>
        <w:t xml:space="preserve"> </w:t>
      </w:r>
      <w:r>
        <w:t xml:space="preserve">values. The radius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 high empirical quantile of those misses. KGA acts only when</w:t>
      </w:r>
      <w:r>
        <w:t xml:space="preserve"> </w:t>
      </w:r>
      <w:r>
        <w:t xml:space="preserve">the new prediction is farther from zero than this radius. A wider radius produces fewer decisions;</w:t>
      </w:r>
      <w:r>
        <w:t xml:space="preserve"> </w:t>
      </w:r>
      <w:r>
        <w:t xml:space="preserve">a narrower radius produces more decisions but needs stronger evidence that calibration transfers.</w:t>
      </w:r>
    </w:p>
    <w:bookmarkStart w:id="57" w:name="concrete-example."/>
    <w:p>
      <w:pPr>
        <w:pStyle w:val="Heading3"/>
        <w:keepNext/>
        <w:widowControl/>
        <w:spacing w:before="100" w:after="20" w:line="252" w:lineRule="auto"/>
      </w:pPr>
      <w:r>
        <w:rPr>
          <w:rFonts w:ascii="Times New Roman" w:hAnsi="Times New Roman" w:eastAsia="Times New Roman" w:cs="Times New Roman"/>
          <w:b/>
          <w:sz w:val="19"/>
        </w:rPr>
        <w:t xml:space="preserve">Concrete example.</w:t>
      </w:r>
    </w:p>
    <w:p>
      <w:pPr>
        <w:pStyle w:val="FirstParagraph"/>
        <w:widowControl/>
      </w:pPr>
      <w:r>
        <w:t xml:space="preserve">Suppose KGA predicts a benefit of</w:t>
      </w:r>
      <w:r>
        <w:t xml:space="preserve"> </w:t>
      </w:r>
      <m:oMath>
        <m:r>
          <m:t>0.04</m:t>
        </m:r>
      </m:oMath>
      <w:r>
        <w:t xml:space="preserve"> </w:t>
      </w:r>
      <w:r>
        <w:t xml:space="preserve">with radius</w:t>
      </w:r>
      <w:r>
        <w:t xml:space="preserve"> </w:t>
      </w:r>
      <m:oMath>
        <m:r>
          <m:t>0.01</m:t>
        </m:r>
      </m:oMath>
      <w:r>
        <w:t xml:space="preserve">. The interval is</w:t>
      </w:r>
      <w:r>
        <w:t xml:space="preserve"> </w:t>
      </w:r>
      <m:oMath>
        <m:r>
          <m:rPr>
            <m:sty m:val="p"/>
          </m:rPr>
          <m:t>[</m:t>
        </m:r>
        <m:r>
          <m:t>0.03</m:t>
        </m:r>
        <m:r>
          <m:rPr>
            <m:sty m:val="p"/>
          </m:rPr>
          <m:t>,</m:t>
        </m:r>
        <m:r>
          <m:t>0.05</m:t>
        </m:r>
        <m:r>
          <m:rPr>
            <m:sty m:val="p"/>
          </m:rPr>
          <m:t>]</m:t>
        </m:r>
      </m:oMath>
      <w:r>
        <w:t xml:space="preserve">, so every covered value is positive and KGA adapts. If the prediction is</w:t>
      </w:r>
      <w:r>
        <w:t xml:space="preserve"> </w:t>
      </w:r>
      <m:oMath>
        <m:r>
          <m:rPr>
            <m:sty m:val="p"/>
          </m:rPr>
          <m:t>−</m:t>
        </m:r>
        <m:r>
          <m:t>0.04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the same radius, the interval is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0.05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0.03</m:t>
        </m:r>
        <m:r>
          <m:rPr>
            <m:sty m:val="p"/>
          </m:rPr>
          <m:t>]</m:t>
        </m:r>
      </m:oMath>
      <w:r>
        <w:t xml:space="preserve"> </w:t>
      </w:r>
      <w:r>
        <w:t xml:space="preserve">and KGA freezes. If the prediction is</w:t>
      </w:r>
      <w:r>
        <w:t xml:space="preserve"> </w:t>
      </w:r>
      <m:oMath>
        <m:r>
          <m:t>0.005</m:t>
        </m:r>
      </m:oMath>
      <w:r>
        <w:t xml:space="preserve">, the</w:t>
      </w:r>
      <w:r>
        <w:t xml:space="preserve"> </w:t>
      </w:r>
      <w:r>
        <w:t xml:space="preserve">interval is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0.005</m:t>
        </m:r>
        <m:r>
          <m:rPr>
            <m:sty m:val="p"/>
          </m:rPr>
          <m:t>,</m:t>
        </m:r>
        <m:r>
          <m:t>0.015</m:t>
        </m:r>
        <m:r>
          <m:rPr>
            <m:sty m:val="p"/>
          </m:rPr>
          <m:t>]</m:t>
        </m:r>
      </m:oMath>
      <w:r>
        <w:t xml:space="preserve">; because it crosses zero, KGA abstains. The rule depends on the whole</w:t>
      </w:r>
      <w:r>
        <w:t xml:space="preserve"> </w:t>
      </w:r>
      <w:r>
        <w:t xml:space="preserve">interval, not only on the point estimate.</w:t>
      </w:r>
    </w:p>
    <w:bookmarkEnd w:id="57"/>
    <w:bookmarkEnd w:id="58"/>
    <w:bookmarkStart w:id="59" w:name="deployment-checks-and-cost"/>
    <w:p>
      <w:pPr>
        <w:pStyle w:val="Heading2"/>
        <w:widowControl/>
      </w:pPr>
      <w:r>
        <w:t xml:space="preserve">Deployment Checks and Cost</w:t>
      </w:r>
    </w:p>
    <w:p>
      <w:pPr>
        <w:pStyle w:val="FirstParagraph"/>
        <w:widowControl/>
      </w:pPr>
      <w:r>
        <w:t xml:space="preserve">The deployed workflow checkpoints active state, proposes adaptation on a temporary copy, evaluates</w:t>
      </w:r>
      <w:r>
        <w:t xml:space="preserve"> </w:t>
      </w:r>
      <w:r>
        <w:t xml:space="preserve">both predictors, extracts evidence, computes the interval, commits or rolls back, and logs the</w:t>
      </w:r>
      <w:r>
        <w:t xml:space="preserve"> </w:t>
      </w:r>
      <w:r>
        <w:t xml:space="preserve">action. It must fail closed when the evidence schema, checkpoint, adapter configuration,</w:t>
      </w:r>
      <w:r>
        <w:t xml:space="preserve"> </w:t>
      </w:r>
      <w:r>
        <w:t xml:space="preserve">calibration identity, or numerical checks differ from the calibrated contract. In a continual</w:t>
      </w:r>
      <w:r>
        <w:t xml:space="preserve"> </w:t>
      </w:r>
      <w:r>
        <w:t xml:space="preserve">stream, the last accepted model may become the new baseline only if the deployment policy states</w:t>
      </w:r>
      <w:r>
        <w:t xml:space="preserve"> </w:t>
      </w:r>
      <w:r>
        <w:t xml:space="preserve">this rule in advance.</w:t>
      </w:r>
    </w:p>
    <w:p>
      <w:pPr>
        <w:pStyle w:val="BodyText"/>
        <w:widowControl/>
      </w:pPr>
      <w:r>
        <w:t xml:space="preserve">KGA is not</w:t>
      </w:r>
      <w:r>
        <w:t xml:space="preserve"> </w:t>
      </w:r>
      <w:r>
        <w:t xml:space="preserve">“one extra forward pass.”</w:t>
      </w:r>
      <w:r>
        <w:t xml:space="preserve"> </w:t>
      </w:r>
      <w:r>
        <w:t xml:space="preserve">Its total cost includes candidate adaptation (including</w:t>
      </w:r>
      <w:r>
        <w:t xml:space="preserve"> </w:t>
      </w:r>
      <w:r>
        <w:t xml:space="preserve">backward computation), frozen inference, candidate inference, evidence extraction, benefit-model</w:t>
      </w:r>
      <w:r>
        <w:t xml:space="preserve"> </w:t>
      </w:r>
      <w:r>
        <w:t xml:space="preserve">evaluation, a temporary model copy, and rollback. The tree and interval decision are lightweight,</w:t>
      </w:r>
      <w:r>
        <w:t xml:space="preserve"> </w:t>
      </w:r>
      <w:r>
        <w:t xml:space="preserve">but creating the shadow candidate is not. We report no common latency number because the canonical</w:t>
      </w:r>
      <w:r>
        <w:t xml:space="preserve"> </w:t>
      </w:r>
      <w:r>
        <w:t xml:space="preserve">manifest does not contain a comparable measurement across all tracks.</w:t>
      </w:r>
    </w:p>
    <w:bookmarkEnd w:id="59"/>
    <w:bookmarkEnd w:id="60"/>
    <w:bookmarkStart w:id="66" w:name="experimental-design"/>
    <w:p>
      <w:pPr>
        <w:pStyle w:val="Heading1"/>
        <w:widowControl/>
      </w:pPr>
      <w:r>
        <w:t xml:space="preserve">Experimental Design</w:t>
      </w:r>
    </w:p>
    <w:bookmarkStart w:id="61" w:name="controlled-and-natural-evidence"/>
    <w:p>
      <w:pPr>
        <w:pStyle w:val="Heading2"/>
        <w:widowControl/>
      </w:pPr>
      <w:r>
        <w:t xml:space="preserve">Controlled and Natural Evidence</w:t>
      </w:r>
    </w:p>
    <w:p>
      <w:pPr>
        <w:pStyle w:val="FirstParagraph"/>
        <w:widowControl/>
      </w:pPr>
      <w:r>
        <w:t xml:space="preserve">The evaluation has two branches. Controlled grids vary corruption, severity, batch composition,</w:t>
      </w:r>
      <w:r>
        <w:t xml:space="preserve"> </w:t>
      </w:r>
      <w:r>
        <w:t xml:space="preserve">and update strength. This creates cells in which adaptation helps and cells in which it harms. The</w:t>
      </w:r>
      <w:r>
        <w:t xml:space="preserve"> </w:t>
      </w:r>
      <w:r>
        <w:t xml:space="preserve">grids test whether KGA can separate those cases, although they use cross-fitted cells rather than a</w:t>
      </w:r>
      <w:r>
        <w:t xml:space="preserve"> </w:t>
      </w:r>
      <w:r>
        <w:t xml:space="preserve">completely untouched target dataset. Natural and semantic shifts test transfer from development</w:t>
      </w:r>
      <w:r>
        <w:t xml:space="preserve"> </w:t>
      </w:r>
      <w:r>
        <w:t xml:space="preserve">domains to target conditions. Many of these shifts are one-sided, so they may test no-harm behavior</w:t>
      </w:r>
      <w:r>
        <w:t xml:space="preserve"> </w:t>
      </w:r>
      <w:r>
        <w:t xml:space="preserve">without giving any router a realistic chance to beat both fixed policies.</w:t>
      </w:r>
    </w:p>
    <w:bookmarkEnd w:id="61"/>
    <w:bookmarkStart w:id="62" w:name="evaluation-roles-and-regime-map"/>
    <w:p>
      <w:pPr>
        <w:pStyle w:val="Heading2"/>
        <w:widowControl/>
      </w:pPr>
      <w:r>
        <w:t xml:space="preserve">Evaluation Roles and Regime Map</w:t>
      </w:r>
    </w:p>
    <w:p>
      <w:pPr>
        <w:pStyle w:val="FirstParagraph"/>
        <w:widowControl/>
      </w:pPr>
      <w:r>
        <w:t xml:space="preserve">Table 3 separates benchmark names from the claims that each archived</w:t>
      </w:r>
      <w:r>
        <w:t xml:space="preserve"> </w:t>
      </w:r>
      <w:r>
        <w:t xml:space="preserve">protocol can support.</w:t>
      </w:r>
    </w:p>
    <w:p>
      <w:pPr>
        <w:pStyle w:val="TableCaption"/>
        <w:widowControl/>
      </w:pPr>
      <w:r>
        <w:t xml:space="preserve">Table 3. Evaluation roles. A dataset name is not a claim: the candidate, calibration unit, replay</w:t>
      </w:r>
      <w:r>
        <w:t xml:space="preserve"> </w:t>
      </w:r>
      <w:r>
        <w:t xml:space="preserve">status, and shift geometry determine what the row can support.</w:t>
      </w:r>
    </w:p>
    <w:tbl>
      <w:tblPr>
        <w:tblStyle w:val="Table"/>
        <w:tblW w:type="dxa" w:w="9960"/>
        <w:jc w:val="left"/>
        <w:tblLayout w:type="fixed"/>
        <w:tblLook w:firstRow="1" w:lastRow="0" w:firstColumn="0" w:lastColumn="0" w:noHBand="0" w:noVBand="0" w:val="0020"/>
        <w:tblCaption w:val="Table 3. Evaluation roles. A dataset name is not a claim: the candidate, calibration unit, replay status, and shift geometry determine what the row can support."/>
        <w:tblInd w:w="120" w:type="dxa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870"/>
        <w:gridCol w:w="2718"/>
        <w:gridCol w:w="2268"/>
        <w:gridCol w:w="4104"/>
      </w:tblGrid>
      <w:tr>
        <w:trPr>
          <w:tblHeader w:val="on"/>
          <w:tblHeader w:val="true"/>
        </w:trPr>
        <w:tc>
          <w:tcPr>
            <w:tcW w:w="870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E8EEF5"/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t xml:space="preserve">Track</w:t>
            </w:r>
          </w:p>
        </w:tc>
        <w:tc>
          <w:tcPr>
            <w:tcW w:w="2718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E8EEF5"/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t xml:space="preserve">Shift geometry</w:t>
            </w:r>
          </w:p>
        </w:tc>
        <w:tc>
          <w:tcPr>
            <w:tcW w:w="2268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E8EEF5"/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t xml:space="preserve">Candidates in canonical panel</w:t>
            </w:r>
          </w:p>
        </w:tc>
        <w:tc>
          <w:tcPr>
            <w:tcW w:w="410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E8EEF5"/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t xml:space="preserve">Defensible use</w:t>
            </w:r>
          </w:p>
        </w:tc>
      </w:tr>
      <w:tr>
        <w:tc>
          <w:tcPr>
            <w:tcW w:w="870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CIFAR-10-C</w:t>
            </w:r>
          </w:p>
        </w:tc>
        <w:tc>
          <w:tcPr>
            <w:tcW w:w="2718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controlled mixed corruption/composition</w:t>
            </w:r>
          </w:p>
        </w:tc>
        <w:tc>
          <w:tcPr>
            <w:tcW w:w="2268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Tent, EATA, SAR</w:t>
            </w:r>
          </w:p>
        </w:tc>
        <w:tc>
          <w:tcPr>
            <w:tcW w:w="410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routing and candidate dependence; empirical LOO calibration</w:t>
            </w:r>
          </w:p>
        </w:tc>
      </w:tr>
      <w:tr>
        <w:tc>
          <w:tcPr>
            <w:tcW w:w="870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ImageNet-C</w:t>
            </w:r>
          </w:p>
        </w:tc>
        <w:tc>
          <w:tcPr>
            <w:tcW w:w="2718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large-scale corruption grid</w:t>
            </w:r>
          </w:p>
        </w:tc>
        <w:tc>
          <w:tcPr>
            <w:tcW w:w="2268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Tent, EATA, SAR</w:t>
            </w:r>
          </w:p>
        </w:tc>
        <w:tc>
          <w:tcPr>
            <w:tcW w:w="410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candidate-dependent scale diagnostic</w:t>
            </w:r>
          </w:p>
        </w:tc>
      </w:tr>
      <w:tr>
        <w:tc>
          <w:tcPr>
            <w:tcW w:w="870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Office-Home</w:t>
            </w:r>
          </w:p>
        </w:tc>
        <w:tc>
          <w:tcPr>
            <w:tcW w:w="2718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semantic domain shift</w:t>
            </w:r>
          </w:p>
        </w:tc>
        <w:tc>
          <w:tcPr>
            <w:tcW w:w="2268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locked candidate</w:t>
            </w:r>
          </w:p>
        </w:tc>
        <w:tc>
          <w:tcPr>
            <w:tcW w:w="410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primary no-harm, 54-cell stream-seed replication, and an invalidated exploratory five-checkpoint route</w:t>
            </w:r>
          </w:p>
        </w:tc>
      </w:tr>
      <w:tr>
        <w:tc>
          <w:tcPr>
            <w:tcW w:w="870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iWildCam</w:t>
            </w:r>
          </w:p>
        </w:tc>
        <w:tc>
          <w:tcPr>
            <w:tcW w:w="2718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geographic/camera shift</w:t>
            </w:r>
          </w:p>
        </w:tc>
        <w:tc>
          <w:tcPr>
            <w:tcW w:w="2268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locked candidate</w:t>
            </w:r>
          </w:p>
        </w:tc>
        <w:tc>
          <w:tcPr>
            <w:tcW w:w="410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numerical row withheld; official WILDS-metric rerun required</w:t>
            </w:r>
          </w:p>
        </w:tc>
      </w:tr>
      <w:tr>
        <w:tc>
          <w:tcPr>
            <w:tcW w:w="870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Camelyon17</w:t>
            </w:r>
          </w:p>
        </w:tc>
        <w:tc>
          <w:tcPr>
            <w:tcW w:w="2718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hospital shift</w:t>
            </w:r>
          </w:p>
        </w:tc>
        <w:tc>
          <w:tcPr>
            <w:tcW w:w="2268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OOD row; Tent/EATA/SAR diagnostic</w:t>
            </w:r>
          </w:p>
        </w:tc>
        <w:tc>
          <w:tcPr>
            <w:tcW w:w="410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archived opened one-sided OOD diagnostic plus within-seed diagnostics</w:t>
            </w:r>
          </w:p>
        </w:tc>
      </w:tr>
      <w:tr>
        <w:tc>
          <w:tcPr>
            <w:tcW w:w="870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RxRx1</w:t>
            </w:r>
          </w:p>
        </w:tc>
        <w:tc>
          <w:tcPr>
            <w:tcW w:w="2718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laboratory/batch shift</w:t>
            </w:r>
          </w:p>
        </w:tc>
        <w:tc>
          <w:tcPr>
            <w:tcW w:w="2268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locked candidate</w:t>
            </w:r>
          </w:p>
        </w:tc>
        <w:tc>
          <w:tcPr>
            <w:tcW w:w="410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displayed model-seed-0 no-harm row plus a three-checkpoint all-freeze replication</w:t>
            </w:r>
          </w:p>
        </w:tc>
      </w:tr>
      <w:tr>
        <w:tc>
          <w:tcPr>
            <w:tcW w:w="870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PACS</w:t>
            </w:r>
          </w:p>
        </w:tc>
        <w:tc>
          <w:tcPr>
            <w:tcW w:w="2718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domain generalization</w:t>
            </w:r>
          </w:p>
        </w:tc>
        <w:tc>
          <w:tcPr>
            <w:tcW w:w="2268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aggregate candidate</w:t>
            </w:r>
          </w:p>
        </w:tc>
        <w:tc>
          <w:tcPr>
            <w:tcW w:w="410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negative aggregate diagnostic; incomplete decision replay</w:t>
            </w:r>
          </w:p>
        </w:tc>
      </w:tr>
      <w:tr>
        <w:tc>
          <w:tcPr>
            <w:tcW w:w="870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ImageNet-R</w:t>
            </w:r>
          </w:p>
        </w:tc>
        <w:tc>
          <w:tcPr>
            <w:tcW w:w="2718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rendition and architecture panel</w:t>
            </w:r>
          </w:p>
        </w:tc>
        <w:tc>
          <w:tcPr>
            <w:tcW w:w="2268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ten-backbone panel</w:t>
            </w:r>
          </w:p>
        </w:tc>
        <w:tc>
          <w:tcPr>
            <w:tcW w:w="410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negative architecture diagnostic, not one deployed policy</w:t>
            </w:r>
          </w:p>
        </w:tc>
      </w:tr>
      <w:tr>
        <w:tc>
          <w:tcPr>
            <w:tcW w:w="870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CIFAR-10.1</w:t>
            </w:r>
          </w:p>
        </w:tc>
        <w:tc>
          <w:tcPr>
            <w:tcW w:w="2718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natural resampling</w:t>
            </w:r>
          </w:p>
        </w:tc>
        <w:tc>
          <w:tcPr>
            <w:tcW w:w="2268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locked replay</w:t>
            </w:r>
          </w:p>
        </w:tc>
        <w:tc>
          <w:tcPr>
            <w:tcW w:w="410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negative low-margin cross-seed diagnostic</w:t>
            </w:r>
          </w:p>
        </w:tc>
      </w:tr>
    </w:tbl>
    <w:bookmarkEnd w:id="62"/>
    <w:bookmarkStart w:id="63" w:name="metrics-units-and-leakage-control"/>
    <w:p>
      <w:pPr>
        <w:pStyle w:val="Heading2"/>
        <w:widowControl/>
      </w:pPr>
      <w:r>
        <w:t xml:space="preserve">Metrics, Units, and Leakage Control</w:t>
      </w:r>
    </w:p>
    <w:p>
      <w:pPr>
        <w:pStyle w:val="FirstParagraph"/>
        <w:widowControl/>
      </w:pPr>
      <w:r>
        <w:t xml:space="preserve">We report regret to the per-condition oracle, marginal and conditional false-adapt rates, adapt</w:t>
      </w:r>
      <w:r>
        <w:t xml:space="preserve"> </w:t>
      </w:r>
      <w:r>
        <w:t xml:space="preserve">rate, the full action count, and decision coverage. Always-adapt and always-freeze have coverage one</w:t>
      </w:r>
      <w:r>
        <w:t xml:space="preserve"> </w:t>
      </w:r>
      <w:r>
        <w:t xml:space="preserve">because they never abstain. If KGA has lower regret than both, the routing decisions were useful on</w:t>
      </w:r>
      <w:r>
        <w:t xml:space="preserve"> </w:t>
      </w:r>
      <w:r>
        <w:t xml:space="preserve">that panel. This ordering alone does not prove interval coverage or population risk alignment.</w:t>
      </w:r>
    </w:p>
    <w:p>
      <w:pPr>
        <w:pStyle w:val="BodyText"/>
        <w:widowControl/>
      </w:pPr>
      <w:r>
        <w:t xml:space="preserve">Each track states its fitting unit, residual pool, and scoring unit. For a controlled cell, the</w:t>
      </w:r>
      <w:r>
        <w:t xml:space="preserve"> </w:t>
      </w:r>
      <w:r>
        <w:t xml:space="preserve">estimator excludes that cell from fitting, and the radius excludes its residual. Natural rows use</w:t>
      </w:r>
      <w:r>
        <w:t xml:space="preserve"> </w:t>
      </w:r>
      <w:r>
        <w:t xml:space="preserve">the archived development and target partitions. The gate never sees labels used to compute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; those labels are revealed only after the action is fixed. We also keep model seeds,</w:t>
      </w:r>
      <w:r>
        <w:t xml:space="preserve"> </w:t>
      </w:r>
      <w:r>
        <w:t xml:space="preserve">test-stream seeds, and repeated cells separate because they represent different kinds of</w:t>
      </w:r>
      <w:r>
        <w:t xml:space="preserve"> </w:t>
      </w:r>
      <w:r>
        <w:t xml:space="preserve">uncertainty.</w:t>
      </w:r>
    </w:p>
    <w:bookmarkEnd w:id="63"/>
    <w:bookmarkStart w:id="64" w:name="canonicalization-and-provenance"/>
    <w:p>
      <w:pPr>
        <w:pStyle w:val="Heading2"/>
        <w:widowControl/>
      </w:pPr>
      <w:r>
        <w:t xml:space="preserve">Canonicalization and Provenance</w:t>
      </w:r>
    </w:p>
    <w:p>
      <w:pPr>
        <w:pStyle w:val="FirstParagraph"/>
        <w:widowControl/>
      </w:pPr>
      <w:r>
        <w:t xml:space="preserve">The generated table below is the canonical point-estimate table used by this compact submission.</w:t>
      </w:r>
      <w:r>
        <w:t xml:space="preserve"> </w:t>
      </w:r>
      <w:r>
        <w:t xml:space="preserve">It is a post-hoc reconciled audit panel built from 106 compact source artifacts whose original and</w:t>
      </w:r>
      <w:r>
        <w:t xml:space="preserve"> </w:t>
      </w:r>
      <w:r>
        <w:t xml:space="preserve">released SHA-256 hashes are recorded in</w:t>
      </w:r>
      <w:r>
        <w:t xml:space="preserve"> </w:t>
      </w:r>
      <w:r>
        <w:rPr>
          <w:rStyle w:val="VerbatimChar"/>
        </w:rPr>
        <w:t xml:space="preserve">experiments/kbound/results/reconciled_panels_v1/source_manifest.json</w:t>
      </w:r>
      <w:r>
        <w:t xml:space="preserve">. The corresponding JSON</w:t>
      </w:r>
      <w:r>
        <w:t xml:space="preserve"> </w:t>
      </w:r>
      <w:r>
        <w:t xml:space="preserve">records the decision rule,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0.10</m:t>
        </m:r>
      </m:oMath>
      <w:r>
        <w:t xml:space="preserve">, generator identity, package versions, and panel-specific</w:t>
      </w:r>
      <w:r>
        <w:t xml:space="preserve"> </w:t>
      </w:r>
      <w:r>
        <w:t xml:space="preserve">scope. Candidate rows remain separate. Historical interpolated-quantile results, superseded</w:t>
      </w:r>
      <w:r>
        <w:t xml:space="preserve"> </w:t>
      </w:r>
      <w:r>
        <w:t xml:space="preserve">ImageNet-C grids, and development win-search artifacts are not merged into this table.</w:t>
      </w:r>
    </w:p>
    <w:bookmarkEnd w:id="64"/>
    <w:bookmarkStart w:id="65" w:name="X3d22f9d0b22b3bc1ce4ed95bdc91252181530f3"/>
    <w:p>
      <w:pPr>
        <w:pStyle w:val="Heading2"/>
        <w:widowControl/>
      </w:pPr>
      <w:r>
        <w:t xml:space="preserve">Inference Units, Clustering, and Multiplicity</w:t>
      </w:r>
    </w:p>
    <w:p>
      <w:pPr>
        <w:pStyle w:val="FirstParagraph"/>
        <w:widowControl/>
      </w:pPr>
      <w:r>
        <w:t xml:space="preserve">The resampling unit must match the claim. A condition-level interval treats controlled cells as the</w:t>
      </w:r>
      <w:r>
        <w:t xml:space="preserve"> </w:t>
      </w:r>
      <w:r>
        <w:t xml:space="preserve">units. A corruption-family interval resamples groups of related corruptions. Seed, backbone, domain,</w:t>
      </w:r>
      <w:r>
        <w:t xml:space="preserve"> </w:t>
      </w:r>
      <w:r>
        <w:t xml:space="preserve">and physical session units answer different questions and are not interchangeable. Throughout this</w:t>
      </w:r>
      <w:r>
        <w:t xml:space="preserve"> </w:t>
      </w:r>
      <w:r>
        <w:t xml:space="preserve">paper, a paired regret gap is defined as baseline regret minus KGA regret, so a positive value favors</w:t>
      </w:r>
      <w:r>
        <w:t xml:space="preserve"> </w:t>
      </w:r>
      <w:r>
        <w:t xml:space="preserve">KGA. Confidence intervals follow the same sign convention.</w:t>
      </w:r>
    </w:p>
    <w:p>
      <w:pPr>
        <w:pStyle w:val="BodyText"/>
        <w:widowControl/>
      </w:pPr>
      <w:r>
        <w:t xml:space="preserve">The repository also contains exploratory searches conducted before the present reconciliation.</w:t>
      </w:r>
      <w:r>
        <w:t xml:space="preserve"> </w:t>
      </w:r>
      <w:r>
        <w:t xml:space="preserve">Their historical counts were not frozen with one reproducible family definition, and two archived</w:t>
      </w:r>
      <w:r>
        <w:t xml:space="preserve"> </w:t>
      </w:r>
      <w:r>
        <w:t xml:space="preserve">censuses disagree. We therefore do not promote a multiplicity total or call the full panel</w:t>
      </w:r>
      <w:r>
        <w:t xml:space="preserve"> </w:t>
      </w:r>
      <w:r>
        <w:t xml:space="preserve">pre-registered. The release is a frozen claim-eligible panel assembled post hoc; prospectively</w:t>
      </w:r>
      <w:r>
        <w:t xml:space="preserve"> </w:t>
      </w:r>
      <w:r>
        <w:t xml:space="preserve">locked, retrospective, historical, invalidated, and withheld rows are identified separately.</w:t>
      </w:r>
    </w:p>
    <w:bookmarkEnd w:id="65"/>
    <w:bookmarkEnd w:id="66"/>
    <w:bookmarkStart w:id="88" w:name="results"/>
    <w:p>
      <w:pPr>
        <w:pStyle w:val="Heading1"/>
        <w:widowControl/>
      </w:pPr>
      <w:r>
        <w:t xml:space="preserve">Results</w:t>
      </w:r>
    </w:p>
    <w:p>
      <w:pPr>
        <w:pStyle w:val="FirstParagraph"/>
        <w:widowControl/>
      </w:pPr>
      <w:r>
        <w:t xml:space="preserve">The results answer three questions. First, can KGA beat both fixed policies when helpful and harmful</w:t>
      </w:r>
      <w:r>
        <w:t xml:space="preserve"> </w:t>
      </w:r>
      <w:r>
        <w:t xml:space="preserve">updates coexist? Second, does that result hold across adapters and resampling units? Third, does the</w:t>
      </w:r>
      <w:r>
        <w:t xml:space="preserve"> </w:t>
      </w:r>
      <w:r>
        <w:t xml:space="preserve">same behavior transfer to natural shifts? The answers are: yes at the exact-rank point-estimate</w:t>
      </w:r>
      <w:r>
        <w:t xml:space="preserve"> </w:t>
      </w:r>
      <w:r>
        <w:t xml:space="preserve">level for controlled Tent and EATA; positive ordinary six-family intervals for Tent, but no</w:t>
      </w:r>
      <w:r>
        <w:t xml:space="preserve"> </w:t>
      </w:r>
      <w:r>
        <w:t xml:space="preserve">candidate clears the preregistered six-comparison Holm gate; and mostly no-harm, negative, or</w:t>
      </w:r>
      <w:r>
        <w:t xml:space="preserve"> </w:t>
      </w:r>
      <w:r>
        <w:t xml:space="preserve">withheld evidence on natural shifts.</w:t>
      </w:r>
    </w:p>
    <w:p>
      <w:pPr>
        <w:pStyle w:val="TableCaption"/>
        <w:widowControl/>
      </w:pPr>
      <w:r>
        <w:t xml:space="preserve">Table 4. Canonical reconciled result panel. Lower regret is better. KGA, Adapt, and Freeze are</w:t>
      </w:r>
      <w:r>
        <w:t xml:space="preserve"> </w:t>
      </w:r>
      <w:r>
        <w:t xml:space="preserve">regret to the per-condition oracle.</w:t>
      </w:r>
      <w: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u</m:t>
            </m:r>
          </m:sub>
        </m:sSub>
      </m:oMath>
      <w:r>
        <w:t xml:space="preserve"> </w:t>
      </w:r>
      <w:r>
        <w:t xml:space="preserve">is marginal false adaptation.</w:t>
      </w:r>
      <w:r>
        <w:t xml:space="preserve"> </w:t>
      </w:r>
      <w:r>
        <w:t xml:space="preserve">Coverage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ty m:val="p"/>
          </m:rPr>
          <m:t>adapt</m:t>
        </m:r>
        <m:r>
          <m:rPr>
            <m:nor/>
            <m:sty m:val="p"/>
          </m:rPr>
          <m:t> or </m:t>
        </m:r>
        <m:r>
          <m:rPr>
            <m:nor/>
            <m:sty m:val="p"/>
          </m:rPr>
          <m:t>freeze</m:t>
        </m:r>
        <m:r>
          <m:rPr>
            <m:sty m:val="p"/>
          </m:rPr>
          <m:t>)</m:t>
        </m:r>
      </m:oMath>
      <w:r>
        <w:t xml:space="preserve">, not adapt rate. Values are generated directly from</w:t>
      </w:r>
      <w:r>
        <w:t xml:space="preserve"> </w:t>
      </w:r>
      <w:r>
        <w:t xml:space="preserve">the canonical JSON; 391983f4fa09d65c256ab8c620fea772866b652c219dad0c36574ce38c740482 is the SHA-256 of its compact-source manifest. The</w:t>
      </w:r>
      <w:r>
        <w:t xml:space="preserve"> </w:t>
      </w:r>
      <w:r>
        <w:t xml:space="preserve">table reports point estimates; this compact paper does not promote a row to a CI-robust win unless</w:t>
      </w:r>
      <w:r>
        <w:t xml:space="preserve"> </w:t>
      </w:r>
      <w:r>
        <w:t xml:space="preserve">an inference artifact at the declared unit is present. Rows are protocol-specific and must not be</w:t>
      </w:r>
      <w:r>
        <w:t xml:space="preserve"> </w:t>
      </w:r>
      <w:r>
        <w:t xml:space="preserve">pooled across datasets, adapters, or metrics.</w:t>
      </w:r>
      <w:r>
        <w:t xml:space="preserve"> </w:t>
      </w:r>
      <w:r>
        <w:t xml:space="preserve">“Office-Home replication”</w:t>
      </w:r>
      <w:r>
        <w:t xml:space="preserve"> </w:t>
      </w:r>
      <w:r>
        <w:t xml:space="preserve">denotes the archived</w:t>
      </w:r>
      <w:r>
        <w:t xml:space="preserve"> </w:t>
      </w:r>
      <w:r>
        <w:t xml:space="preserve">54-cell test-stream-seed replay, not the later five-independent-checkpoint audit in</w:t>
      </w:r>
      <w:r>
        <w:t xml:space="preserve"> </w:t>
      </w:r>
      <w:r>
        <w:t xml:space="preserve">Table 6. For PACS,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counts equal-weight domain-seed inference</w:t>
      </w:r>
      <w:r>
        <w:t xml:space="preserve"> </w:t>
      </w:r>
      <w:r>
        <w:t xml:space="preserve">units, while</w:t>
      </w:r>
      <w: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u</m:t>
            </m:r>
          </m:sub>
        </m:sSub>
      </m:oMath>
      <w:r>
        <w:t xml:space="preserve"> </w:t>
      </w:r>
      <w:r>
        <w:t xml:space="preserve">and coverage summarize 216 repeated decision evaluations</w:t>
      </w:r>
      <w:r>
        <w:t xml:space="preserve"> </w:t>
      </w:r>
      <w:r>
        <w:t xml:space="preserve">(108 paired settings). The iWildCam row is withheld because the archived scorer used sklearn</w:t>
      </w:r>
      <w:r>
        <w:t xml:space="preserve"> </w:t>
      </w:r>
      <w:r>
        <w:t xml:space="preserve">macro-F1 rather than the official WILDS label-present macro-F1 contract; its stored values are audit</w:t>
      </w:r>
      <w:r>
        <w:t xml:space="preserve"> </w:t>
      </w:r>
      <w:r>
        <w:t xml:space="preserve">history, not canonical numerical evidence. The</w:t>
      </w:r>
      <w:r>
        <w:t xml:space="preserve"> </w:t>
      </w:r>
      <w:r>
        <w:t xml:space="preserve">ImageNet-C SAR row uses a learning rate</w:t>
      </w:r>
      <w:r>
        <w:t xml:space="preserve"> </w:t>
      </w:r>
      <m:oMath>
        <m:r>
          <m:t>16</m:t>
        </m:r>
        <m:r>
          <m:rPr>
            <m:sty m:val="p"/>
          </m:rPr>
          <m:t>×</m:t>
        </m:r>
      </m:oMath>
      <w:r>
        <w:t xml:space="preserve"> </w:t>
      </w:r>
      <w:r>
        <w:t xml:space="preserve">above SAR’s published setting (</w:t>
      </w:r>
      <m:oMath>
        <m:r>
          <m:t>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versus</w:t>
      </w:r>
      <w:r>
        <w:t xml:space="preserve"> </w:t>
      </w:r>
      <m:oMath>
        <m:r>
          <m:t>2.5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) and leaves the</w:t>
      </w:r>
      <w:r>
        <w:t xml:space="preserve"> </w:t>
      </w:r>
      <w:r>
        <w:t xml:space="preserve">final ResNet stage adaptable; no control at SAR’s official operating point has been run.</w:t>
      </w:r>
    </w:p>
    <w:tbl>
      <w:tblPr>
        <w:tblStyle w:val="Table"/>
        <w:tblW w:type="dxa" w:w="9960"/>
        <w:jc w:val="left"/>
        <w:tblLayout w:type="fixed"/>
        <w:tblLook w:firstRow="1" w:lastRow="0" w:firstColumn="0" w:lastColumn="0" w:noHBand="0" w:noVBand="0" w:val="0020"/>
        <w:tblCaption w:val="Table 4. Canonical reconciled result panel. Lower regret is better. KGA, Adapt, and Freeze are regret to the per-condition oracle. \mathrm{FA}_{\mathrm u} is marginal false adaptation. Coverage is \mathbb{P}(\text{adapt}\text{ or }\text{freeze}), not adapt rate. Values are generated directly from the canonical JSON; 391983f4fa09d65c256ab8c620fea772866b652c219dad0c36574ce38c740482 is the SHA-256 of its compact-source manifest. The table reports point estimates; this compact paper does not promote a row to a CI-robust win unless an inference artifact at the declared unit is present. Rows are protocol-specific and must not be pooled across datasets, adapters, or metrics. “Office-Home replication” denotes the archived 54-cell test-stream-seed replay, not the later five-independent-checkpoint audit in Table 6. For PACS, n=12 counts equal-weight domain-seed inference units, while \mathrm{FA}_{\mathrm u} and coverage summarize 216 repeated decision evaluations (108 paired settings). The iWildCam row is withheld because the archived scorer used sklearn macro-F1 rather than the official WILDS label-present macro-F1 contract; its stored values are audit history, not canonical numerical evidence. The ImageNet-C SAR row uses a learning rate 16\times above SAR’s published setting (4\times10^{-3} versus 2.5\times10^{-4}) and leaves the final ResNet stage adaptable; no control at SAR’s official operating point has been run."/>
        <w:tblInd w:w="120" w:type="dxa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1272"/>
        <w:gridCol w:w="1339"/>
        <w:gridCol w:w="1462"/>
        <w:gridCol w:w="1467"/>
        <w:gridCol w:w="1470"/>
        <w:gridCol w:w="1475"/>
        <w:gridCol w:w="1475"/>
      </w:tblGrid>
      <w:tr>
        <w:trPr>
          <w:tblHeader w:val="on"/>
          <w:tblHeader w:val="true"/>
        </w:trPr>
        <w:tc>
          <w:tcPr>
            <w:tcW w:w="1272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E8EEF5"/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14"/>
              </w:rPr>
              <w:t xml:space="preserve">Panel</w:t>
            </w:r>
          </w:p>
        </w:tc>
        <w:tc>
          <w:tcPr>
            <w:tcW w:w="1339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E8EEF5"/>
          </w:tcPr>
          <w:p>
            <w:pPr>
              <w:pStyle w:val="Compact"/>
              <w:spacing w:before="0" w:after="0" w:line="240" w:lineRule="auto"/>
              <w:jc w:val="center"/>
            </w:pPr>
            <m:oMath>
              <m:r>
                <m:t>n</m:t>
              </m:r>
            </m:oMath>
          </w:p>
        </w:tc>
        <w:tc>
          <w:tcPr>
            <w:tcW w:w="1462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E8EEF5"/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14"/>
              </w:rPr>
              <w:t xml:space="preserve">KGA</w:t>
            </w:r>
          </w:p>
        </w:tc>
        <w:tc>
          <w:tcPr>
            <w:tcW w:w="1467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E8EEF5"/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14"/>
              </w:rPr>
              <w:t xml:space="preserve">Adapt</w:t>
            </w:r>
          </w:p>
        </w:tc>
        <w:tc>
          <w:tcPr>
            <w:tcW w:w="1470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E8EEF5"/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14"/>
              </w:rPr>
              <w:t xml:space="preserve">Freeze</w:t>
            </w:r>
          </w:p>
        </w:tc>
        <w:tc>
          <w:tcPr>
            <w:tcW w:w="1475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E8EEF5"/>
          </w:tcPr>
          <w:p>
            <w:pPr>
              <w:pStyle w:val="Compact"/>
              <w:spacing w:before="0" w:after="0" w:line="240" w:lineRule="auto"/>
              <w:jc w:val="center"/>
            </w:pPr>
            <m:oMath>
              <m:sSub>
                <m:e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A</m:t>
                  </m:r>
                </m:e>
                <m:sub>
                  <m:r>
                    <m:t>u</m:t>
                  </m:r>
                </m:sub>
              </m:sSub>
            </m:oMath>
          </w:p>
        </w:tc>
        <w:tc>
          <w:tcPr>
            <w:tcW w:w="1475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E8EEF5"/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14"/>
              </w:rPr>
              <w:t xml:space="preserve">Coverage</w:t>
            </w:r>
          </w:p>
        </w:tc>
      </w:tr>
      <w:tr>
        <w:tc>
          <w:tcPr>
            <w:tcW w:w="1272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4"/>
              </w:rPr>
              <w:t xml:space="preserve">Office–Home M–v2</w:t>
            </w:r>
          </w:p>
        </w:tc>
        <w:tc>
          <w:tcPr>
            <w:tcW w:w="1339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35</w:t>
            </w:r>
          </w:p>
        </w:tc>
        <w:tc>
          <w:tcPr>
            <w:tcW w:w="1462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0.0158</w:t>
            </w:r>
          </w:p>
        </w:tc>
        <w:tc>
          <w:tcPr>
            <w:tcW w:w="1467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0.0468</w:t>
            </w:r>
          </w:p>
        </w:tc>
        <w:tc>
          <w:tcPr>
            <w:tcW w:w="1470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0.0158</w:t>
            </w:r>
          </w:p>
        </w:tc>
        <w:tc>
          <w:tcPr>
            <w:tcW w:w="1475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0.0000</w:t>
            </w:r>
          </w:p>
        </w:tc>
        <w:tc>
          <w:tcPr>
            <w:tcW w:w="1475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0.3143</w:t>
            </w:r>
          </w:p>
        </w:tc>
      </w:tr>
      <w:tr>
        <w:tc>
          <w:tcPr>
            <w:tcW w:w="1272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4"/>
              </w:rPr>
              <w:t xml:space="preserve">Office–Home replication</w:t>
            </w:r>
          </w:p>
        </w:tc>
        <w:tc>
          <w:tcPr>
            <w:tcW w:w="1339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54</w:t>
            </w:r>
          </w:p>
        </w:tc>
        <w:tc>
          <w:tcPr>
            <w:tcW w:w="1462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0.0215</w:t>
            </w:r>
          </w:p>
        </w:tc>
        <w:tc>
          <w:tcPr>
            <w:tcW w:w="1467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0.0458</w:t>
            </w:r>
          </w:p>
        </w:tc>
        <w:tc>
          <w:tcPr>
            <w:tcW w:w="1470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0.0217</w:t>
            </w:r>
          </w:p>
        </w:tc>
        <w:tc>
          <w:tcPr>
            <w:tcW w:w="1475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0.0000</w:t>
            </w:r>
          </w:p>
        </w:tc>
        <w:tc>
          <w:tcPr>
            <w:tcW w:w="1475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0.2778</w:t>
            </w:r>
          </w:p>
        </w:tc>
      </w:tr>
      <w:tr>
        <w:tc>
          <w:tcPr>
            <w:tcW w:w="1272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4"/>
              </w:rPr>
              <w:t xml:space="preserve">iWildCam H–v2</w:t>
            </w:r>
          </w:p>
        </w:tc>
        <w:tc>
          <w:tcPr>
            <w:gridSpan w:val="6"/>
            <w:tcW w:w="8688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4"/>
              </w:rPr>
              <w:t xml:space="preserve">withheld: official-metric rerun required</w:t>
            </w:r>
          </w:p>
        </w:tc>
      </w:tr>
      <w:tr>
        <w:tc>
          <w:tcPr>
            <w:tcW w:w="1272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4"/>
              </w:rPr>
              <w:t xml:space="preserve">ImageNet–C SAR</w:t>
            </w:r>
          </w:p>
        </w:tc>
        <w:tc>
          <w:tcPr>
            <w:tcW w:w="1339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135</w:t>
            </w:r>
          </w:p>
        </w:tc>
        <w:tc>
          <w:tcPr>
            <w:tcW w:w="1462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0.0289</w:t>
            </w:r>
          </w:p>
        </w:tc>
        <w:tc>
          <w:tcPr>
            <w:tcW w:w="1467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0.0529</w:t>
            </w:r>
          </w:p>
        </w:tc>
        <w:tc>
          <w:tcPr>
            <w:tcW w:w="1470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0.0319</w:t>
            </w:r>
          </w:p>
        </w:tc>
        <w:tc>
          <w:tcPr>
            <w:tcW w:w="1475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0.0074</w:t>
            </w:r>
          </w:p>
        </w:tc>
        <w:tc>
          <w:tcPr>
            <w:tcW w:w="1475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0.2074</w:t>
            </w:r>
          </w:p>
        </w:tc>
      </w:tr>
      <w:tr>
        <w:tc>
          <w:tcPr>
            <w:tcW w:w="1272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4"/>
              </w:rPr>
              <w:t xml:space="preserve">ImageNet–C TENT</w:t>
            </w:r>
          </w:p>
        </w:tc>
        <w:tc>
          <w:tcPr>
            <w:tcW w:w="1339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135</w:t>
            </w:r>
          </w:p>
        </w:tc>
        <w:tc>
          <w:tcPr>
            <w:tcW w:w="1462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0.0145</w:t>
            </w:r>
          </w:p>
        </w:tc>
        <w:tc>
          <w:tcPr>
            <w:tcW w:w="1467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0.0191</w:t>
            </w:r>
          </w:p>
        </w:tc>
        <w:tc>
          <w:tcPr>
            <w:tcW w:w="1470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0.0145</w:t>
            </w:r>
          </w:p>
        </w:tc>
        <w:tc>
          <w:tcPr>
            <w:tcW w:w="1475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0.0000</w:t>
            </w:r>
          </w:p>
        </w:tc>
        <w:tc>
          <w:tcPr>
            <w:tcW w:w="1475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0.0000</w:t>
            </w:r>
          </w:p>
        </w:tc>
      </w:tr>
      <w:tr>
        <w:tc>
          <w:tcPr>
            <w:tcW w:w="1272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4"/>
              </w:rPr>
              <w:t xml:space="preserve">ImageNet–C EATA</w:t>
            </w:r>
          </w:p>
        </w:tc>
        <w:tc>
          <w:tcPr>
            <w:tcW w:w="1339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135</w:t>
            </w:r>
          </w:p>
        </w:tc>
        <w:tc>
          <w:tcPr>
            <w:tcW w:w="1462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0.0007</w:t>
            </w:r>
          </w:p>
        </w:tc>
        <w:tc>
          <w:tcPr>
            <w:tcW w:w="1467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0.0001</w:t>
            </w:r>
          </w:p>
        </w:tc>
        <w:tc>
          <w:tcPr>
            <w:tcW w:w="1470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0.0342</w:t>
            </w:r>
          </w:p>
        </w:tc>
        <w:tc>
          <w:tcPr>
            <w:tcW w:w="1475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0.0074</w:t>
            </w:r>
          </w:p>
        </w:tc>
        <w:tc>
          <w:tcPr>
            <w:tcW w:w="1475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0.8963</w:t>
            </w:r>
          </w:p>
        </w:tc>
      </w:tr>
      <w:tr>
        <w:tc>
          <w:tcPr>
            <w:tcW w:w="1272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4"/>
              </w:rPr>
              <w:t xml:space="preserve">PACS</w:t>
            </w:r>
          </w:p>
        </w:tc>
        <w:tc>
          <w:tcPr>
            <w:tcW w:w="1339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12</w:t>
            </w:r>
          </w:p>
        </w:tc>
        <w:tc>
          <w:tcPr>
            <w:tcW w:w="1462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0.0431</w:t>
            </w:r>
          </w:p>
        </w:tc>
        <w:tc>
          <w:tcPr>
            <w:tcW w:w="1467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0.0176</w:t>
            </w:r>
          </w:p>
        </w:tc>
        <w:tc>
          <w:tcPr>
            <w:tcW w:w="1470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0.0446</w:t>
            </w:r>
          </w:p>
        </w:tc>
        <w:tc>
          <w:tcPr>
            <w:tcW w:w="1475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0.0093</w:t>
            </w:r>
          </w:p>
        </w:tc>
        <w:tc>
          <w:tcPr>
            <w:tcW w:w="1475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0.8148</w:t>
            </w:r>
          </w:p>
        </w:tc>
      </w:tr>
      <w:tr>
        <w:tc>
          <w:tcPr>
            <w:tcW w:w="1272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4"/>
              </w:rPr>
              <w:t xml:space="preserve">ImageNet–R</w:t>
            </w:r>
          </w:p>
        </w:tc>
        <w:tc>
          <w:tcPr>
            <w:tcW w:w="1339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480</w:t>
            </w:r>
          </w:p>
        </w:tc>
        <w:tc>
          <w:tcPr>
            <w:tcW w:w="1462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0.0150</w:t>
            </w:r>
          </w:p>
        </w:tc>
        <w:tc>
          <w:tcPr>
            <w:tcW w:w="1467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0.0064</w:t>
            </w:r>
          </w:p>
        </w:tc>
        <w:tc>
          <w:tcPr>
            <w:tcW w:w="1470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0.0325</w:t>
            </w:r>
          </w:p>
        </w:tc>
        <w:tc>
          <w:tcPr>
            <w:tcW w:w="1475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0.0000</w:t>
            </w:r>
          </w:p>
        </w:tc>
        <w:tc>
          <w:tcPr>
            <w:tcW w:w="1475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0.4042</w:t>
            </w:r>
          </w:p>
        </w:tc>
      </w:tr>
      <w:tr>
        <w:tc>
          <w:tcPr>
            <w:tcW w:w="1272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4"/>
              </w:rPr>
              <w:t xml:space="preserve">CIFAR–10–C TENT</w:t>
            </w:r>
          </w:p>
        </w:tc>
        <w:tc>
          <w:tcPr>
            <w:tcW w:w="1339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2160</w:t>
            </w:r>
          </w:p>
        </w:tc>
        <w:tc>
          <w:tcPr>
            <w:tcW w:w="1462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0.0016</w:t>
            </w:r>
          </w:p>
        </w:tc>
        <w:tc>
          <w:tcPr>
            <w:tcW w:w="1467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0.0080</w:t>
            </w:r>
          </w:p>
        </w:tc>
        <w:tc>
          <w:tcPr>
            <w:tcW w:w="1470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0.1239</w:t>
            </w:r>
          </w:p>
        </w:tc>
        <w:tc>
          <w:tcPr>
            <w:tcW w:w="1475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0.0000</w:t>
            </w:r>
          </w:p>
        </w:tc>
        <w:tc>
          <w:tcPr>
            <w:tcW w:w="1475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0.6787</w:t>
            </w:r>
          </w:p>
        </w:tc>
      </w:tr>
      <w:tr>
        <w:tc>
          <w:tcPr>
            <w:tcW w:w="1272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4"/>
              </w:rPr>
              <w:t xml:space="preserve">CIFAR–10–C EATA</w:t>
            </w:r>
          </w:p>
        </w:tc>
        <w:tc>
          <w:tcPr>
            <w:tcW w:w="1339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2160</w:t>
            </w:r>
          </w:p>
        </w:tc>
        <w:tc>
          <w:tcPr>
            <w:tcW w:w="1462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0.0013</w:t>
            </w:r>
          </w:p>
        </w:tc>
        <w:tc>
          <w:tcPr>
            <w:tcW w:w="1467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0.0033</w:t>
            </w:r>
          </w:p>
        </w:tc>
        <w:tc>
          <w:tcPr>
            <w:tcW w:w="1470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0.1313</w:t>
            </w:r>
          </w:p>
        </w:tc>
        <w:tc>
          <w:tcPr>
            <w:tcW w:w="1475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0.0000</w:t>
            </w:r>
          </w:p>
        </w:tc>
        <w:tc>
          <w:tcPr>
            <w:tcW w:w="1475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0.6356</w:t>
            </w:r>
          </w:p>
        </w:tc>
      </w:tr>
      <w:tr>
        <w:tc>
          <w:tcPr>
            <w:tcW w:w="1272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4"/>
              </w:rPr>
              <w:t xml:space="preserve">CIFAR–10–C SAR</w:t>
            </w:r>
          </w:p>
        </w:tc>
        <w:tc>
          <w:tcPr>
            <w:tcW w:w="1339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2160</w:t>
            </w:r>
          </w:p>
        </w:tc>
        <w:tc>
          <w:tcPr>
            <w:tcW w:w="1462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0.0016</w:t>
            </w:r>
          </w:p>
        </w:tc>
        <w:tc>
          <w:tcPr>
            <w:tcW w:w="1467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0.0003</w:t>
            </w:r>
          </w:p>
        </w:tc>
        <w:tc>
          <w:tcPr>
            <w:tcW w:w="1470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0.1405</w:t>
            </w:r>
          </w:p>
        </w:tc>
        <w:tc>
          <w:tcPr>
            <w:tcW w:w="1475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0.0000</w:t>
            </w:r>
          </w:p>
        </w:tc>
        <w:tc>
          <w:tcPr>
            <w:tcW w:w="1475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0.6694</w:t>
            </w:r>
          </w:p>
        </w:tc>
      </w:tr>
      <w:tr>
        <w:tc>
          <w:tcPr>
            <w:tcW w:w="1272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4"/>
              </w:rPr>
              <w:t xml:space="preserve">Camelyon17 OOD</w:t>
            </w:r>
          </w:p>
        </w:tc>
        <w:tc>
          <w:tcPr>
            <w:tcW w:w="1339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18</w:t>
            </w:r>
          </w:p>
        </w:tc>
        <w:tc>
          <w:tcPr>
            <w:tcW w:w="1462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0.0000</w:t>
            </w:r>
          </w:p>
        </w:tc>
        <w:tc>
          <w:tcPr>
            <w:tcW w:w="1467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0.0000</w:t>
            </w:r>
          </w:p>
        </w:tc>
        <w:tc>
          <w:tcPr>
            <w:tcW w:w="1470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0.1381</w:t>
            </w:r>
          </w:p>
        </w:tc>
        <w:tc>
          <w:tcPr>
            <w:tcW w:w="1475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0.0000</w:t>
            </w:r>
          </w:p>
        </w:tc>
        <w:tc>
          <w:tcPr>
            <w:tcW w:w="1475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1.0000</w:t>
            </w:r>
          </w:p>
        </w:tc>
      </w:tr>
      <w:tr>
        <w:tc>
          <w:tcPr>
            <w:tcW w:w="1272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4"/>
              </w:rPr>
              <w:t xml:space="preserve">Camelyon17 B–v2 TENT</w:t>
            </w:r>
          </w:p>
        </w:tc>
        <w:tc>
          <w:tcPr>
            <w:tcW w:w="1339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108</w:t>
            </w:r>
          </w:p>
        </w:tc>
        <w:tc>
          <w:tcPr>
            <w:tcW w:w="1462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0.0296</w:t>
            </w:r>
          </w:p>
        </w:tc>
        <w:tc>
          <w:tcPr>
            <w:tcW w:w="1467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0.0097</w:t>
            </w:r>
          </w:p>
        </w:tc>
        <w:tc>
          <w:tcPr>
            <w:tcW w:w="1470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0.0820</w:t>
            </w:r>
          </w:p>
        </w:tc>
        <w:tc>
          <w:tcPr>
            <w:tcW w:w="1475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0.0093</w:t>
            </w:r>
          </w:p>
        </w:tc>
        <w:tc>
          <w:tcPr>
            <w:tcW w:w="1475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0.3704</w:t>
            </w:r>
          </w:p>
        </w:tc>
      </w:tr>
      <w:tr>
        <w:tc>
          <w:tcPr>
            <w:tcW w:w="1272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4"/>
              </w:rPr>
              <w:t xml:space="preserve">Camelyon17 B–v2 EATA</w:t>
            </w:r>
          </w:p>
        </w:tc>
        <w:tc>
          <w:tcPr>
            <w:tcW w:w="1339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108</w:t>
            </w:r>
          </w:p>
        </w:tc>
        <w:tc>
          <w:tcPr>
            <w:tcW w:w="1462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0.0083</w:t>
            </w:r>
          </w:p>
        </w:tc>
        <w:tc>
          <w:tcPr>
            <w:tcW w:w="1467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0.0040</w:t>
            </w:r>
          </w:p>
        </w:tc>
        <w:tc>
          <w:tcPr>
            <w:tcW w:w="1470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0.0911</w:t>
            </w:r>
          </w:p>
        </w:tc>
        <w:tc>
          <w:tcPr>
            <w:tcW w:w="1475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0.0000</w:t>
            </w:r>
          </w:p>
        </w:tc>
        <w:tc>
          <w:tcPr>
            <w:tcW w:w="1475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0.5648</w:t>
            </w:r>
          </w:p>
        </w:tc>
      </w:tr>
      <w:tr>
        <w:tc>
          <w:tcPr>
            <w:tcW w:w="1272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4"/>
              </w:rPr>
              <w:t xml:space="preserve">Camelyon17 B–v2 SAR</w:t>
            </w:r>
          </w:p>
        </w:tc>
        <w:tc>
          <w:tcPr>
            <w:tcW w:w="1339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108</w:t>
            </w:r>
          </w:p>
        </w:tc>
        <w:tc>
          <w:tcPr>
            <w:tcW w:w="1462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0.0006</w:t>
            </w:r>
          </w:p>
        </w:tc>
        <w:tc>
          <w:tcPr>
            <w:tcW w:w="1467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0.0016</w:t>
            </w:r>
          </w:p>
        </w:tc>
        <w:tc>
          <w:tcPr>
            <w:tcW w:w="1470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0.1001</w:t>
            </w:r>
          </w:p>
        </w:tc>
        <w:tc>
          <w:tcPr>
            <w:tcW w:w="1475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0.0000</w:t>
            </w:r>
          </w:p>
        </w:tc>
        <w:tc>
          <w:tcPr>
            <w:tcW w:w="1475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0.6574</w:t>
            </w:r>
          </w:p>
        </w:tc>
      </w:tr>
      <w:tr>
        <w:tc>
          <w:tcPr>
            <w:tcW w:w="1272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4"/>
              </w:rPr>
              <w:t xml:space="preserve">RxRx1 J</w:t>
            </w:r>
          </w:p>
        </w:tc>
        <w:tc>
          <w:tcPr>
            <w:tcW w:w="1339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60</w:t>
            </w:r>
          </w:p>
        </w:tc>
        <w:tc>
          <w:tcPr>
            <w:tcW w:w="1462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0.0000</w:t>
            </w:r>
          </w:p>
        </w:tc>
        <w:tc>
          <w:tcPr>
            <w:tcW w:w="1467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0.2531</w:t>
            </w:r>
          </w:p>
        </w:tc>
        <w:tc>
          <w:tcPr>
            <w:tcW w:w="1470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0.0000</w:t>
            </w:r>
          </w:p>
        </w:tc>
        <w:tc>
          <w:tcPr>
            <w:tcW w:w="1475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0.0000</w:t>
            </w:r>
          </w:p>
        </w:tc>
        <w:tc>
          <w:tcPr>
            <w:tcW w:w="1475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1.0000</w:t>
            </w:r>
          </w:p>
        </w:tc>
      </w:tr>
      <w:tr>
        <w:tc>
          <w:tcPr>
            <w:tcW w:w="1272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4"/>
              </w:rPr>
              <w:t xml:space="preserve">CIFAR–10.1 K</w:t>
            </w:r>
          </w:p>
        </w:tc>
        <w:tc>
          <w:tcPr>
            <w:tcW w:w="1339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48</w:t>
            </w:r>
          </w:p>
        </w:tc>
        <w:tc>
          <w:tcPr>
            <w:tcW w:w="1462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0.0017</w:t>
            </w:r>
          </w:p>
        </w:tc>
        <w:tc>
          <w:tcPr>
            <w:tcW w:w="1467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0.0190</w:t>
            </w:r>
          </w:p>
        </w:tc>
        <w:tc>
          <w:tcPr>
            <w:tcW w:w="1470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0.0017</w:t>
            </w:r>
          </w:p>
        </w:tc>
        <w:tc>
          <w:tcPr>
            <w:tcW w:w="1475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0.0000</w:t>
            </w:r>
          </w:p>
        </w:tc>
        <w:tc>
          <w:tcPr>
            <w:tcW w:w="1475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0.4583</w:t>
            </w:r>
          </w:p>
        </w:tc>
      </w:tr>
    </w:tbl>
    <w:bookmarkStart w:id="69" w:name="controlled-mixed-regime-cifar-10-c"/>
    <w:p>
      <w:pPr>
        <w:pStyle w:val="Heading2"/>
        <w:widowControl/>
      </w:pPr>
      <w:r>
        <w:t xml:space="preserve">Controlled Mixed Regime: CIFAR-10-C</w:t>
      </w:r>
    </w:p>
    <w:bookmarkStart w:id="67" w:name="X9891432953ac6e4ad8f4ace63374e7a84353d32"/>
    <w:p>
      <w:pPr>
        <w:pStyle w:val="Heading3"/>
        <w:widowControl/>
      </w:pPr>
      <w:r>
        <w:t xml:space="preserve">Candidate-Specific Results: Tent, EATA, and SAR</w:t>
      </w:r>
    </w:p>
    <w:p>
      <w:pPr>
        <w:pStyle w:val="FirstParagraph"/>
        <w:widowControl/>
      </w:pPr>
      <w:r>
        <w:t xml:space="preserve">The controlled stress grid is the clearest demonstration of routing value. For Tent, KGA regret is</w:t>
      </w:r>
      <w:r>
        <w:t xml:space="preserve"> </w:t>
      </w:r>
      <m:oMath>
        <m:r>
          <m:t>0.0016</m:t>
        </m:r>
      </m:oMath>
      <w:r>
        <w:t xml:space="preserve">, compared with</w:t>
      </w:r>
      <w:r>
        <w:t xml:space="preserve"> </w:t>
      </w:r>
      <m:oMath>
        <m:r>
          <m:t>0.0080</m:t>
        </m:r>
      </m:oMath>
      <w:r>
        <w:t xml:space="preserve"> </w:t>
      </w:r>
      <w:r>
        <w:t xml:space="preserve">for always-adapt and</w:t>
      </w:r>
      <w:r>
        <w:t xml:space="preserve"> </w:t>
      </w:r>
      <m:oMath>
        <m:r>
          <m:t>0.1239</m:t>
        </m:r>
      </m:oMath>
      <w:r>
        <w:t xml:space="preserve"> </w:t>
      </w:r>
      <w:r>
        <w:t xml:space="preserve">for always-freeze. For EATA the corresponding values are</w:t>
      </w:r>
      <w:r>
        <w:t xml:space="preserve"> </w:t>
      </w:r>
      <m:oMath>
        <m:r>
          <m:t>0.0013</m:t>
        </m:r>
      </m:oMath>
      <w:r>
        <w:t xml:space="preserve">,</w:t>
      </w:r>
      <w:r>
        <w:t xml:space="preserve"> </w:t>
      </w:r>
      <m:oMath>
        <m:r>
          <m:t>0.0033</m:t>
        </m:r>
      </m:oMath>
      <w:r>
        <w:t xml:space="preserve">, and</w:t>
      </w:r>
      <w:r>
        <w:t xml:space="preserve"> </w:t>
      </w:r>
      <m:oMath>
        <m:r>
          <m:t>0.1313</m:t>
        </m:r>
      </m:oMath>
      <w:r>
        <w:t xml:space="preserve">. Both beat the fixed policies by point</w:t>
      </w:r>
      <w:r>
        <w:t xml:space="preserve"> </w:t>
      </w:r>
      <w:r>
        <w:t xml:space="preserve">estimate and have zero observed</w:t>
      </w:r>
      <w: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u</m:t>
            </m:r>
          </m:sub>
        </m:sSub>
      </m:oMath>
      <w:r>
        <w:t xml:space="preserve"> </w:t>
      </w:r>
      <w:r>
        <w:t xml:space="preserve">in the canonical table. Reconciliation</w:t>
      </w:r>
      <w:r>
        <w:t xml:space="preserve"> </w:t>
      </w:r>
      <w:r>
        <w:t xml:space="preserve">from manifest 391983f4fa09d65c256ab8c620fea772866b652c219dad0c36574ce38c740482 gives Tent actions 1,107/359/694 and EATA actions</w:t>
      </w:r>
      <w:r>
        <w:t xml:space="preserve"> </w:t>
      </w:r>
      <w:r>
        <w:t xml:space="preserve">1,241/132/787 for adapt/freeze/abstain. The older 1,113/1,244 adapt counts are not canonical.</w:t>
      </w:r>
      <w:r>
        <w:t xml:space="preserve"> </w:t>
      </w:r>
      <w:r>
        <w:t xml:space="preserve">The current-policy retrospective analysis averages run seeds and condition cells within each of six</w:t>
      </w:r>
      <w:r>
        <w:t xml:space="preserve"> </w:t>
      </w:r>
      <w:r>
        <w:t xml:space="preserve">corruption families. With baseline regret minus KGA regret, Tent has gaps</w:t>
      </w:r>
      <w:r>
        <w:t xml:space="preserve"> </w:t>
      </w:r>
      <m:oMath>
        <m:r>
          <m:t>0.00633</m:t>
        </m:r>
      </m:oMath>
      <w:r>
        <w:t xml:space="preserve"> </w:t>
      </w:r>
      <m:oMath>
        <m:r>
          <m:rPr>
            <m:sty m:val="p"/>
          </m:rPr>
          <m:t>[</m:t>
        </m:r>
        <m:r>
          <m:t>0.00254</m:t>
        </m:r>
        <m:r>
          <m:rPr>
            <m:sty m:val="p"/>
          </m:rPr>
          <m:t>,</m:t>
        </m:r>
        <m:r>
          <m:t>0.00954</m:t>
        </m:r>
        <m:r>
          <m:rPr>
            <m:sty m:val="p"/>
          </m:rPr>
          <m:t>]</m:t>
        </m:r>
      </m:oMath>
      <w:r>
        <w:t xml:space="preserve"> </w:t>
      </w:r>
      <w:r>
        <w:t xml:space="preserve">against always-adapt and</w:t>
      </w:r>
      <w:r>
        <w:t xml:space="preserve"> </w:t>
      </w:r>
      <m:oMath>
        <m:r>
          <m:t>0.12229</m:t>
        </m:r>
      </m:oMath>
      <w:r>
        <w:t xml:space="preserve"> </w:t>
      </w:r>
      <m:oMath>
        <m:r>
          <m:rPr>
            <m:sty m:val="p"/>
          </m:rPr>
          <m:t>[</m:t>
        </m:r>
        <m:r>
          <m:t>0.06331</m:t>
        </m:r>
        <m:r>
          <m:rPr>
            <m:sty m:val="p"/>
          </m:rPr>
          <m:t>,</m:t>
        </m:r>
        <m:r>
          <m:t>0.17772</m:t>
        </m:r>
        <m:r>
          <m:rPr>
            <m:sty m:val="p"/>
          </m:rPr>
          <m:t>]</m:t>
        </m:r>
      </m:oMath>
      <w:r>
        <w:t xml:space="preserve"> </w:t>
      </w:r>
      <w:r>
        <w:t xml:space="preserve">against always-freeze;</w:t>
      </w:r>
      <w:r>
        <w:t xml:space="preserve"> </w:t>
      </w:r>
      <w:r>
        <w:t xml:space="preserve">these are ordinary, unadjusted 95% family-bootstrap intervals. The exact one-sided sign-flip</w:t>
      </w:r>
      <w:r>
        <w:t xml:space="preserve"> </w:t>
      </w:r>
      <m:oMath>
        <m:r>
          <m:t>p</m:t>
        </m:r>
      </m:oMath>
      <w:r>
        <w:t xml:space="preserve">-values are</w:t>
      </w:r>
      <w:r>
        <w:t xml:space="preserve"> </w:t>
      </w:r>
      <m:oMath>
        <m:r>
          <m:t>0.03125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0.015625</m:t>
        </m:r>
      </m:oMath>
      <w:r>
        <w:t xml:space="preserve">. Adjusting only these two Tent contrasts gives</w:t>
      </w:r>
      <w:r>
        <w:t xml:space="preserve"> </w:t>
      </w:r>
      <m:oMath>
        <m:r>
          <m:t>0.03125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each, but that within-candidate family is post hoc. The preregistered family contains all six</w:t>
      </w:r>
      <w:r>
        <w:t xml:space="preserve"> </w:t>
      </w:r>
      <w:r>
        <w:t xml:space="preserve">candidate-by-baseline contrasts; its Holm-adjusted Tent values are</w:t>
      </w:r>
      <w:r>
        <w:t xml:space="preserve"> </w:t>
      </w:r>
      <m:oMath>
        <m:r>
          <m:t>0.09375</m:t>
        </m:r>
      </m:oMath>
      <w:r>
        <w:t xml:space="preserve"> </w:t>
      </w:r>
      <w:r>
        <w:t xml:space="preserve">for both comparisons</w:t>
      </w:r>
      <w:r>
        <w:t xml:space="preserve"> </w:t>
      </w:r>
      <w:r>
        <w:t xml:space="preserve">and fail at</w:t>
      </w:r>
      <w:r>
        <w:t xml:space="preserve"> </w:t>
      </w:r>
      <m:oMath>
        <m:r>
          <m:t>0.05</m:t>
        </m:r>
      </m:oMath>
      <w:r>
        <w:t xml:space="preserve">. EATA’s adapt-side family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0.00052</m:t>
        </m:r>
        <m:r>
          <m:rPr>
            <m:sty m:val="p"/>
          </m:rPr>
          <m:t>,</m:t>
        </m:r>
        <m:r>
          <m:t>0.00438</m:t>
        </m:r>
        <m:r>
          <m:rPr>
            <m:sty m:val="p"/>
          </m:rPr>
          <m:t>]</m:t>
        </m:r>
      </m:oMath>
      <w:r>
        <w:t xml:space="preserve"> </w:t>
      </w:r>
      <w:r>
        <w:t xml:space="preserve">also crosses zero, and SAR</w:t>
      </w:r>
      <w:r>
        <w:t xml:space="preserve"> </w:t>
      </w:r>
      <w:r>
        <w:t xml:space="preserve">loses to always-adapt. We therefore retain Tent and EATA as exact-rank point results and describe the</w:t>
      </w:r>
      <w:r>
        <w:t xml:space="preserve"> </w:t>
      </w:r>
      <w:r>
        <w:t xml:space="preserve">Tent family analysis only as retrospective sensitivity, not a cluster-robust, confirmatory, or</w:t>
      </w:r>
      <w:r>
        <w:t xml:space="preserve"> </w:t>
      </w:r>
      <w:r>
        <w:t xml:space="preserve">independent-checkpoint win. This mixed setting is where routing can help: adaptation is useful in</w:t>
      </w:r>
      <w:r>
        <w:t xml:space="preserve"> </w:t>
      </w:r>
      <w:r>
        <w:t xml:space="preserve">some cells, harmful in others, and the label-free evidence supports different actions.</w:t>
      </w:r>
    </w:p>
    <w:p>
      <w:pPr>
        <w:pStyle w:val="TableCaption"/>
        <w:widowControl/>
      </w:pPr>
      <w:r>
        <w:t xml:space="preserve">Table 5. Retrospective current-policy sensitivity over six observed CIFAR-10-C corruption families.</w:t>
      </w:r>
      <w:r>
        <w:t xml:space="preserve"> </w:t>
      </w:r>
      <w:r>
        <w:t xml:space="preserve">Each cell reports baseline regret minus KGA regret and an ordinary, unadjusted family-bootstrap 95%</w:t>
      </w:r>
      <w:r>
        <w:t xml:space="preserve"> </w:t>
      </w:r>
      <w:r>
        <w:t xml:space="preserve">interval; positive values favor KGA. Holm</w:t>
      </w:r>
      <w:r>
        <w:t xml:space="preserve"> </w:t>
      </w:r>
      <m:oMath>
        <m:r>
          <m:t>p</m:t>
        </m:r>
      </m:oMath>
      <w:r>
        <w:t xml:space="preserve">-values use the preregistered six</w:t>
      </w:r>
      <w:r>
        <w:t xml:space="preserve"> </w:t>
      </w:r>
      <w:r>
        <w:t xml:space="preserve">candidate-by-baseline sign-flip family. The within-Tent two-contrast Holm value is</w:t>
      </w:r>
      <w:r>
        <w:t xml:space="preserve"> </w:t>
      </w:r>
      <m:oMath>
        <m:r>
          <m:t>0.03125</m:t>
        </m:r>
      </m:oMath>
      <w:r>
        <w:t xml:space="preserve"> </w:t>
      </w:r>
      <w:r>
        <w:t xml:space="preserve">but is</w:t>
      </w:r>
      <w:r>
        <w:t xml:space="preserve"> </w:t>
      </w:r>
      <w:r>
        <w:t xml:space="preserve">post hoc. This table is conditional on one archived checkpoint and does not provide simultaneous</w:t>
      </w:r>
      <w:r>
        <w:t xml:space="preserve"> </w:t>
      </w:r>
      <w:r>
        <w:t xml:space="preserve">intervals, independent-checkpoint inference, prospective confirmation, natural-shift evidence, or</w:t>
      </w:r>
      <w:r>
        <w:t xml:space="preserve"> </w:t>
      </w:r>
      <w:r>
        <w:t xml:space="preserve">official POEM/AETTA superiority.</w:t>
      </w:r>
    </w:p>
    <w:tbl>
      <w:tblPr>
        <w:tblStyle w:val="Table"/>
        <w:tblW w:type="dxa" w:w="9960"/>
        <w:jc w:val="left"/>
        <w:tblLayout w:type="fixed"/>
        <w:tblLook w:firstRow="1" w:lastRow="0" w:firstColumn="0" w:lastColumn="0" w:noHBand="0" w:noVBand="0" w:val="0020"/>
        <w:tblCaption w:val="Table 5. Retrospective current-policy sensitivity over six observed CIFAR-10-C corruption families. Each cell reports baseline regret minus KGA regret and an ordinary, unadjusted family-bootstrap 95% interval; positive values favor KGA. Holm p-values use the preregistered six candidate-by-baseline sign-flip family. The within-Tent two-contrast Holm value is 0.03125 but is post hoc. This table is conditional on one archived checkpoint and does not provide simultaneous intervals, independent-checkpoint inference, prospective confirmation, natural-shift evidence, or official POEM/AETTA superiority."/>
        <w:tblInd w:w="120" w:type="dxa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923"/>
        <w:gridCol w:w="3495"/>
        <w:gridCol w:w="3284"/>
        <w:gridCol w:w="2258"/>
      </w:tblGrid>
      <w:tr>
        <w:trPr>
          <w:tblHeader w:val="on"/>
          <w:tblHeader w:val="true"/>
        </w:trPr>
        <w:tc>
          <w:tcPr>
            <w:tcW w:w="923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E8EEF5"/>
          </w:tcPr>
          <w:p>
            <w:pPr>
              <w:pStyle w:val="Compact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t xml:space="preserve">Candidate</w:t>
            </w:r>
          </w:p>
        </w:tc>
        <w:tc>
          <w:tcPr>
            <w:tcW w:w="3495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E8EEF5"/>
          </w:tcPr>
          <w:p>
            <w:pPr>
              <w:pStyle w:val="Compact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t xml:space="preserve">Adapt gap [95% CI]</w:t>
            </w:r>
          </w:p>
        </w:tc>
        <w:tc>
          <w:tcPr>
            <w:tcW w:w="328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E8EEF5"/>
          </w:tcPr>
          <w:p>
            <w:pPr>
              <w:pStyle w:val="Compact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t xml:space="preserve">Freeze gap [95% CI]</w:t>
            </w:r>
          </w:p>
        </w:tc>
        <w:tc>
          <w:tcPr>
            <w:tcW w:w="2258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E8EEF5"/>
          </w:tcPr>
          <w:p>
            <w:pPr>
              <w:pStyle w:val="Compact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t xml:space="preserve">Six-way Holm</w:t>
            </w:r>
            <w:r>
              <w:rPr>
                <w:rFonts w:ascii="Times New Roman" w:hAnsi="Times New Roman"/>
                <w:b/>
                <w:sz w:val="16"/>
              </w:rPr>
              <w:t xml:space="preserve"> </w:t>
            </w:r>
            <m:oMath>
              <m:r>
                <m:t>p</m:t>
              </m:r>
            </m:oMath>
            <w:r>
              <w:rPr>
                <w:rFonts w:ascii="Times New Roman" w:hAnsi="Times New Roman"/>
                <w:b/>
                <w:sz w:val="16"/>
              </w:rPr>
              <w:t xml:space="preserve"> </w:t>
            </w:r>
            <w:r>
              <w:rPr>
                <w:rFonts w:ascii="Times New Roman" w:hAnsi="Times New Roman"/>
                <w:b/>
                <w:sz w:val="16"/>
              </w:rPr>
              <w:t xml:space="preserve">(A/F)</w:t>
            </w:r>
          </w:p>
        </w:tc>
      </w:tr>
      <w:tr>
        <w:tc>
          <w:tcPr>
            <w:tcW w:w="923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keepNext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Tent</w:t>
            </w:r>
          </w:p>
        </w:tc>
        <w:tc>
          <w:tcPr>
            <w:tcW w:w="3495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keepNext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0.00633 [0.00254, 0.00954]</w:t>
            </w:r>
          </w:p>
        </w:tc>
        <w:tc>
          <w:tcPr>
            <w:tcW w:w="328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keepNext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0.12229 [0.06331, 0.17772]</w:t>
            </w:r>
          </w:p>
        </w:tc>
        <w:tc>
          <w:tcPr>
            <w:tcW w:w="2258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0.09375/0.09375</w:t>
            </w:r>
          </w:p>
        </w:tc>
      </w:tr>
      <w:tr>
        <w:tc>
          <w:tcPr>
            <w:tcW w:w="923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keepNext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EATA</w:t>
            </w:r>
          </w:p>
        </w:tc>
        <w:tc>
          <w:tcPr>
            <w:tcW w:w="3495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keepNext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0.00195 [-0.00052, 0.00438]</w:t>
            </w:r>
          </w:p>
        </w:tc>
        <w:tc>
          <w:tcPr>
            <w:tcW w:w="328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keepNext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0.13001 [0.06977, 0.18754]</w:t>
            </w:r>
          </w:p>
        </w:tc>
        <w:tc>
          <w:tcPr>
            <w:tcW w:w="2258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0.25000/0.09375</w:t>
            </w:r>
          </w:p>
        </w:tc>
      </w:tr>
      <w:tr>
        <w:tc>
          <w:tcPr>
            <w:tcW w:w="923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SAR</w:t>
            </w:r>
          </w:p>
        </w:tc>
        <w:tc>
          <w:tcPr>
            <w:tcW w:w="3495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-0.00122 [-0.00267, -0.00007]</w:t>
            </w:r>
          </w:p>
        </w:tc>
        <w:tc>
          <w:tcPr>
            <w:tcW w:w="328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0.13891 [0.08031, 0.19686]</w:t>
            </w:r>
          </w:p>
        </w:tc>
        <w:tc>
          <w:tcPr>
            <w:tcW w:w="2258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0.90625/0.09375</w:t>
            </w:r>
          </w:p>
        </w:tc>
      </w:tr>
    </w:tbl>
    <w:p>
      <w:pPr>
        <w:pStyle w:val="BodyText"/>
        <w:widowControl/>
      </w:pPr>
      <w:r>
        <w:t xml:space="preserve">The SAR row is an equally important negative control. Its KGA regret is</w:t>
      </w:r>
      <w:r>
        <w:t xml:space="preserve"> </w:t>
      </w:r>
      <m:oMath>
        <m:r>
          <m:t>0.0016</m:t>
        </m:r>
      </m:oMath>
      <w:r>
        <w:t xml:space="preserve"> </w:t>
      </w:r>
      <w:r>
        <w:t xml:space="preserve">while always-adapt</w:t>
      </w:r>
      <w:r>
        <w:t xml:space="preserve"> </w:t>
      </w:r>
      <w:r>
        <w:t xml:space="preserve">is</w:t>
      </w:r>
      <w:r>
        <w:t xml:space="preserve"> </w:t>
      </w:r>
      <m:oMath>
        <m:r>
          <m:t>0.0003</m:t>
        </m:r>
      </m:oMath>
      <w:r>
        <w:t xml:space="preserve">; the certificate avoids the much worse always-freeze policy but does not beat the best</w:t>
      </w:r>
      <w:r>
        <w:t xml:space="preserve"> </w:t>
      </w:r>
      <w:r>
        <w:t xml:space="preserve">fixed policy. The three candidate rows cannot be pooled into a claim that KGA always beats both.</w:t>
      </w:r>
      <w:r>
        <w:t xml:space="preserve"> </w:t>
      </w:r>
      <w:r>
        <w:t xml:space="preserve">They show that routing utility depends on the adapter-induced benefit distribution and on how well</w:t>
      </w:r>
      <w:r>
        <w:t xml:space="preserve"> </w:t>
      </w:r>
      <w:r>
        <w:t xml:space="preserve">the evidence predicts it.</w:t>
      </w:r>
    </w:p>
    <w:bookmarkEnd w:id="67"/>
    <w:bookmarkStart w:id="68" w:name="Xc848bdbbb2d1da2c0c8413c417a3f3610563103"/>
    <w:p>
      <w:pPr>
        <w:pStyle w:val="Heading3"/>
        <w:widowControl/>
      </w:pPr>
      <w:r>
        <w:t xml:space="preserve">Protocol-Matched POEM and AETTA Comparison</w:t>
      </w:r>
    </w:p>
    <w:p>
      <w:pPr>
        <w:pStyle w:val="FirstParagraph"/>
        <w:widowControl/>
      </w:pPr>
      <w:r>
        <w:t xml:space="preserve">The archived head-to-head on the same locked CIFAR-10-C stress stream reports KGA regret to oracle</w:t>
      </w:r>
      <w:r>
        <w:t xml:space="preserve"> </w:t>
      </w:r>
      <w:r>
        <w:t xml:space="preserve">of</w:t>
      </w:r>
      <w:r>
        <w:t xml:space="preserve"> </w:t>
      </w:r>
      <m:oMath>
        <m:r>
          <m:t>0.0016</m:t>
        </m:r>
      </m:oMath>
      <w:r>
        <w:t xml:space="preserve">, below the POEM-style result (</w:t>
      </w:r>
      <m:oMath>
        <m:r>
          <m:t>0.0088</m:t>
        </m:r>
      </m:oMath>
      <w:r>
        <w:t xml:space="preserve">) and the AETTA-style result (</w:t>
      </w:r>
      <m:oMath>
        <m:r>
          <m:t>0.0073</m:t>
        </m:r>
      </m:oMath>
      <w:r>
        <w:t xml:space="preserve">). Using the</w:t>
      </w:r>
      <w:r>
        <w:t xml:space="preserve"> </w:t>
      </w:r>
      <w:r>
        <w:t xml:space="preserve">paper’s baseline-minus-KGA convention, its ordinary paired-bootstrap 95% intervals are</w:t>
      </w:r>
      <w:r>
        <w:t xml:space="preserve"> </w:t>
      </w:r>
      <m:oMath>
        <m:r>
          <m:rPr>
            <m:sty m:val="p"/>
          </m:rPr>
          <m:t>[</m:t>
        </m:r>
        <m:r>
          <m:t>0.0057</m:t>
        </m:r>
        <m:r>
          <m:rPr>
            <m:sty m:val="p"/>
          </m:rPr>
          <m:t>,</m:t>
        </m:r>
        <m:r>
          <m:t>0.0088</m:t>
        </m:r>
        <m:r>
          <m:rPr>
            <m:sty m:val="p"/>
          </m:rPr>
          <m:t>]</m:t>
        </m:r>
      </m:oMath>
      <w:r>
        <w:t xml:space="preserve"> </w:t>
      </w:r>
      <w:r>
        <w:t xml:space="preserve">for POEM and</w:t>
      </w:r>
      <w:r>
        <w:t xml:space="preserve"> </w:t>
      </w:r>
      <m:oMath>
        <m:r>
          <m:rPr>
            <m:sty m:val="p"/>
          </m:rPr>
          <m:t>[</m:t>
        </m:r>
        <m:r>
          <m:t>0.0044</m:t>
        </m:r>
        <m:r>
          <m:rPr>
            <m:sty m:val="p"/>
          </m:rPr>
          <m:t>,</m:t>
        </m:r>
        <m:r>
          <m:t>0.0071</m:t>
        </m:r>
        <m:r>
          <m:rPr>
            <m:sty m:val="p"/>
          </m:rPr>
          <m:t>]</m:t>
        </m:r>
      </m:oMath>
      <w:r>
        <w:t xml:space="preserve"> </w:t>
      </w:r>
      <w:r>
        <w:t xml:space="preserve">for AETTA; only the paired</w:t>
      </w:r>
      <w:r>
        <w:t xml:space="preserve"> </w:t>
      </w:r>
      <m:oMath>
        <m:r>
          <m:t>p</m:t>
        </m:r>
      </m:oMath>
      <w:r>
        <w:t xml:space="preserve">-values were</w:t>
      </w:r>
      <w:r>
        <w:t xml:space="preserve"> </w:t>
      </w:r>
      <w:r>
        <w:t xml:space="preserve">Holm-adjusted. The artifact used an earlier KGA action vector, so synchronization with the current</w:t>
      </w:r>
      <w:r>
        <w:t xml:space="preserve"> </w:t>
      </w:r>
      <w:r>
        <w:t xml:space="preserve">exact-rank policy is pending. These are historical protocol-matched ports, not a current-policy</w:t>
      </w:r>
      <w:r>
        <w:t xml:space="preserve"> </w:t>
      </w:r>
      <w:r>
        <w:t xml:space="preserve">comparison or a claim about untouched official implementations.</w:t>
      </w:r>
    </w:p>
    <w:p>
      <w:pPr>
        <w:pStyle w:val="BodyText"/>
        <w:widowControl/>
      </w:pPr>
      <w:r>
        <w:t xml:space="preserve">These controlled results use empirical calibration. Leaving one cell out prevents that cell from</w:t>
      </w:r>
      <w:r>
        <w:t xml:space="preserve"> </w:t>
      </w:r>
      <w:r>
        <w:t xml:space="preserve">directly fitting its own prediction or radius. It does not establish exact split-conformal coverage</w:t>
      </w:r>
      <w:r>
        <w:t xml:space="preserve"> </w:t>
      </w:r>
      <w:r>
        <w:t xml:space="preserve">when corruption cells are dependent. Thus zero observed false adaptations describes this protocol;</w:t>
      </w:r>
      <w:r>
        <w:t xml:space="preserve"> </w:t>
      </w:r>
      <w:r>
        <w:t xml:space="preserve">it does not guarantee the same result for every future corruption family.</w:t>
      </w:r>
    </w:p>
    <w:bookmarkEnd w:id="68"/>
    <w:bookmarkEnd w:id="69"/>
    <w:bookmarkStart w:id="70" w:name="large-scale-corruption-imagenet-c"/>
    <w:p>
      <w:pPr>
        <w:pStyle w:val="Heading2"/>
        <w:widowControl/>
      </w:pPr>
      <w:r>
        <w:t xml:space="preserve">Large-Scale Corruption: ImageNet-C</w:t>
      </w:r>
    </w:p>
    <w:p>
      <w:pPr>
        <w:pStyle w:val="FirstParagraph"/>
        <w:widowControl/>
      </w:pPr>
      <w:r>
        <w:t xml:space="preserve">ImageNet-C is candidate-dependent. SAR has KGA/adapt/freeze regrets</w:t>
      </w:r>
      <w:r>
        <w:t xml:space="preserve"> </w:t>
      </w:r>
      <m:oMath>
        <m:r>
          <m:t>0.0289</m:t>
        </m:r>
      </m:oMath>
      <w:r>
        <w:t xml:space="preserve">/</w:t>
      </w:r>
      <m:oMath>
        <m:r>
          <m:t>0.0529</m:t>
        </m:r>
      </m:oMath>
      <w:r>
        <w:t xml:space="preserve">/</w:t>
      </w:r>
      <m:oMath>
        <m:r>
          <m:t>0.0319</m:t>
        </m:r>
      </m:oMath>
      <w:r>
        <w:t xml:space="preserve">, a pooled point edge over both fixed policies, but with one false</w:t>
      </w:r>
      <w:r>
        <w:t xml:space="preserve"> </w:t>
      </w:r>
      <w:r>
        <w:t xml:space="preserve">adaptation among 135 cells and without a promoted seed-robust beats-both claim. Tent ties the</w:t>
      </w:r>
      <w:r>
        <w:t xml:space="preserve"> </w:t>
      </w:r>
      <w:r>
        <w:t xml:space="preserve">always-freeze point estimate and makes no strict decisions in the reconciled row. EATA nearly</w:t>
      </w:r>
      <w:r>
        <w:t xml:space="preserve"> </w:t>
      </w:r>
      <w:r>
        <w:t xml:space="preserve">tracks always-adapt but has a larger KGA regret (</w:t>
      </w:r>
      <m:oMath>
        <m:r>
          <m:t>0.0007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0.0001</m:t>
        </m:r>
      </m:oMath>
      <w:r>
        <w:t xml:space="preserve">). These results reject a</w:t>
      </w:r>
      <w:r>
        <w:t xml:space="preserve"> </w:t>
      </w:r>
      <w:r>
        <w:t xml:space="preserve">dataset-level label such as</w:t>
      </w:r>
      <w:r>
        <w:t xml:space="preserve"> </w:t>
      </w:r>
      <w:r>
        <w:t xml:space="preserve">“ImageNet-C win”</w:t>
      </w:r>
      <w:r>
        <w:t xml:space="preserve">: the correct unit is the candidate-specific policy.</w:t>
      </w:r>
      <w:r>
        <w:t xml:space="preserve"> </w:t>
      </w:r>
      <w:r>
        <w:t xml:space="preserve">This SAR result uses a learning rate</w:t>
      </w:r>
      <w:r>
        <w:t xml:space="preserve"> </w:t>
      </w:r>
      <m:oMath>
        <m:r>
          <m:t>16</m:t>
        </m:r>
        <m:r>
          <m:rPr>
            <m:sty m:val="p"/>
          </m:rPr>
          <m:t>×</m:t>
        </m:r>
      </m:oMath>
      <w:r>
        <w:t xml:space="preserve"> </w:t>
      </w:r>
      <w:r>
        <w:t xml:space="preserve">higher than SAR’s published setting</w:t>
      </w:r>
      <w:r>
        <w:t xml:space="preserve"> </w:t>
      </w:r>
      <w:r>
        <w:t xml:space="preserve">(</w:t>
      </w:r>
      <m:oMath>
        <m:r>
          <m:t>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versus</w:t>
      </w:r>
      <w:r>
        <w:t xml:space="preserve"> </w:t>
      </w:r>
      <m:oMath>
        <m:r>
          <m:t>2.5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), with the final ResNet stage left adaptable—an</w:t>
      </w:r>
      <w:r>
        <w:t xml:space="preserve"> </w:t>
      </w:r>
      <w:r>
        <w:t xml:space="preserve">aggressive configuration at which SAR is expected to be fragile. No control at SAR’s official</w:t>
      </w:r>
      <w:r>
        <w:t xml:space="preserve"> </w:t>
      </w:r>
      <w:r>
        <w:t xml:space="preserve">operating point has been run; this is a claim about this configuration, not about SAR as published.</w:t>
      </w:r>
    </w:p>
    <w:bookmarkEnd w:id="70"/>
    <w:bookmarkStart w:id="82" w:name="natural-and-semantic-shifts"/>
    <w:p>
      <w:pPr>
        <w:pStyle w:val="Heading2"/>
        <w:widowControl/>
      </w:pPr>
      <w:r>
        <w:t xml:space="preserve">Natural and Semantic Shifts</w:t>
      </w:r>
    </w:p>
    <w:bookmarkStart w:id="71" w:name="office-home"/>
    <w:p>
      <w:pPr>
        <w:pStyle w:val="Heading3"/>
        <w:widowControl/>
      </w:pPr>
      <w:r>
        <w:t xml:space="preserve">Office-Home</w:t>
      </w:r>
    </w:p>
    <w:p>
      <w:pPr>
        <w:pStyle w:val="FirstParagraph"/>
        <w:widowControl/>
      </w:pPr>
      <w:r>
        <w:t xml:space="preserve">The primary Office-Home row is conservative. KGA regret is</w:t>
      </w:r>
      <w:r>
        <w:t xml:space="preserve"> </w:t>
      </w:r>
      <m:oMath>
        <m:r>
          <m:t>0.0158</m:t>
        </m:r>
      </m:oMath>
      <w:r>
        <w:t xml:space="preserve">, tying always-freeze</w:t>
      </w:r>
      <w:r>
        <w:t xml:space="preserve"> </w:t>
      </w:r>
      <w:r>
        <w:t xml:space="preserve">(</w:t>
      </w:r>
      <m:oMath>
        <m:r>
          <m:t>0.0158</m:t>
        </m:r>
      </m:oMath>
      <w:r>
        <w:t xml:space="preserve">) and below always-adapt (</w:t>
      </w:r>
      <m:oMath>
        <m:r>
          <m:t>0.0468</m:t>
        </m:r>
      </m:oMath>
      <w:r>
        <w:t xml:space="preserve">), 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adapt decisions. This is a</w:t>
      </w:r>
      <w:r>
        <w:t xml:space="preserve"> </w:t>
      </w:r>
      <w:r>
        <w:t xml:space="preserve">descriptive point-estimate no-harm tie, not a routing win. The archived protocol does not supply a</w:t>
      </w:r>
      <w:r>
        <w:t xml:space="preserve"> </w:t>
      </w:r>
      <w:r>
        <w:t xml:space="preserve">predeclared uniform stability guarantee for the full-fit versus out-of-fold benefit predictor.</w:t>
      </w:r>
    </w:p>
    <w:p>
      <w:pPr>
        <w:pStyle w:val="BodyText"/>
        <w:widowControl/>
      </w:pPr>
      <w:r>
        <w:t xml:space="preserve">The 54-cell Office-Home stream-seed replication in Table 4 has KGA regret</w:t>
      </w:r>
      <w:r>
        <w:t xml:space="preserve"> </w:t>
      </w:r>
      <m:oMath>
        <m:r>
          <m:t>0.0215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0.0458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0.0217</m:t>
        </m:r>
      </m:oMath>
      <w:r>
        <w:t xml:space="preserve">, a small point edge over both fixed policies.</w:t>
      </w:r>
      <w:r>
        <w:t xml:space="preserve"> </w:t>
      </w:r>
      <w:r>
        <w:t xml:space="preserve">The three run seeds do not record independent checkpoint identities, and the seed-level interval</w:t>
      </w:r>
      <w:r>
        <w:t xml:space="preserve"> </w:t>
      </w:r>
      <w:r>
        <w:t xml:space="preserve">includes zero, so this is not a robust win.</w:t>
      </w:r>
    </w:p>
    <w:p>
      <w:pPr>
        <w:pStyle w:val="TableCaption"/>
        <w:widowControl/>
      </w:pPr>
      <w:r>
        <w:t xml:space="preserve">Table 6. Office-Home protocols are different experiments, not conflicting versions of one row.</w:t>
      </w:r>
      <w:r>
        <w:t xml:space="preserve"> </w:t>
      </w:r>
      <w:r>
        <w:t xml:space="preserve">Entries are accuracy regret to the per-condition oracle; lower is better. The first row is the</w:t>
      </w:r>
      <w:r>
        <w:t xml:space="preserve"> </w:t>
      </w:r>
      <w:r>
        <w:t xml:space="preserve">canonical single-candidate KGA replay with fixed SAR. The focused route is invalid, so only the</w:t>
      </w:r>
      <w:r>
        <w:t xml:space="preserve"> </w:t>
      </w:r>
      <w:r>
        <w:t xml:space="preserve">post-hoc fixed-SAR opportunity regret (</w:t>
      </w:r>
      <m:oMath>
        <m:r>
          <m:t>.0027</m:t>
        </m:r>
      </m:oMath>
      <w:r>
        <w:t xml:space="preserve">) and freeze regret (</w:t>
      </w:r>
      <m:oMath>
        <m:r>
          <m:t>.0230</m:t>
        </m:r>
      </m:oMath>
      <w:r>
        <w:t xml:space="preserve">) are retained; its actions</w:t>
      </w:r>
      <w:r>
        <w:t xml:space="preserve"> </w:t>
      </w:r>
      <w:r>
        <w:t xml:space="preserve">have no routing or certificate interpretation. A/F/U are adapt/freeze/abstain actions.</w:t>
      </w:r>
    </w:p>
    <w:tbl>
      <w:tblPr>
        <w:tblStyle w:val="Table"/>
        <w:tblW w:type="dxa" w:w="9960"/>
        <w:jc w:val="left"/>
        <w:tblLayout w:type="fixed"/>
        <w:tblLook w:firstRow="1" w:lastRow="0" w:firstColumn="0" w:lastColumn="0" w:noHBand="0" w:noVBand="0" w:val="0020"/>
        <w:tblCaption w:val="Table 6. Office-Home protocols are different experiments, not conflicting versions of one row. Entries are accuracy regret to the per-condition oracle; lower is better. The first row is the canonical single-candidate KGA replay with fixed SAR. The focused route is invalid, so only the post-hoc fixed-SAR opportunity regret (.0027) and freeze regret (.0230) are retained; its actions have no routing or certificate interpretation. A/F/U are adapt/freeze/abstain actions."/>
        <w:tblInd w:w="120" w:type="dxa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4083"/>
        <w:gridCol w:w="1124"/>
        <w:gridCol w:w="3628"/>
        <w:gridCol w:w="1125"/>
      </w:tblGrid>
      <w:tr>
        <w:trPr>
          <w:tblHeader w:val="on"/>
          <w:tblHeader w:val="true"/>
        </w:trPr>
        <w:tc>
          <w:tcPr>
            <w:tcW w:w="4083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E8EEF5"/>
          </w:tcPr>
          <w:p>
            <w:pPr>
              <w:pStyle w:val="Compact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t xml:space="preserve">Protocol</w:t>
            </w:r>
          </w:p>
        </w:tc>
        <w:tc>
          <w:tcPr>
            <w:tcW w:w="112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E8EEF5"/>
          </w:tcPr>
          <w:p>
            <w:pPr>
              <w:pStyle w:val="Compact"/>
              <w:keepNext/>
              <w:spacing w:before="0" w:after="0" w:line="240" w:lineRule="auto"/>
              <w:jc w:val="center"/>
            </w:pPr>
            <m:oMath>
              <m:r>
                <m:t>n</m:t>
              </m:r>
            </m:oMath>
          </w:p>
        </w:tc>
        <w:tc>
          <w:tcPr>
            <w:tcW w:w="3628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E8EEF5"/>
          </w:tcPr>
          <w:p>
            <w:pPr>
              <w:pStyle w:val="Compact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t xml:space="preserve">Router / Adapt / Freeze</w:t>
            </w:r>
          </w:p>
        </w:tc>
        <w:tc>
          <w:tcPr>
            <w:tcW w:w="1125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E8EEF5"/>
          </w:tcPr>
          <w:p>
            <w:pPr>
              <w:pStyle w:val="Compact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t xml:space="preserve">A/F/U</w:t>
            </w:r>
          </w:p>
        </w:tc>
      </w:tr>
      <w:tr>
        <w:tc>
          <w:tcPr>
            <w:tcW w:w="4083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keepNext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Archived stream-seed replay</w:t>
            </w:r>
          </w:p>
        </w:tc>
        <w:tc>
          <w:tcPr>
            <w:tcW w:w="112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54</w:t>
            </w:r>
          </w:p>
        </w:tc>
        <w:tc>
          <w:tcPr>
            <w:tcW w:w="3628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.0215 / .0458 / .0217</w:t>
            </w:r>
          </w:p>
        </w:tc>
        <w:tc>
          <w:tcPr>
            <w:tcW w:w="1125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1/14/39</w:t>
            </w:r>
          </w:p>
        </w:tc>
      </w:tr>
      <w:tr>
        <w:tc>
          <w:tcPr>
            <w:tcW w:w="4083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Five-checkpoint candidate audit</w:t>
            </w:r>
          </w:p>
        </w:tc>
        <w:tc>
          <w:tcPr>
            <w:tcW w:w="112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15</w:t>
            </w:r>
          </w:p>
        </w:tc>
        <w:tc>
          <w:tcPr>
            <w:tcW w:w="3628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invalid / .0027 / .0230</w:t>
            </w:r>
          </w:p>
        </w:tc>
        <w:tc>
          <w:tcPr>
            <w:tcW w:w="1125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n/a</w:t>
            </w:r>
          </w:p>
        </w:tc>
      </w:tr>
    </w:tbl>
    <w:p>
      <w:pPr>
        <w:pStyle w:val="BodyText"/>
        <w:widowControl/>
      </w:pPr>
      <w:r>
        <w:t xml:space="preserve">The post-hoc five-checkpoint Office-Home study is a candidate opportunity audit, not a valid KGA</w:t>
      </w:r>
      <w:r>
        <w:t xml:space="preserve"> </w:t>
      </w:r>
      <w:r>
        <w:t xml:space="preserve">result. It uses five independently trained source checkpoints, the three target-test domains, one</w:t>
      </w:r>
      <w:r>
        <w:t xml:space="preserve"> </w:t>
      </w:r>
      <w:r>
        <w:t xml:space="preserve">fixed IID/tiny condition, and Tent, EATA, and SAR. Checkpoint identity passed, but routing and</w:t>
      </w:r>
      <w:r>
        <w:t xml:space="preserve"> </w:t>
      </w:r>
      <w:r>
        <w:t xml:space="preserve">serialization did not. The identifying agreement relation is binary-only and does not apply to the</w:t>
      </w:r>
      <w:r>
        <w:t xml:space="preserve"> </w:t>
      </w:r>
      <w:r>
        <w:t xml:space="preserve">65-class task; the old spectral estimate was sign-indeterminate and unbounded. Thirteen of 15</w:t>
      </w:r>
      <w:r>
        <w:t xml:space="preserve"> </w:t>
      </w:r>
      <w:r>
        <w:t xml:space="preserve">anchors were negative, 9 of 60 stored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values fell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EATA and SAR</w:t>
      </w:r>
      <w:r>
        <w:t xml:space="preserve"> </w:t>
      </w:r>
      <w:r>
        <w:t xml:space="preserve">produced exactly the same predictions in 10 of 15 cells. Each checkpoint has only three LOO cells,</w:t>
      </w:r>
      <w:r>
        <w:t xml:space="preserve"> </w:t>
      </w:r>
      <w:r>
        <w:t xml:space="preserve">whereas a 90% exact-rank single-candidate radius requires at least 10 total cells. All five result</w:t>
      </w:r>
      <w:r>
        <w:t xml:space="preserve"> </w:t>
      </w:r>
      <w:r>
        <w:t xml:space="preserve">files fail strict JSON and contain 57 literal</w:t>
      </w:r>
      <w:r>
        <w:t xml:space="preserve"> </w:t>
      </w:r>
      <w:r>
        <w:rPr>
          <w:rStyle w:val="VerbatimChar"/>
        </w:rPr>
        <w:t xml:space="preserve">Infinity</w:t>
      </w:r>
      <w:r>
        <w:t xml:space="preserve"> </w:t>
      </w:r>
      <w:r>
        <w:t xml:space="preserve">values in total.</w:t>
      </w:r>
    </w:p>
    <w:p>
      <w:pPr>
        <w:pStyle w:val="BodyText"/>
        <w:widowControl/>
      </w:pPr>
      <w:r>
        <w:t xml:space="preserve">The archived exploratory implementation printed ABSTAIN in all 15 cells, but those outputs</w:t>
      </w:r>
      <w:r>
        <w:t xml:space="preserve"> </w:t>
      </w:r>
      <w:r>
        <w:t xml:space="preserve">have no safety, routing, or certificate meaning. The valid descriptive quantities are checkpoint</w:t>
      </w:r>
      <w:r>
        <w:t xml:space="preserve"> </w:t>
      </w:r>
      <w:r>
        <w:t xml:space="preserve">accuracies and candidate opportunity: freeze is</w:t>
      </w:r>
      <w:r>
        <w:t xml:space="preserve"> </w:t>
      </w:r>
      <m:oMath>
        <m:r>
          <m:t>0.5711</m:t>
        </m:r>
      </m:oMath>
      <w:r>
        <w:t xml:space="preserve">, SAR is</w:t>
      </w:r>
      <w:r>
        <w:t xml:space="preserve"> </w:t>
      </w:r>
      <m:oMath>
        <m:r>
          <m:t>0.5914</m:t>
        </m:r>
      </m:oMath>
      <w:r>
        <w:t xml:space="preserve">, their paired difference</w:t>
      </w:r>
      <w:r>
        <w:t xml:space="preserve"> </w:t>
      </w:r>
      <w:r>
        <w:t xml:space="preserve">is</w:t>
      </w:r>
      <w:r>
        <w:t xml:space="preserve"> </w:t>
      </w:r>
      <m:oMath>
        <m:r>
          <m:t>0.0203</m:t>
        </m:r>
      </m:oMath>
      <w:r>
        <w:t xml:space="preserve"> </w:t>
      </w:r>
      <w:r>
        <w:t xml:space="preserve">(95%</w:t>
      </w:r>
      <w:r>
        <w:t xml:space="preserve"> </w:t>
      </w:r>
      <m:oMath>
        <m:r>
          <m:t>t</m:t>
        </m:r>
      </m:oMath>
      <w:r>
        <w:t xml:space="preserve">-interval</w:t>
      </w:r>
      <w:r>
        <w:t xml:space="preserve"> </w:t>
      </w:r>
      <m:oMath>
        <m:r>
          <m:rPr>
            <m:sty m:val="p"/>
          </m:rPr>
          <m:t>[</m:t>
        </m:r>
        <m:r>
          <m:t>0.0123</m:t>
        </m:r>
        <m:r>
          <m:rPr>
            <m:sty m:val="p"/>
          </m:rPr>
          <m:t>,</m:t>
        </m:r>
        <m:r>
          <m:t>0.0283</m:t>
        </m:r>
        <m:r>
          <m:rPr>
            <m:sty m:val="p"/>
          </m:rPr>
          <m:t>]</m:t>
        </m:r>
      </m:oMath>
      <w:r>
        <w:t xml:space="preserve">), and the per-cell oracle is</w:t>
      </w:r>
      <w:r>
        <w:t xml:space="preserve"> </w:t>
      </w:r>
      <m:oMath>
        <m:r>
          <m:t>0.5941</m:t>
        </m:r>
      </m:oMath>
      <w:r>
        <w:t xml:space="preserve">. Oracle minus</w:t>
      </w:r>
      <w:r>
        <w:t xml:space="preserve"> </w:t>
      </w:r>
      <w:r>
        <w:t xml:space="preserve">SAR is</w:t>
      </w:r>
      <w:r>
        <w:t xml:space="preserve"> </w:t>
      </w:r>
      <m:oMath>
        <m:r>
          <m:t>0.0027</m:t>
        </m:r>
      </m:oMath>
      <w:r>
        <w:t xml:space="preserve"> </w:t>
      </w:r>
      <w:r>
        <w:t xml:space="preserve">(95%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0.0024</m:t>
        </m:r>
        <m:r>
          <m:rPr>
            <m:sty m:val="p"/>
          </m:rPr>
          <m:t>,</m:t>
        </m:r>
        <m:r>
          <m:t>0.0077</m:t>
        </m:r>
        <m:r>
          <m:rPr>
            <m:sty m:val="p"/>
          </m:rPr>
          <m:t>]</m:t>
        </m:r>
      </m:oMath>
      <w:r>
        <w:t xml:space="preserve">). The best adapted candidate improves over freeze</w:t>
      </w:r>
      <w:r>
        <w:t xml:space="preserve"> </w:t>
      </w:r>
      <w:r>
        <w:t xml:space="preserve">in 13 cells, ties in one, and harms in one. Because the target was already opened and SAR was chosen</w:t>
      </w:r>
      <w:r>
        <w:t xml:space="preserve"> </w:t>
      </w:r>
      <w:r>
        <w:t xml:space="preserve">after comparing the audit means, these statistics are post-hoc opportunity evidence only.</w:t>
      </w:r>
    </w:p>
    <w:bookmarkEnd w:id="71"/>
    <w:bookmarkStart w:id="72" w:name="camelyon17"/>
    <w:p>
      <w:pPr>
        <w:pStyle w:val="Heading3"/>
        <w:widowControl/>
      </w:pPr>
      <w:r>
        <w:t xml:space="preserve">Camelyon17</w:t>
      </w:r>
    </w:p>
    <w:p>
      <w:pPr>
        <w:pStyle w:val="FirstParagraph"/>
        <w:widowControl/>
      </w:pPr>
      <w:r>
        <w:t xml:space="preserve">The archived Camelyon17 OOD evaluation yields zero KGA and always-adapt regret against</w:t>
      </w:r>
      <w:r>
        <w:t xml:space="preserve"> </w:t>
      </w:r>
      <m:oMath>
        <m:r>
          <m:t>0.1381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freeze. All 18 cells are helpful, so this already-opened panel is a descriptive always-adapt</w:t>
      </w:r>
      <w:r>
        <w:t xml:space="preserve"> </w:t>
      </w:r>
      <w:r>
        <w:t xml:space="preserve">one-sided diagnostic rather than prospective evidence of selective routing. Within-seed candidate</w:t>
      </w:r>
      <w:r>
        <w:t xml:space="preserve"> </w:t>
      </w:r>
      <w:r>
        <w:t xml:space="preserve">diagnostics remain separate from this OOD endpoint.</w:t>
      </w:r>
    </w:p>
    <w:bookmarkEnd w:id="72"/>
    <w:bookmarkStart w:id="73" w:name="rxrx1"/>
    <w:p>
      <w:pPr>
        <w:pStyle w:val="Heading3"/>
        <w:widowControl/>
      </w:pPr>
      <w:r>
        <w:t xml:space="preserve">RxRx1</w:t>
      </w:r>
    </w:p>
    <w:p>
      <w:pPr>
        <w:pStyle w:val="FirstParagraph"/>
        <w:widowControl/>
      </w:pPr>
      <w:r>
        <w:t xml:space="preserve">The displayed RxRx1 row is model seed 0: KGA and freeze regret are zero against</w:t>
      </w:r>
      <w:r>
        <w:t xml:space="preserve"> </w:t>
      </w:r>
      <m:oMath>
        <m:r>
          <m:t>0.2531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always-adapt, with no adapt decisions. A separate audit across three independently trained model</w:t>
      </w:r>
      <w:r>
        <w:t xml:space="preserve"> </w:t>
      </w:r>
      <w:r>
        <w:t xml:space="preserve">checkpoints repeats the same all-freeze tie. It strengthens model-variation reproducibility but</w:t>
      </w:r>
      <w:r>
        <w:t xml:space="preserve"> </w:t>
      </w:r>
      <w:r>
        <w:t xml:space="preserve">adds no adapt exposure. RxRx1 is therefore a descriptive no-harm case, not a routing win.</w:t>
      </w:r>
    </w:p>
    <w:bookmarkEnd w:id="73"/>
    <w:bookmarkStart w:id="74" w:name="iwildcam"/>
    <w:p>
      <w:pPr>
        <w:pStyle w:val="Heading3"/>
        <w:widowControl/>
      </w:pPr>
      <w:r>
        <w:t xml:space="preserve">iWildCam</w:t>
      </w:r>
    </w:p>
    <w:p>
      <w:pPr>
        <w:pStyle w:val="FirstParagraph"/>
        <w:widowControl/>
      </w:pPr>
      <w:r>
        <w:t xml:space="preserve">iWildCam is not assigned a canonical numerical row. The archived scorer used sklearn macro-F1,</w:t>
      </w:r>
      <w:r>
        <w:t xml:space="preserve"> </w:t>
      </w:r>
      <w:r>
        <w:t xml:space="preserve">which averages prediction-only classes, rather than the official WILDS metric, which averages labels</w:t>
      </w:r>
      <w:r>
        <w:t xml:space="preserve"> </w:t>
      </w:r>
      <w:r>
        <w:t xml:space="preserve">present in the target truth. The archived runtime, sample identities, and target population were not</w:t>
      </w:r>
      <w:r>
        <w:t xml:space="preserve"> </w:t>
      </w:r>
      <w:r>
        <w:t xml:space="preserve">sealed under the current contract, so its diagnostic scores and routing actions remain audit-only.</w:t>
      </w:r>
      <w:r>
        <w:t xml:space="preserve"> </w:t>
      </w:r>
      <w:r>
        <w:t xml:space="preserve">A pinned rerun with the official metric, sealed sample identifiers, and a population hash is required</w:t>
      </w:r>
      <w:r>
        <w:t xml:space="preserve"> </w:t>
      </w:r>
      <w:r>
        <w:t xml:space="preserve">before promotion. The older beats-both flag and the later replay under the same invalid metric</w:t>
      </w:r>
      <w:r>
        <w:t xml:space="preserve"> </w:t>
      </w:r>
      <w:r>
        <w:t xml:space="preserve">contract remain hash-locked only as superseded audit history.</w:t>
      </w:r>
    </w:p>
    <w:bookmarkEnd w:id="74"/>
    <w:bookmarkStart w:id="81" w:name="locked-cct-20-camera-location-shift"/>
    <w:p>
      <w:pPr>
        <w:pStyle w:val="Heading3"/>
        <w:widowControl/>
      </w:pPr>
      <w:r>
        <w:t xml:space="preserve">Locked CCT-20 Camera-Location Shift</w:t>
      </w:r>
    </w:p>
    <w:p>
      <w:pPr>
        <w:pStyle w:val="FirstParagraph"/>
        <w:widowControl/>
      </w:pPr>
      <w:r>
        <w:t xml:space="preserve">We evaluated the frozen KGA rule on Caltech Camera Traps 20 (CCT-20), a camera-location shift</w:t>
      </w:r>
      <w:r>
        <w:t xml:space="preserve"> </w:t>
      </w:r>
      <w:r>
        <w:t xml:space="preserve">benchmark [55]. The study crossed 5 independently</w:t>
      </w:r>
      <w:r>
        <w:t xml:space="preserve"> </w:t>
      </w:r>
      <w:r>
        <w:t xml:space="preserve">trained checkpoint tensors with 9 target camera locations. This produced</w:t>
      </w:r>
      <w:r>
        <w:t xml:space="preserve"> </w:t>
      </w:r>
      <w:r>
        <w:t xml:space="preserve">45 checkpoint–location cells, but the exact test uses only the nine camera locations</w:t>
      </w:r>
      <w:r>
        <w:t xml:space="preserve"> </w:t>
      </w:r>
      <w:r>
        <w:t xml:space="preserve">as clusters. The checkpoints are repeated models, not five independent studies, and the 45 cells</w:t>
      </w:r>
      <w:r>
        <w:t xml:space="preserve"> </w:t>
      </w:r>
      <w:r>
        <w:t xml:space="preserve">are not 45 independent environments.</w:t>
      </w:r>
    </w:p>
    <w:p>
      <w:pPr>
        <w:pStyle w:val="BodyText"/>
        <w:widowControl/>
      </w:pPr>
      <w:r>
        <w:t xml:space="preserve">The locked target contained 23275 images: 6950 probe images and</w:t>
      </w:r>
      <w:r>
        <w:t xml:space="preserve"> </w:t>
      </w:r>
      <w:r>
        <w:t xml:space="preserve">16325 evaluation images. The primary score is set-membership top-1 accuracy:</w:t>
      </w:r>
      <w:r>
        <w:t xml:space="preserve"> </w:t>
      </w:r>
      <w:r>
        <w:t xml:space="preserve">a prediction is correct when it matches any distinct archived category for the image. This is not</w:t>
      </w:r>
      <w:r>
        <w:t xml:space="preserve"> </w:t>
      </w:r>
      <w:r>
        <w:t xml:space="preserve">an official single-label CCT-20 leaderboard reproduction. We used the official Tent implementation</w:t>
      </w:r>
      <w:r>
        <w:t xml:space="preserve"> </w:t>
      </w:r>
      <w:r>
        <w:t xml:space="preserve">at commit</w:t>
      </w:r>
      <w:r>
        <w:t xml:space="preserve"> </w:t>
      </w:r>
      <w:r>
        <w:rPr>
          <w:rStyle w:val="VerbatimChar"/>
        </w:rPr>
        <w:t xml:space="preserve">e9e926a</w:t>
      </w:r>
      <w:r>
        <w:t xml:space="preserve">, with one non-episodic Adam step at learning rate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and a state</w:t>
      </w:r>
      <w:r>
        <w:t xml:space="preserve"> </w:t>
      </w:r>
      <w:r>
        <w:t xml:space="preserve">reset for every checkpoint–location cell.</w:t>
      </w:r>
    </w:p>
    <w:bookmarkStart w:id="75" w:name="provenance-ledger."/>
    <w:p>
      <w:pPr>
        <w:pStyle w:val="Heading3"/>
        <w:keepNext/>
        <w:widowControl/>
        <w:spacing w:before="100" w:after="20" w:line="252" w:lineRule="auto"/>
      </w:pPr>
      <w:r>
        <w:rPr>
          <w:rFonts w:ascii="Times New Roman" w:hAnsi="Times New Roman" w:eastAsia="Times New Roman" w:cs="Times New Roman"/>
          <w:b/>
          <w:sz w:val="19"/>
        </w:rPr>
        <w:t xml:space="preserve">Provenance ledger.</w:t>
      </w:r>
    </w:p>
    <w:p>
      <w:pPr>
        <w:pStyle w:val="FirstParagraph"/>
        <w:widowControl/>
      </w:pPr>
      <w:r>
        <w:t xml:space="preserve">Cell-level outcomes remained unopened before target execution. Aggregate target label metadata had</w:t>
      </w:r>
      <w:r>
        <w:t xml:space="preserve"> </w:t>
      </w:r>
      <w:r>
        <w:t xml:space="preserve">already been inspected during candidate ranking, so this is not a label-unopened study.</w:t>
      </w:r>
      <w:r>
        <w:t xml:space="preserve"> </w:t>
      </w:r>
      <w:r>
        <w:t xml:space="preserve">Item-level target labels were deserialized once, after the one-shot scoring marker was spent. The</w:t>
      </w:r>
      <w:r>
        <w:t xml:space="preserve"> </w:t>
      </w:r>
      <w:r>
        <w:t xml:space="preserve">release chain also records the numeric-v2 repair in a sealed addendum created before outcome access.</w:t>
      </w:r>
      <w:r>
        <w:t xml:space="preserve"> </w:t>
      </w:r>
      <w:r>
        <w:t xml:space="preserve">That repair replaced an unstable divergence calculation with a stable Gaussian KL computation; it</w:t>
      </w:r>
      <w:r>
        <w:t xml:space="preserve"> </w:t>
      </w:r>
      <w:r>
        <w:t xml:space="preserve">did not change the model, data split, or scoring rule. We treat it as protocol provenance, not</w:t>
      </w:r>
      <w:r>
        <w:t xml:space="preserve"> </w:t>
      </w:r>
      <w:r>
        <w:t xml:space="preserve">result-driven tuning. All primary outcome values and action/effect counts come from the sealed,</w:t>
      </w:r>
      <w:r>
        <w:t xml:space="preserve"> </w:t>
      </w:r>
      <w:r>
        <w:t xml:space="preserve">content-addressed, receipt-linked CCT-20 release manifest and its generated macros</w:t>
      </w:r>
      <w:r>
        <w:t xml:space="preserve"> </w:t>
      </w:r>
      <w:r>
        <w:t xml:space="preserve">(canonicalized inference-document SHA-256</w:t>
      </w:r>
      <w:r>
        <w:t xml:space="preserve"> </w:t>
      </w:r>
      <w:r>
        <w:t xml:space="preserve">5d1ba74d9a8b16ef24746ca3d95969e635d34fd4112806f6bf91b4b45a6cf907).</w:t>
      </w:r>
    </w:p>
    <w:bookmarkEnd w:id="75"/>
    <w:bookmarkStart w:id="76" w:name="action-ledger."/>
    <w:p>
      <w:pPr>
        <w:pStyle w:val="Heading3"/>
        <w:keepNext/>
        <w:widowControl/>
        <w:spacing w:before="100" w:after="20" w:line="252" w:lineRule="auto"/>
      </w:pPr>
      <w:r>
        <w:rPr>
          <w:rFonts w:ascii="Times New Roman" w:hAnsi="Times New Roman" w:eastAsia="Times New Roman" w:cs="Times New Roman"/>
          <w:b/>
          <w:sz w:val="19"/>
        </w:rPr>
        <w:t xml:space="preserve">Action ledger.</w:t>
      </w:r>
    </w:p>
    <w:p>
      <w:pPr>
        <w:pStyle w:val="FirstParagraph"/>
        <w:widowControl/>
      </w:pPr>
      <w:r>
        <w:t xml:space="preserve">Across the 45 cells, KGA issued 0 ADAPT, 44 FREEZE, and</w:t>
      </w:r>
      <w:r>
        <w:t xml:space="preserve"> </w:t>
      </w:r>
      <w:r>
        <w:t xml:space="preserve">1 ABSTAIN decisions. Strict decisions were therefore made in</w:t>
      </w:r>
      <w:r>
        <w:t xml:space="preserve"> </w:t>
      </w:r>
      <w:r>
        <w:t xml:space="preserve">44 of 45 cells. The false-adapt count was 0 of</w:t>
      </w:r>
      <w:r>
        <w:t xml:space="preserve"> </w:t>
      </w:r>
      <w:r>
        <w:t xml:space="preserve">45 cells, but this value is mechanical because the gate never selected ADAPT. It does</w:t>
      </w:r>
      <w:r>
        <w:t xml:space="preserve"> </w:t>
      </w:r>
      <w:r>
        <w:t xml:space="preserve">not show that the gate can identify helpful adaptation.</w:t>
      </w:r>
    </w:p>
    <w:p>
      <w:pPr>
        <w:pStyle w:val="TableCaption"/>
        <w:widowControl/>
      </w:pPr>
      <w:r>
        <w:t xml:space="preserve">Table 7. Locked CCT-20 primary contrasts. The estimand is baseline regret minus KGA regret, so</w:t>
      </w:r>
      <w:r>
        <w:t xml:space="preserve"> </w:t>
      </w:r>
      <w:r>
        <w:t xml:space="preserve">positive values favor KGA. Intervals use a paired two-way product bootstrap that resamples</w:t>
      </w:r>
      <w:r>
        <w:t xml:space="preserve"> </w:t>
      </w:r>
      <w:r>
        <w:t xml:space="preserve">checkpoint rows and location columns independently. Two 97.5% per-comparison intervals form a</w:t>
      </w:r>
      <w:r>
        <w:t xml:space="preserve"> </w:t>
      </w:r>
      <w:r>
        <w:t xml:space="preserve">95% Bonferroni family. Exact</w:t>
      </w:r>
      <w:r>
        <w:t xml:space="preserve"> </w:t>
      </w:r>
      <m:oMath>
        <m:r>
          <m:t>p</m:t>
        </m:r>
      </m:oMath>
      <w:r>
        <w:t xml:space="preserve">-values are one-sided sign-flip tests over the nine location means;</w:t>
      </w:r>
      <w:r>
        <w:t xml:space="preserve"> </w:t>
      </w:r>
      <w:r>
        <w:t xml:space="preserve">Holm adjusts only these</w:t>
      </w:r>
      <w:r>
        <w:t xml:space="preserve"> </w:t>
      </w:r>
      <m:oMath>
        <m:r>
          <m:t>p</m:t>
        </m:r>
      </m:oMath>
      <w:r>
        <w:t xml:space="preserve">-values.</w:t>
      </w:r>
    </w:p>
    <w:tbl>
      <w:tblPr>
        <w:tblStyle w:val="Table"/>
        <w:tblW w:type="dxa" w:w="9960"/>
        <w:jc w:val="left"/>
        <w:tblLayout w:type="fixed"/>
        <w:tblLook w:firstRow="1" w:lastRow="0" w:firstColumn="0" w:lastColumn="0" w:noHBand="0" w:noVBand="0" w:val="0020"/>
        <w:tblCaption w:val="Table 7. Locked CCT-20 primary contrasts. The estimand is baseline regret minus KGA regret, so positive values favor KGA. Intervals use a paired two-way product bootstrap that resamples checkpoint rows and location columns independently. Two 97.5% per-comparison intervals form a 95% Bonferroni family. Exact p-values are one-sided sign-flip tests over the nine location means; Holm adjusts only these p-values."/>
        <w:tblInd w:w="120" w:type="dxa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1677"/>
        <w:gridCol w:w="2495"/>
        <w:gridCol w:w="2651"/>
        <w:gridCol w:w="979"/>
        <w:gridCol w:w="964"/>
        <w:gridCol w:w="1194"/>
      </w:tblGrid>
      <w:tr>
        <w:trPr>
          <w:tblHeader w:val="on"/>
          <w:tblHeader w:val="true"/>
        </w:trPr>
        <w:tc>
          <w:tcPr>
            <w:tcW w:w="1677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E8EEF5"/>
          </w:tcPr>
          <w:p>
            <w:pPr>
              <w:pStyle w:val="Compact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Comparator</w:t>
            </w:r>
          </w:p>
        </w:tc>
        <w:tc>
          <w:tcPr>
            <w:tcW w:w="2495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E8EEF5"/>
          </w:tcPr>
          <w:p>
            <w:pPr>
              <w:pStyle w:val="Compact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Baseline regret</w:t>
            </w:r>
            <w:r>
              <w:rPr>
                <w:rFonts w:ascii="Times New Roman" w:hAnsi="Times New Roman"/>
                <w:b/>
                <w:sz w:val="15"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rPr>
                <w:rFonts w:ascii="Times New Roman" w:hAnsi="Times New Roman"/>
                <w:b/>
                <w:sz w:val="15"/>
              </w:rPr>
              <w:t xml:space="preserve"> </w:t>
            </w:r>
            <w:r>
              <w:rPr>
                <w:rFonts w:ascii="Times New Roman" w:hAnsi="Times New Roman"/>
                <w:b/>
                <w:sz w:val="15"/>
              </w:rPr>
              <w:t xml:space="preserve">KGA regret</w:t>
            </w:r>
          </w:p>
        </w:tc>
        <w:tc>
          <w:tcPr>
            <w:tcW w:w="2651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E8EEF5"/>
          </w:tcPr>
          <w:p>
            <w:pPr>
              <w:pStyle w:val="Compact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Bonferroni 97.5% CI</w:t>
            </w:r>
          </w:p>
        </w:tc>
        <w:tc>
          <w:tcPr>
            <w:tcW w:w="979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E8EEF5"/>
          </w:tcPr>
          <w:p>
            <w:pPr>
              <w:pStyle w:val="Compact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Exact</w:t>
            </w:r>
            <w:r>
              <w:rPr>
                <w:rFonts w:ascii="Times New Roman" w:hAnsi="Times New Roman"/>
                <w:b/>
                <w:sz w:val="15"/>
              </w:rPr>
              <w:t xml:space="preserve"> </w:t>
            </w:r>
            <m:oMath>
              <m:r>
                <m:t>p</m:t>
              </m:r>
            </m:oMath>
          </w:p>
        </w:tc>
        <w:tc>
          <w:tcPr>
            <w:tcW w:w="96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E8EEF5"/>
          </w:tcPr>
          <w:p>
            <w:pPr>
              <w:pStyle w:val="Compact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Holm</w:t>
            </w:r>
            <w:r>
              <w:rPr>
                <w:rFonts w:ascii="Times New Roman" w:hAnsi="Times New Roman"/>
                <w:b/>
                <w:sz w:val="15"/>
              </w:rPr>
              <w:t xml:space="preserve"> </w:t>
            </w:r>
            <m:oMath>
              <m:r>
                <m:t>p</m:t>
              </m:r>
            </m:oMath>
          </w:p>
        </w:tc>
        <w:tc>
          <w:tcPr>
            <w:tcW w:w="119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E8EEF5"/>
          </w:tcPr>
          <w:p>
            <w:pPr>
              <w:pStyle w:val="Compact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Reject at .05</w:t>
            </w:r>
          </w:p>
        </w:tc>
      </w:tr>
      <w:tr>
        <w:tc>
          <w:tcPr>
            <w:tcW w:w="1677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keepNext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Always adapt</w:t>
            </w:r>
          </w:p>
        </w:tc>
        <w:tc>
          <w:tcPr>
            <w:tcW w:w="2495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0.18190227</w:t>
            </w:r>
          </w:p>
        </w:tc>
        <w:tc>
          <w:tcPr>
            <w:tcW w:w="2651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keepNext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[0.08501071, 0.31066374]</w:t>
            </w:r>
          </w:p>
        </w:tc>
        <w:tc>
          <w:tcPr>
            <w:tcW w:w="979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0.00195312</w:t>
            </w:r>
          </w:p>
        </w:tc>
        <w:tc>
          <w:tcPr>
            <w:tcW w:w="96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0.00390625</w:t>
            </w:r>
          </w:p>
        </w:tc>
        <w:tc>
          <w:tcPr>
            <w:tcW w:w="119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keepNext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yes</w:t>
            </w:r>
          </w:p>
        </w:tc>
      </w:tr>
      <w:tr>
        <w:tc>
          <w:tcPr>
            <w:tcW w:w="1677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Always freeze</w:t>
            </w:r>
          </w:p>
        </w:tc>
        <w:tc>
          <w:tcPr>
            <w:tcW w:w="2495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  <w:tc>
          <w:tcPr>
            <w:tcW w:w="2651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[0, 0]</w:t>
            </w:r>
          </w:p>
        </w:tc>
        <w:tc>
          <w:tcPr>
            <w:tcW w:w="979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</w:t>
            </w:r>
          </w:p>
        </w:tc>
        <w:tc>
          <w:tcPr>
            <w:tcW w:w="96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</w:t>
            </w:r>
          </w:p>
        </w:tc>
        <w:tc>
          <w:tcPr>
            <w:tcW w:w="119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no</w:t>
            </w:r>
          </w:p>
        </w:tc>
      </w:tr>
    </w:tbl>
    <w:p>
      <w:pPr>
        <w:pStyle w:val="BodyText"/>
        <w:widowControl/>
      </w:pPr>
      <w:r>
        <w:t xml:space="preserve">The exact sign-flip interpretation is conditional on sign symmetry and exchangeability across the</w:t>
      </w:r>
      <w:r>
        <w:t xml:space="preserve"> </w:t>
      </w:r>
      <w:r>
        <w:t xml:space="preserve">nine location means; it is not a distribution-free guarantee for unseen locations.</w:t>
      </w:r>
    </w:p>
    <w:bookmarkEnd w:id="76"/>
    <w:bookmarkStart w:id="77" w:name="primary-result."/>
    <w:p>
      <w:pPr>
        <w:pStyle w:val="Heading3"/>
        <w:keepNext/>
        <w:widowControl/>
        <w:spacing w:before="100" w:after="20" w:line="252" w:lineRule="auto"/>
      </w:pPr>
      <w:r>
        <w:rPr>
          <w:rFonts w:ascii="Times New Roman" w:hAnsi="Times New Roman" w:eastAsia="Times New Roman" w:cs="Times New Roman"/>
          <w:b/>
          <w:sz w:val="19"/>
        </w:rPr>
        <w:t xml:space="preserve">Primary result.</w:t>
      </w:r>
    </w:p>
    <w:p>
      <w:pPr>
        <w:pStyle w:val="FirstParagraph"/>
        <w:widowControl/>
      </w:pPr>
      <w:r>
        <w:t xml:space="preserve">KGA exactly matched always freeze. Its contrast against always freeze was 0 with</w:t>
      </w:r>
      <w:r>
        <w:t xml:space="preserve"> </w:t>
      </w:r>
      <w:r>
        <w:t xml:space="preserve">Bonferroni 97.5% interval [0, 0], exact location sign-flip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 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 Against always adapt, the contrast was</w:t>
      </w:r>
      <w:r>
        <w:t xml:space="preserve"> </w:t>
      </w:r>
      <w:r>
        <w:t xml:space="preserve">0.18190227 with interval [0.08501071, 0.31066374], exact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0.00195312</m:t>
        </m:r>
      </m:oMath>
      <w:r>
        <w:t xml:space="preserve">, and 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0.00390625</m:t>
        </m:r>
      </m:oMath>
      <w:r>
        <w:t xml:space="preserve">. Adaptation benefit is adapted accuracy minus</w:t>
      </w:r>
      <w:r>
        <w:t xml:space="preserve"> </w:t>
      </w:r>
      <w:r>
        <w:t xml:space="preserve">frozen accuracy: 1 cell was helpful, 0 were exactly zero, and</w:t>
      </w:r>
      <w:r>
        <w:t xml:space="preserve"> </w:t>
      </w:r>
      <w:r>
        <w:t xml:space="preserve">44 were harmful. These counts explain why freezing was useful here. They do not</w:t>
      </w:r>
      <w:r>
        <w:t xml:space="preserve"> </w:t>
      </w:r>
      <w:r>
        <w:t xml:space="preserve">show that the gate learned when to adapt.</w:t>
      </w:r>
    </w:p>
    <w:bookmarkEnd w:id="77"/>
    <w:bookmarkStart w:id="78" w:name="safe-utility-and-claim-ledger."/>
    <w:p>
      <w:pPr>
        <w:pStyle w:val="Heading3"/>
        <w:keepNext/>
        <w:widowControl/>
        <w:spacing w:before="100" w:after="20" w:line="252" w:lineRule="auto"/>
      </w:pPr>
      <w:r>
        <w:rPr>
          <w:rFonts w:ascii="Times New Roman" w:hAnsi="Times New Roman" w:eastAsia="Times New Roman" w:cs="Times New Roman"/>
          <w:b/>
          <w:sz w:val="19"/>
        </w:rPr>
        <w:t xml:space="preserve">Safe-utility and claim ledger.</w:t>
      </w:r>
    </w:p>
    <w:p>
      <w:pPr>
        <w:pStyle w:val="FirstParagraph"/>
        <w:widowControl/>
      </w:pPr>
      <w:r>
        <w:t xml:space="preserve">The locked safe-utility check uses pointwise 95% evidence. Against always adapt, the point estimate</w:t>
      </w:r>
      <w:r>
        <w:t xml:space="preserve"> </w:t>
      </w:r>
      <w:r>
        <w:t xml:space="preserve">was 0.18190227 with interval [0.09374776, 0.29138626]. Against</w:t>
      </w:r>
      <w:r>
        <w:t xml:space="preserve"> </w:t>
      </w:r>
      <w:r>
        <w:t xml:space="preserve">always freeze, it was 0 with interval [0,</w:t>
      </w:r>
      <w:r>
        <w:t xml:space="preserve"> </w:t>
      </w:r>
      <w:r>
        <w:t xml:space="preserve">0], compared with the frozen noninferiority margin</w:t>
      </w:r>
      <w:r>
        <w:t xml:space="preserve"> </w:t>
      </w:r>
      <w:r>
        <w:t xml:space="preserve">-0.005. The generated pass flag is</w:t>
      </w:r>
      <w:r>
        <w:t xml:space="preserve"> </w:t>
      </w:r>
      <w:r>
        <w:t xml:space="preserve">yes</w:t>
      </w:r>
      <w:r>
        <w:t xml:space="preserve">. Thus KGA passed the</w:t>
      </w:r>
      <w:r>
        <w:t xml:space="preserve"> </w:t>
      </w:r>
      <w:r>
        <w:t xml:space="preserve">protocol’s narrow safe-utility check by retaining frozen predictions and avoiding the loss from</w:t>
      </w:r>
      <w:r>
        <w:t xml:space="preserve"> </w:t>
      </w:r>
      <w:r>
        <w:t xml:space="preserve">always adapting. This is not a general safety claim. The strong-success claim is unsupported because</w:t>
      </w:r>
      <w:r>
        <w:t xml:space="preserve"> </w:t>
      </w:r>
      <w:r>
        <w:t xml:space="preserve">KGA neither beat always freeze nor produced meaningful ADAPT exposure.</w:t>
      </w:r>
    </w:p>
    <w:bookmarkEnd w:id="78"/>
    <w:bookmarkStart w:id="79" w:name="release-verdict."/>
    <w:p>
      <w:pPr>
        <w:pStyle w:val="Heading3"/>
        <w:keepNext/>
        <w:widowControl/>
        <w:spacing w:before="100" w:after="20" w:line="252" w:lineRule="auto"/>
      </w:pPr>
      <w:r>
        <w:rPr>
          <w:rFonts w:ascii="Times New Roman" w:hAnsi="Times New Roman" w:eastAsia="Times New Roman" w:cs="Times New Roman"/>
          <w:b/>
          <w:sz w:val="19"/>
        </w:rPr>
        <w:t xml:space="preserve">Release verdict.</w:t>
      </w:r>
    </w:p>
    <w:p>
      <w:pPr>
        <w:pStyle w:val="FirstParagraph"/>
        <w:widowControl/>
      </w:pPr>
      <w:r>
        <w:t xml:space="preserve">SAFE UTILITY ONLY</w:t>
      </w:r>
      <w:r>
        <w:t xml:space="preserve">.</w:t>
      </w:r>
      <w:r>
        <w:t xml:space="preserve"> </w:t>
      </w:r>
      <w:r>
        <w:t xml:space="preserve">The prospective CCT-20 result passes only the locked safe-utility check; it does not establish the preregistered strong-success claim.</w:t>
      </w:r>
      <w:r>
        <w:t xml:space="preserve"> In this ledger,</w:t>
      </w:r>
      <w:r>
        <w:t xml:space="preserve"> </w:t>
      </w:r>
      <w:r>
        <w:t xml:space="preserve">“preregistered”</w:t>
      </w:r>
      <w:r>
        <w:t xml:space="preserve"> </w:t>
      </w:r>
      <w:r>
        <w:t xml:space="preserve">means internally sealed and</w:t>
      </w:r>
      <w:r>
        <w:t xml:space="preserve"> </w:t>
      </w:r>
      <w:r>
        <w:t xml:space="preserve">time-stamped before source training and target outcomes; it does not denote a public registry.</w:t>
      </w:r>
    </w:p>
    <w:bookmarkEnd w:id="79"/>
    <w:bookmarkStart w:id="80" w:name="limits-and-next-step."/>
    <w:p>
      <w:pPr>
        <w:pStyle w:val="Heading3"/>
        <w:keepNext/>
        <w:widowControl/>
        <w:spacing w:before="100" w:after="20" w:line="252" w:lineRule="auto"/>
      </w:pPr>
      <w:r>
        <w:rPr>
          <w:rFonts w:ascii="Times New Roman" w:hAnsi="Times New Roman" w:eastAsia="Times New Roman" w:cs="Times New Roman"/>
          <w:b/>
          <w:sz w:val="19"/>
        </w:rPr>
        <w:t xml:space="preserve">Limits and next step.</w:t>
      </w:r>
    </w:p>
    <w:p>
      <w:pPr>
        <w:pStyle w:val="FirstParagraph"/>
        <w:widowControl/>
      </w:pPr>
      <w:r>
        <w:t xml:space="preserve">All 55 development cells had negative Tent benefit, so the gate had no positive ADAPT example. The</w:t>
      </w:r>
      <w:r>
        <w:t xml:space="preserve"> </w:t>
      </w:r>
      <w:r>
        <w:t xml:space="preserve">ridge fit used 10 checkpoint–location rows from only two camera units for 11 recorded features.</w:t>
      </w:r>
      <w:r>
        <w:t xml:space="preserve"> </w:t>
      </w:r>
      <w:r>
        <w:t xml:space="preserve">Calibration used 45 rows collapsed to nine cis-test camera locations, while the locked targets came</w:t>
      </w:r>
      <w:r>
        <w:t xml:space="preserve"> </w:t>
      </w:r>
      <w:r>
        <w:t xml:space="preserve">from trans-test locations. Coverage therefore needs an unverified cross-split exchangeability</w:t>
      </w:r>
      <w:r>
        <w:t xml:space="preserve"> </w:t>
      </w:r>
      <w:r>
        <w:t xml:space="preserve">assumption. Target Mahalanobis diagnostics ranged from 7.12 to 485.67 (median 28.73), showing strong</w:t>
      </w:r>
      <w:r>
        <w:t xml:space="preserve"> </w:t>
      </w:r>
      <w:r>
        <w:t xml:space="preserve">extrapolation; this diagnostic never changed an action and is not a formal coverage guarantee. One</w:t>
      </w:r>
      <w:r>
        <w:t xml:space="preserve"> </w:t>
      </w:r>
      <w:r>
        <w:t xml:space="preserve">natural dataset also cannot establish a general natural-shift win. The next study should retain the</w:t>
      </w:r>
      <w:r>
        <w:t xml:space="preserve"> </w:t>
      </w:r>
      <w:r>
        <w:t xml:space="preserve">same outcome-blind release path, add diverse development units, require useful exposure to both</w:t>
      </w:r>
      <w:r>
        <w:t xml:space="preserve"> </w:t>
      </w:r>
      <w:r>
        <w:t xml:space="preserve">ADAPT and FREEZE, and repeat the test on a second locked natural-shift dataset.</w:t>
      </w:r>
      <w:r>
        <w:t xml:space="preserve"> </w:t>
      </w:r>
      <w:r>
        <w:t xml:space="preserve">Cell-level 16-indicator macro-F1 is archived as descriptive secondary evidence; no post-hoc aggregate or inference claim is made.</w:t>
      </w:r>
    </w:p>
    <w:bookmarkEnd w:id="80"/>
    <w:bookmarkEnd w:id="81"/>
    <w:bookmarkEnd w:id="82"/>
    <w:bookmarkStart w:id="86" w:name="negative-and-diagnostic-tracks"/>
    <w:p>
      <w:pPr>
        <w:pStyle w:val="Heading2"/>
        <w:widowControl/>
      </w:pPr>
      <w:r>
        <w:t xml:space="preserve">Negative and Diagnostic Tracks</w:t>
      </w:r>
    </w:p>
    <w:bookmarkStart w:id="83" w:name="pacs"/>
    <w:p>
      <w:pPr>
        <w:pStyle w:val="Heading3"/>
        <w:widowControl/>
      </w:pPr>
      <w:r>
        <w:t xml:space="preserve">PACS</w:t>
      </w:r>
    </w:p>
    <w:p>
      <w:pPr>
        <w:pStyle w:val="FirstParagraph"/>
        <w:widowControl/>
      </w:pPr>
      <w:r>
        <w:t xml:space="preserve">PACS KGA regret</w:t>
      </w:r>
      <w:r>
        <w:t xml:space="preserve"> </w:t>
      </w:r>
      <m:oMath>
        <m:r>
          <m:t>0.0431</m:t>
        </m:r>
      </m:oMath>
      <w:r>
        <w:t xml:space="preserve"> </w:t>
      </w:r>
      <w:r>
        <w:t xml:space="preserve">exceeds always-adapt’s</w:t>
      </w:r>
      <w:r>
        <w:t xml:space="preserve"> </w:t>
      </w:r>
      <m:oMath>
        <m:r>
          <m:t>0.0176</m:t>
        </m:r>
      </m:oMath>
      <w:r>
        <w:t xml:space="preserve">. Its archived aggregate lacks the residual</w:t>
      </w:r>
      <w:r>
        <w:t xml:space="preserve"> </w:t>
      </w:r>
      <w:r>
        <w:t xml:space="preserve">detail needed for full gate replay, so it remains a negative aggregate diagnostic rather than a</w:t>
      </w:r>
      <w:r>
        <w:t xml:space="preserve"> </w:t>
      </w:r>
      <w:r>
        <w:t xml:space="preserve">complete certificate evaluation.</w:t>
      </w:r>
    </w:p>
    <w:bookmarkEnd w:id="83"/>
    <w:bookmarkStart w:id="84" w:name="imagenet-r-backbone-breakdown"/>
    <w:p>
      <w:pPr>
        <w:pStyle w:val="Heading3"/>
        <w:widowControl/>
      </w:pPr>
      <w:r>
        <w:t xml:space="preserve">ImageNet-R Backbone Breakdown</w:t>
      </w:r>
    </w:p>
    <w:p>
      <w:pPr>
        <w:pStyle w:val="FirstParagraph"/>
        <w:widowControl/>
      </w:pPr>
      <w:r>
        <w:t xml:space="preserve">ImageNet-R KGA regret</w:t>
      </w:r>
      <w:r>
        <w:t xml:space="preserve"> </w:t>
      </w:r>
      <m:oMath>
        <m:r>
          <m:t>0.0150</m:t>
        </m:r>
      </m:oMath>
      <w:r>
        <w:t xml:space="preserve"> </w:t>
      </w:r>
      <w:r>
        <w:t xml:space="preserve">exceeds always-adapt’s</w:t>
      </w:r>
      <w:r>
        <w:t xml:space="preserve"> </w:t>
      </w:r>
      <m:oMath>
        <m:r>
          <m:t>0.0064</m:t>
        </m:r>
      </m:oMath>
      <w:r>
        <w:t xml:space="preserve"> </w:t>
      </w:r>
      <w:r>
        <w:t xml:space="preserve">across the ten-backbone architecture</w:t>
      </w:r>
      <w:r>
        <w:t xml:space="preserve"> </w:t>
      </w:r>
      <w:r>
        <w:t xml:space="preserve">panel, and no backbone beats both fixed policies. KGA is worse than always-adapt on 8 of 10</w:t>
      </w:r>
      <w:r>
        <w:t xml:space="preserve"> </w:t>
      </w:r>
      <w:r>
        <w:t xml:space="preserve">backbones; four of those eight have a 0% harmful base rate, so routing has no harm to avoid. On</w:t>
      </w:r>
      <w:r>
        <w:t xml:space="preserve"> </w:t>
      </w:r>
      <w:r>
        <w:rPr>
          <w:rStyle w:val="VerbatimChar"/>
        </w:rPr>
        <w:t xml:space="preserve">efficientnet_b0</w:t>
      </w:r>
      <w:r>
        <w:t xml:space="preserve"> </w:t>
      </w:r>
      <w:r>
        <w:t xml:space="preserve">(100% harmful) and</w:t>
      </w:r>
      <w:r>
        <w:t xml:space="preserve"> </w:t>
      </w:r>
      <w:r>
        <w:rPr>
          <w:rStyle w:val="VerbatimChar"/>
        </w:rPr>
        <w:t xml:space="preserve">swin_t</w:t>
      </w:r>
      <w:r>
        <w:t xml:space="preserve"> </w:t>
      </w:r>
      <w:r>
        <w:t xml:space="preserve">(60.4% harmful), KGA improves over</w:t>
      </w:r>
      <w:r>
        <w:t xml:space="preserve"> </w:t>
      </w:r>
      <w:r>
        <w:t xml:space="preserve">always-adapt but exactly ties always-freeze and makes no adapt decisions. The pattern is consistent</w:t>
      </w:r>
      <w:r>
        <w:t xml:space="preserve"> </w:t>
      </w:r>
      <w:r>
        <w:t xml:space="preserve">with the regime map: routing can add value only where candidate harm is present, but these two rows</w:t>
      </w:r>
      <w:r>
        <w:t xml:space="preserve"> </w:t>
      </w:r>
      <w:r>
        <w:t xml:space="preserve">are fail-closed no-harm ties rather than routing wins.</w:t>
      </w:r>
    </w:p>
    <w:bookmarkEnd w:id="84"/>
    <w:bookmarkStart w:id="85" w:name="cifar-10.1"/>
    <w:p>
      <w:pPr>
        <w:pStyle w:val="Heading3"/>
        <w:widowControl/>
      </w:pPr>
      <w:r>
        <w:t xml:space="preserve">CIFAR-10.1</w:t>
      </w:r>
    </w:p>
    <w:p>
      <w:pPr>
        <w:pStyle w:val="FirstParagraph"/>
        <w:widowControl/>
      </w:pPr>
      <w:r>
        <w:t xml:space="preserve">CIFAR-10.1 ties always-freeze at</w:t>
      </w:r>
      <w:r>
        <w:t xml:space="preserve"> </w:t>
      </w:r>
      <m:oMath>
        <m:r>
          <m:t>0.0017</m:t>
        </m:r>
      </m:oMath>
      <w:r>
        <w:t xml:space="preserve"> </w:t>
      </w:r>
      <w:r>
        <w:t xml:space="preserve">and is retained as a negative low-margin cross-seed</w:t>
      </w:r>
      <w:r>
        <w:t xml:space="preserve"> </w:t>
      </w:r>
      <w:r>
        <w:t xml:space="preserve">diagnostic. None of these nulls proves structural non-identifiability; weak evidence, low margin,</w:t>
      </w:r>
      <w:r>
        <w:t xml:space="preserve"> </w:t>
      </w:r>
      <w:r>
        <w:t xml:space="preserve">estimator inadequacy, or calibration transfer can produce the same pattern.</w:t>
      </w:r>
    </w:p>
    <w:bookmarkEnd w:id="85"/>
    <w:bookmarkEnd w:id="86"/>
    <w:bookmarkStart w:id="87" w:name="what-the-panel-establishes"/>
    <w:p>
      <w:pPr>
        <w:pStyle w:val="Heading2"/>
        <w:widowControl/>
      </w:pPr>
      <w:r>
        <w:t xml:space="preserve">What the Panel Establishes</w:t>
      </w:r>
    </w:p>
    <w:p>
      <w:pPr>
        <w:pStyle w:val="TableCaption"/>
        <w:widowControl/>
      </w:pPr>
      <w:r>
        <w:t xml:space="preserve">Table 8. Claim discipline for the reconciled panel.</w:t>
      </w:r>
    </w:p>
    <w:tbl>
      <w:tblPr>
        <w:tblStyle w:val="Table"/>
        <w:tblW w:type="dxa" w:w="9960"/>
        <w:jc w:val="left"/>
        <w:tblLayout w:type="fixed"/>
        <w:tblLook w:firstRow="1" w:lastRow="0" w:firstColumn="0" w:lastColumn="0" w:noHBand="0" w:noVBand="0" w:val="0020"/>
        <w:tblCaption w:val="Table 8. Claim discipline for the reconciled panel."/>
        <w:tblInd w:w="120" w:type="dxa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3312"/>
        <w:gridCol w:w="6648"/>
      </w:tblGrid>
      <w:tr>
        <w:trPr>
          <w:tblHeader w:val="on"/>
          <w:tblHeader w:val="true"/>
        </w:trPr>
        <w:tc>
          <w:tcPr>
            <w:tcW w:w="3312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E8EEF5"/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Observation</w:t>
            </w:r>
          </w:p>
        </w:tc>
        <w:tc>
          <w:tcPr>
            <w:tcW w:w="6648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E8EEF5"/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Supported interpretation</w:t>
            </w:r>
          </w:p>
        </w:tc>
      </w:tr>
      <w:tr>
        <w:tc>
          <w:tcPr>
            <w:tcW w:w="3312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CIFAR-10-C Tent result</w:t>
            </w:r>
          </w:p>
        </w:tc>
        <w:tc>
          <w:tcPr>
            <w:tcW w:w="6648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exact-rank point gain; retrospective current-policy six-family intervals positive; preregistered six-comparison Holm fails</w:t>
            </w:r>
          </w:p>
        </w:tc>
      </w:tr>
      <w:tr>
        <w:tc>
          <w:tcPr>
            <w:tcW w:w="3312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CIFAR-10-C EATA result</w:t>
            </w:r>
          </w:p>
        </w:tc>
        <w:tc>
          <w:tcPr>
            <w:tcW w:w="6648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point-estimate gain; current adapt-side family interval includes zero; preregistered six-comparison Holm fails</w:t>
            </w:r>
          </w:p>
        </w:tc>
      </w:tr>
      <w:tr>
        <w:tc>
          <w:tcPr>
            <w:tcW w:w="3312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CIFAR-10-C SAR loss</w:t>
            </w:r>
          </w:p>
        </w:tc>
        <w:tc>
          <w:tcPr>
            <w:tcW w:w="6648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candidate dependence is material</w:t>
            </w:r>
          </w:p>
        </w:tc>
      </w:tr>
      <w:tr>
        <w:tc>
          <w:tcPr>
            <w:tcW w:w="3312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Office/Rx no-harm</w:t>
            </w:r>
          </w:p>
        </w:tc>
        <w:tc>
          <w:tcPr>
            <w:tcW w:w="6648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descriptive fail-closed behavior; little or no adaptation exposure</w:t>
            </w:r>
          </w:p>
        </w:tc>
      </w:tr>
      <w:tr>
        <w:tc>
          <w:tcPr>
            <w:tcW w:w="3312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CCT-20 locked result</w:t>
            </w:r>
          </w:p>
        </w:tc>
        <w:tc>
          <w:tcPr>
            <w:tcW w:w="6648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safe-utility check passes; KGA ties freeze, rejects always adapt, and has zero ADAPT exposure</w:t>
            </w:r>
          </w:p>
        </w:tc>
      </w:tr>
      <w:tr>
        <w:tc>
          <w:tcPr>
            <w:tcW w:w="3312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iWildCam</w:t>
            </w:r>
          </w:p>
        </w:tc>
        <w:tc>
          <w:tcPr>
            <w:tcW w:w="6648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numerical claim withheld pending official-metric, population-sealed rerun</w:t>
            </w:r>
          </w:p>
        </w:tc>
      </w:tr>
      <w:tr>
        <w:tc>
          <w:tcPr>
            <w:tcW w:w="3312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Camelyon17 OOD tie to adapt</w:t>
            </w:r>
          </w:p>
        </w:tc>
        <w:tc>
          <w:tcPr>
            <w:tcW w:w="6648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archived opened one-sided diagnostic; no selective-routing test</w:t>
            </w:r>
          </w:p>
        </w:tc>
      </w:tr>
      <w:tr>
        <w:tc>
          <w:tcPr>
            <w:tcW w:w="3312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PACS/ImageNet-R losses</w:t>
            </w:r>
          </w:p>
        </w:tc>
        <w:tc>
          <w:tcPr>
            <w:tcW w:w="6648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completed negative diagnostics, retained in scope</w:t>
            </w:r>
          </w:p>
        </w:tc>
      </w:tr>
      <w:tr>
        <w:tc>
          <w:tcPr>
            <w:tcW w:w="3312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Empirical abstention</w:t>
            </w:r>
          </w:p>
        </w:tc>
        <w:tc>
          <w:tcPr>
            <w:tcW w:w="6648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uncertainty under the fitted pipeline, not proof of structural unknowability</w:t>
            </w:r>
          </w:p>
        </w:tc>
      </w:tr>
    </w:tbl>
    <w:p>
      <w:pPr>
        <w:pStyle w:val="BodyText"/>
        <w:widowControl/>
      </w:pPr>
      <w:r>
        <w:t xml:space="preserve">The panel supports neither universal improvement nor a clean, CI-robust beats-both win on a natural</w:t>
      </w:r>
      <w:r>
        <w:t xml:space="preserve"> </w:t>
      </w:r>
      <w:r>
        <w:t xml:space="preserve">dataset. Its strongest positive routing evidence is controlled and candidate-specific. Its natural</w:t>
      </w:r>
      <w:r>
        <w:t xml:space="preserve"> </w:t>
      </w:r>
      <w:r>
        <w:t xml:space="preserve">evidence is mainly no-harm, often obtained by declining adaptation. CCT-20 adds a locked</w:t>
      </w:r>
      <w:r>
        <w:t xml:space="preserve"> </w:t>
      </w:r>
      <w:r>
        <w:t xml:space="preserve">safe-utility result: KGA rejects harmful adaptation but does not select the single helpful cell.</w:t>
      </w:r>
      <w:r>
        <w:t xml:space="preserve"> </w:t>
      </w:r>
      <w:r>
        <w:t xml:space="preserve">Together, these findings support fail-closed and rollback mechanics in the observed protocols, but</w:t>
      </w:r>
      <w:r>
        <w:t xml:space="preserve"> </w:t>
      </w:r>
      <w:r>
        <w:t xml:space="preserve">they do not establish an adapt-side safety property or broad accuracy improvement.</w:t>
      </w:r>
    </w:p>
    <w:bookmarkEnd w:id="87"/>
    <w:bookmarkEnd w:id="88"/>
    <w:bookmarkStart w:id="102" w:name="Xc3ff8f5e2db892cc88cf88ab768c0a714ed90e0"/>
    <w:p>
      <w:pPr>
        <w:pStyle w:val="Heading1"/>
        <w:widowControl/>
      </w:pPr>
      <w:r>
        <w:t xml:space="preserve">Sensitivity, Failure Analysis, and Limitations</w:t>
      </w:r>
    </w:p>
    <w:bookmarkStart w:id="89" w:name="radius-and-decision-yield"/>
    <w:p>
      <w:pPr>
        <w:pStyle w:val="Heading2"/>
        <w:widowControl/>
      </w:pPr>
      <w:r>
        <w:t xml:space="preserve">Radius and Decision Yield</w:t>
      </w:r>
    </w:p>
    <w:p>
      <w:pPr>
        <w:pStyle w:val="FirstParagraph"/>
        <w:widowControl/>
      </w:pPr>
      <w:r>
        <w:t xml:space="preserve">Increasing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weakly reduces strict decisions and can increase regret when abstention</w:t>
      </w:r>
      <w:r>
        <w:t xml:space="preserve"> </w:t>
      </w:r>
      <w:r>
        <w:t xml:space="preserve">retains a suboptimal frozen model. Removing the radius increases yield but removes the coverage-based</w:t>
      </w:r>
      <w:r>
        <w:t xml:space="preserve"> </w:t>
      </w:r>
      <w:r>
        <w:t xml:space="preserve">reason for a strict sign. Consequently regret and certification are separate axes; a low-regret</w:t>
      </w:r>
      <w:r>
        <w:t xml:space="preserve"> </w:t>
      </w:r>
      <w:r>
        <w:t xml:space="preserve">point gate is not automatically a valid gate.</w:t>
      </w:r>
    </w:p>
    <w:bookmarkEnd w:id="89"/>
    <w:bookmarkStart w:id="90" w:name="safety-level-and-calibration-size"/>
    <w:p>
      <w:pPr>
        <w:pStyle w:val="Heading2"/>
        <w:widowControl/>
      </w:pPr>
      <w:r>
        <w:t xml:space="preserve">Safety Level and Calibration Size</w:t>
      </w:r>
    </w:p>
    <w:p>
      <w:pPr>
        <w:pStyle w:val="FirstParagraph"/>
        <w:widowControl/>
      </w:pPr>
      <w:r>
        <w:t xml:space="preserve">Smaller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raises the order-statistic rank and generally widens the interval. With a small</w:t>
      </w:r>
      <w:r>
        <w:t xml:space="preserve"> </w:t>
      </w:r>
      <w:r>
        <w:t xml:space="preserve">calibration set, the requested rank may exceed the available residuals, in which case the defensible</w:t>
      </w:r>
      <w:r>
        <w:t xml:space="preserve"> </w:t>
      </w:r>
      <w:r>
        <w:t xml:space="preserve">finite-sample response is an infinite radius and abstention. Clamping to the largest residual gives</w:t>
      </w:r>
      <w:r>
        <w:t xml:space="preserve"> </w:t>
      </w:r>
      <w:r>
        <w:t xml:space="preserve">a finite number but does not preserve the same nominal split-conformal statement in that edge case.</w:t>
      </w:r>
    </w:p>
    <w:bookmarkEnd w:id="90"/>
    <w:bookmarkStart w:id="91" w:name="estimator-quality"/>
    <w:p>
      <w:pPr>
        <w:pStyle w:val="Heading2"/>
        <w:widowControl/>
      </w:pPr>
      <w:r>
        <w:t xml:space="preserve">Estimator Quality</w:t>
      </w:r>
    </w:p>
    <w:p>
      <w:pPr>
        <w:pStyle w:val="FirstParagraph"/>
        <w:widowControl/>
      </w:pPr>
      <w:r>
        <w:t xml:space="preserve">A weak</w:t>
      </w:r>
      <w:r>
        <w:t xml:space="preserve"> </w:t>
      </w:r>
      <m:oMath>
        <m:sSub>
          <m:e>
            <m:r>
              <m:t>h</m:t>
            </m:r>
          </m:e>
          <m:sub>
            <m:r>
              <m:t>θ</m:t>
            </m:r>
          </m:sub>
        </m:sSub>
      </m:oMath>
      <w:r>
        <w:t xml:space="preserve"> </w:t>
      </w:r>
      <w:r>
        <w:t xml:space="preserve">can make the radius large or shrink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Δ</m:t>
            </m:r>
          </m:e>
        </m:acc>
      </m:oMath>
      <w:r>
        <w:t xml:space="preserve"> </w:t>
      </w:r>
      <w:r>
        <w:t xml:space="preserve">toward zero, causing avoidable</w:t>
      </w:r>
      <w:r>
        <w:t xml:space="preserve"> </w:t>
      </w:r>
      <w:r>
        <w:t xml:space="preserve">abstention. A flexible model can overfit and make in-sample residuals optimistic. Out-of-fold</w:t>
      </w:r>
      <w:r>
        <w:t xml:space="preserve"> </w:t>
      </w:r>
      <w:r>
        <w:t xml:space="preserve">prediction reduces direct leakage but does not remove dependence among related conditions. These</w:t>
      </w:r>
      <w:r>
        <w:t xml:space="preserve"> </w:t>
      </w:r>
      <w:r>
        <w:t xml:space="preserve">effects must be diagnosed with residuals at the intended deployment unit.</w:t>
      </w:r>
    </w:p>
    <w:bookmarkEnd w:id="91"/>
    <w:bookmarkStart w:id="92" w:name="adapter-and-configuration-transfer"/>
    <w:p>
      <w:pPr>
        <w:pStyle w:val="Heading2"/>
        <w:widowControl/>
      </w:pPr>
      <w:r>
        <w:t xml:space="preserve">Adapter and Configuration Transfer</w:t>
      </w:r>
    </w:p>
    <w:p>
      <w:pPr>
        <w:pStyle w:val="FirstParagraph"/>
        <w:widowControl/>
      </w:pPr>
      <w:r>
        <w:t xml:space="preserve">Changing the adapter changes both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. A benefit model calibrated on Tent therefore has</w:t>
      </w:r>
      <w:r>
        <w:t xml:space="preserve"> </w:t>
      </w:r>
      <w:r>
        <w:t xml:space="preserve">no automatic certificate for EATA or SAR. The maintained implementation refits the benefit model and</w:t>
      </w:r>
      <w:r>
        <w:t xml:space="preserve"> </w:t>
      </w:r>
      <w:r>
        <w:t xml:space="preserve">radius per dataset and adapter. A checkpoint, optimizer, parameter subset, or update-step change is</w:t>
      </w:r>
      <w:r>
        <w:t xml:space="preserve"> </w:t>
      </w:r>
      <w:r>
        <w:t xml:space="preserve">also a calibration-contract change.</w:t>
      </w:r>
    </w:p>
    <w:bookmarkEnd w:id="92"/>
    <w:bookmarkStart w:id="93" w:name="domain-transfer-and-exchangeability"/>
    <w:p>
      <w:pPr>
        <w:pStyle w:val="Heading2"/>
        <w:widowControl/>
      </w:pPr>
      <w:r>
        <w:t xml:space="preserve">Domain Transfer and Exchangeability</w:t>
      </w:r>
    </w:p>
    <w:p>
      <w:pPr>
        <w:pStyle w:val="FirstParagraph"/>
        <w:widowControl/>
      </w:pPr>
      <w:r>
        <w:t xml:space="preserve">Worst-group development radii can be useful sensitivity analyses, but they protect a novel target</w:t>
      </w:r>
      <w:r>
        <w:t xml:space="preserve"> </w:t>
      </w:r>
      <w:r>
        <w:t xml:space="preserve">group only under an additional dominance or exchangeability condition. Taking a maximum over</w:t>
      </w:r>
      <w:r>
        <w:t xml:space="preserve"> </w:t>
      </w:r>
      <w:r>
        <w:t xml:space="preserve">observed development groups does not by itself certify an unseen group. When that condition is not</w:t>
      </w:r>
      <w:r>
        <w:t xml:space="preserve"> </w:t>
      </w:r>
      <w:r>
        <w:t xml:space="preserve">defensible, the system should fail closed and the paper should report the row as descriptive.</w:t>
      </w:r>
    </w:p>
    <w:bookmarkEnd w:id="93"/>
    <w:bookmarkStart w:id="95" w:name="population-budget-is-external"/>
    <w:p>
      <w:pPr>
        <w:pStyle w:val="Heading2"/>
        <w:widowControl/>
      </w:pPr>
      <w:r>
        <w:t xml:space="preserve">Population Budget Is External</w:t>
      </w:r>
    </w:p>
    <w:p>
      <w:pPr>
        <w:pStyle w:val="FirstParagraph"/>
        <w:widowControl/>
      </w:pPr>
      <w:r>
        <w:t xml:space="preserve">The frontier is exact relative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C</m:t>
            </m:r>
          </m:e>
          <m:sub>
            <m:r>
              <m:t>β</m:t>
            </m:r>
          </m:sub>
        </m:sSub>
      </m:oMath>
      <w:r>
        <w:t xml:space="preserve">, but an unlabeled deployment batch cannot</w:t>
      </w:r>
      <w:r>
        <w:t xml:space="preserve"> </w:t>
      </w:r>
      <w:r>
        <w:t xml:space="preserve">verify</w:t>
      </w:r>
      <w:r>
        <w:t xml:space="preserve"> </w:t>
      </w:r>
      <m:oMath>
        <m:r>
          <m:rPr>
            <m:sty m:val="p"/>
          </m:rPr>
          <m:t>|</m:t>
        </m:r>
        <m:r>
          <m:t>γ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β</m:t>
        </m:r>
      </m:oMath>
      <w:r>
        <w:t xml:space="preserve">. A credible budget must come from domain knowledge, a declared coupling,</w:t>
      </w:r>
      <w:r>
        <w:t xml:space="preserve"> </w:t>
      </w:r>
      <w:r>
        <w:t xml:space="preserve">or historical labeled deployments under a transfer assumption. Setting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assumes zero</w:t>
      </w:r>
      <w:r>
        <w:t xml:space="preserve"> </w:t>
      </w:r>
      <w:r>
        <w:t xml:space="preserve">drift; it is not a safe default.</w:t>
      </w:r>
    </w:p>
    <w:p>
      <w:pPr>
        <w:pStyle w:val="BodyText"/>
        <w:widowControl/>
      </w:pPr>
      <w:r>
        <w:t xml:space="preserve">We tested a source-development benefit-scale proxy as a possible operational surrogate for</w:t>
      </w:r>
      <w:r>
        <w:t xml:space="preserve"> </w:t>
      </w:r>
      <m:oMath>
        <m:r>
          <m:t>β</m:t>
        </m:r>
      </m:oMath>
      <w:r>
        <w:t xml:space="preserve">; it does not estimate the theorem’s calibration-drift bound. On CIFAR-10-C, the proxy is</w:t>
      </w:r>
      <w:r>
        <w:t xml:space="preserve"> </w:t>
      </w:r>
      <m:oMath>
        <m:r>
          <m:t>1.4</m:t>
        </m:r>
      </m:oMath>
      <w:r>
        <w:t xml:space="preserve">–</w:t>
      </w:r>
      <m:oMath>
        <m:r>
          <m:t>50</m:t>
        </m:r>
        <m:r>
          <m:rPr>
            <m:sty m:val="p"/>
          </m:rPr>
          <m:t>×</m:t>
        </m:r>
      </m:oMath>
      <w:r>
        <w:t xml:space="preserve"> </w:t>
      </w:r>
      <w:r>
        <w:t xml:space="preserve">too small relative to evaluation-scale discrepancies: 24–73% of cells violate</w:t>
      </w:r>
      <w:r>
        <w:t xml:space="preserve"> </w:t>
      </w:r>
      <w:r>
        <w:t xml:space="preserve">the putative budget, and commit error is 0.4–16.6%. On ImageNet-C, a larger proxy often removes</w:t>
      </w:r>
      <w:r>
        <w:t xml:space="preserve"> </w:t>
      </w:r>
      <w:r>
        <w:t xml:space="preserve">most decisions; 5 of 10 configurations return zero commitments on all 405 cells. We therefore</w:t>
      </w:r>
      <w:r>
        <w:t xml:space="preserve"> </w:t>
      </w:r>
      <w:r>
        <w:t xml:space="preserve">withdraw this surrogate route. The population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remains externally supplied from domain</w:t>
      </w:r>
      <w:r>
        <w:t xml:space="preserve"> </w:t>
      </w:r>
      <w:r>
        <w:t xml:space="preserve">knowledge or a stated assumption.</w:t>
      </w:r>
    </w:p>
    <w:bookmarkStart w:id="94" w:name="Xf18d4c03770926b2e49c07a063d6b2880102e26"/>
    <w:p>
      <w:pPr>
        <w:pStyle w:val="Heading3"/>
        <w:keepNext/>
        <w:widowControl/>
        <w:spacing w:before="100" w:after="20" w:line="252" w:lineRule="auto"/>
      </w:pPr>
      <w:r>
        <w:rPr>
          <w:rFonts w:ascii="Times New Roman" w:hAnsi="Times New Roman" w:eastAsia="Times New Roman" w:cs="Times New Roman"/>
          <w:b/>
          <w:sz w:val="19"/>
        </w:rPr>
        <w:t xml:space="preserve">The theory-to-algorithm link is direct but conditional.</w:t>
      </w:r>
    </w:p>
    <w:p>
      <w:pPr>
        <w:pStyle w:val="FirstParagraph"/>
        <w:widowControl/>
      </w:pPr>
      <w:r>
        <w:t xml:space="preserve">Both layers target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, as Eq. (6) shows. This shared target does not</w:t>
      </w:r>
      <w:r>
        <w:t xml:space="preserve"> </w:t>
      </w:r>
      <w:r>
        <w:t xml:space="preserve">prove that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risk-aligned, that</w:t>
      </w:r>
      <w:r>
        <w:t xml:space="preserve"> </w:t>
      </w:r>
      <m:oMath>
        <m:sSub>
          <m:e>
            <m:r>
              <m:t>h</m:t>
            </m:r>
          </m:e>
          <m:sub>
            <m:r>
              <m:t>θ</m:t>
            </m:r>
          </m:sub>
        </m:sSub>
      </m:oMath>
      <w:r>
        <w:t xml:space="preserve"> </w:t>
      </w:r>
      <w:r>
        <w:t xml:space="preserve">transfers, or that residual coverage holds in a new</w:t>
      </w:r>
      <w:r>
        <w:t xml:space="preserve"> </w:t>
      </w:r>
      <w:r>
        <w:t xml:space="preserve">domain. Those remain external validity requirements. KGA applies the three-way decision through an</w:t>
      </w:r>
      <w:r>
        <w:t xml:space="preserve"> </w:t>
      </w:r>
      <w:r>
        <w:t xml:space="preserve">interval; it does not learn the population assumptions.</w:t>
      </w:r>
    </w:p>
    <w:bookmarkEnd w:id="94"/>
    <w:bookmarkEnd w:id="95"/>
    <w:bookmarkStart w:id="97" w:name="Xd2faa8ece35ac07c214c493436060e83aed8e72"/>
    <w:p>
      <w:pPr>
        <w:pStyle w:val="Heading2"/>
        <w:widowControl/>
      </w:pPr>
      <w:r>
        <w:t xml:space="preserve">Controlled-Grid Dependence and Natural-Shift Limits</w:t>
      </w:r>
    </w:p>
    <w:p>
      <w:pPr>
        <w:pStyle w:val="FirstParagraph"/>
        <w:widowControl/>
      </w:pPr>
      <w:r>
        <w:t xml:space="preserve">CIFAR-10-C is large and mixed, but related cells share corruption families, severities, and</w:t>
      </w:r>
      <w:r>
        <w:t xml:space="preserve"> </w:t>
      </w:r>
      <w:r>
        <w:t xml:space="preserve">checkpoints. Leave-one-cell-out evaluation is weaker than holding out an entire corruption family or</w:t>
      </w:r>
      <w:r>
        <w:t xml:space="preserve"> </w:t>
      </w:r>
      <w:r>
        <w:t xml:space="preserve">an independent physical deployment. We therefore describe Tent and EATA as controlled exact-rank</w:t>
      </w:r>
      <w:r>
        <w:t xml:space="preserve"> </w:t>
      </w:r>
      <w:r>
        <w:t xml:space="preserve">point gains. The retrospective current-policy family analysis gives Tent positive ordinary</w:t>
      </w:r>
      <w:r>
        <w:t xml:space="preserve"> </w:t>
      </w:r>
      <w:r>
        <w:t xml:space="preserve">intervals, but the preregistered six-comparison Holm gate fails and the six families share one</w:t>
      </w:r>
      <w:r>
        <w:t xml:space="preserve"> </w:t>
      </w:r>
      <w:r>
        <w:t xml:space="preserve">archived checkpoint. The older earlier-policy cluster artifact remains separate historical evidence.</w:t>
      </w:r>
      <w:r>
        <w:t xml:space="preserve"> </w:t>
      </w:r>
      <w:r>
        <w:t xml:space="preserve">Neither result proves independent-checkpoint stability or natural-domain transfer.</w:t>
      </w:r>
    </w:p>
    <w:bookmarkStart w:id="96" w:name="natural-evidence-is-mostly-no-harm."/>
    <w:p>
      <w:pPr>
        <w:pStyle w:val="Heading3"/>
        <w:keepNext/>
        <w:widowControl/>
        <w:spacing w:before="100" w:after="20" w:line="252" w:lineRule="auto"/>
      </w:pPr>
      <w:r>
        <w:rPr>
          <w:rFonts w:ascii="Times New Roman" w:hAnsi="Times New Roman" w:eastAsia="Times New Roman" w:cs="Times New Roman"/>
          <w:b/>
          <w:sz w:val="19"/>
        </w:rPr>
        <w:t xml:space="preserve">Natural evidence is mostly no-harm.</w:t>
      </w:r>
    </w:p>
    <w:p>
      <w:pPr>
        <w:pStyle w:val="FirstParagraph"/>
        <w:widowControl/>
      </w:pPr>
      <w:r>
        <w:t xml:space="preserve">Several natural rows tie the better fixed policy because the candidate is one-sided and KGA makes</w:t>
      </w:r>
      <w:r>
        <w:t xml:space="preserve"> </w:t>
      </w:r>
      <w:r>
        <w:t xml:space="preserve">few or no adapt decisions. Such behavior can be appropriate, but it does not demonstrate an</w:t>
      </w:r>
      <w:r>
        <w:t xml:space="preserve"> </w:t>
      </w:r>
      <w:r>
        <w:t xml:space="preserve">accuracy breakthrough. A genuinely unopened or hidden-label natural beats-both result remains open.</w:t>
      </w:r>
    </w:p>
    <w:bookmarkEnd w:id="96"/>
    <w:bookmarkEnd w:id="97"/>
    <w:bookmarkStart w:id="100" w:name="X399a4a8b50a56dd28d520027e3818637171f04a"/>
    <w:p>
      <w:pPr>
        <w:pStyle w:val="Heading2"/>
        <w:widowControl/>
      </w:pPr>
      <w:r>
        <w:t xml:space="preserve">Search, Multiplicity, and Selective Reporting</w:t>
      </w:r>
    </w:p>
    <w:bookmarkStart w:id="98" w:name="X04ecc2dd296ab29472bdf8276284fd423ff07ed"/>
    <w:p>
      <w:pPr>
        <w:pStyle w:val="Heading3"/>
        <w:keepNext/>
        <w:widowControl/>
        <w:spacing w:before="100" w:after="20" w:line="252" w:lineRule="auto"/>
      </w:pPr>
      <w:r>
        <w:rPr>
          <w:rFonts w:ascii="Times New Roman" w:hAnsi="Times New Roman" w:eastAsia="Times New Roman" w:cs="Times New Roman"/>
          <w:b/>
          <w:sz w:val="19"/>
        </w:rPr>
        <w:t xml:space="preserve">Canonicalization does not create missing evidence.</w:t>
      </w:r>
    </w:p>
    <w:p>
      <w:pPr>
        <w:pStyle w:val="FirstParagraph"/>
        <w:widowControl/>
      </w:pPr>
      <w:r>
        <w:t xml:space="preserve">The reconciler removes numerical contradictions and preserves source hashes, but it cannot recover</w:t>
      </w:r>
      <w:r>
        <w:t xml:space="preserve"> </w:t>
      </w:r>
      <w:r>
        <w:t xml:space="preserve">unlogged residuals, pre-registration, or independent replication. PACS remains aggregate-only;</w:t>
      </w:r>
      <w:r>
        <w:t xml:space="preserve"> </w:t>
      </w:r>
      <w:r>
        <w:t xml:space="preserve">Office-Home retains a transfer-stability caveat; iWildCam is withheld for a metric-contract rerun;</w:t>
      </w:r>
      <w:r>
        <w:t xml:space="preserve"> </w:t>
      </w:r>
      <w:r>
        <w:t xml:space="preserve">ImageNet-R is an architecture-panel diagnostic. The table exposes these limitations rather than</w:t>
      </w:r>
      <w:r>
        <w:t xml:space="preserve"> </w:t>
      </w:r>
      <w:r>
        <w:t xml:space="preserve">imputing missing values.</w:t>
      </w:r>
    </w:p>
    <w:bookmarkEnd w:id="98"/>
    <w:bookmarkStart w:id="99" w:name="search-history."/>
    <w:p>
      <w:pPr>
        <w:pStyle w:val="Heading3"/>
        <w:keepNext/>
        <w:widowControl/>
        <w:spacing w:before="100" w:after="20" w:line="252" w:lineRule="auto"/>
      </w:pPr>
      <w:r>
        <w:rPr>
          <w:rFonts w:ascii="Times New Roman" w:hAnsi="Times New Roman" w:eastAsia="Times New Roman" w:cs="Times New Roman"/>
          <w:b/>
          <w:sz w:val="19"/>
        </w:rPr>
        <w:t xml:space="preserve">Search history.</w:t>
      </w:r>
    </w:p>
    <w:p>
      <w:pPr>
        <w:pStyle w:val="FirstParagraph"/>
        <w:widowControl/>
      </w:pPr>
      <w:r>
        <w:t xml:space="preserve">The repository contains many exploratory configurations. One superseded review census reported</w:t>
      </w:r>
      <w:r>
        <w:t xml:space="preserve"> </w:t>
      </w:r>
      <w:r>
        <w:t xml:space="preserve">1,387 determinations and 326 positives (23.5%); a broader archived scan reported 1,427</w:t>
      </w:r>
      <w:r>
        <w:t xml:space="preserve"> </w:t>
      </w:r>
      <w:r>
        <w:t xml:space="preserve">determinations and 345 positives. Because neither census froze one reproducible family definition,</w:t>
      </w:r>
      <w:r>
        <w:t xml:space="preserve"> </w:t>
      </w:r>
      <w:r>
        <w:t xml:space="preserve">file list, and commit, neither total is promoted as the release</w:t>
      </w:r>
      <w:r>
        <w:t xml:space="preserve"> </w:t>
      </w:r>
      <w:r>
        <w:t xml:space="preserve">multiplicity family. We instead report a current post-hoc reconciled panel and do not relabel its</w:t>
      </w:r>
      <w:r>
        <w:t xml:space="preserve"> </w:t>
      </w:r>
      <w:r>
        <w:t xml:space="preserve">favorable rows as confirmatory discoveries. Future claims should declare the candidate, calibration</w:t>
      </w:r>
      <w:r>
        <w:t xml:space="preserve"> </w:t>
      </w:r>
      <w:r>
        <w:t xml:space="preserve">unit, target unit, seed structure, inference unit, and beats-both rule before test labels are opened.</w:t>
      </w:r>
    </w:p>
    <w:bookmarkEnd w:id="99"/>
    <w:bookmarkEnd w:id="100"/>
    <w:bookmarkStart w:id="101" w:name="physical-deployment-and-runtime-limits"/>
    <w:p>
      <w:pPr>
        <w:pStyle w:val="Heading2"/>
        <w:widowControl/>
      </w:pPr>
      <w:r>
        <w:t xml:space="preserve">Physical Deployment and Runtime Limits</w:t>
      </w:r>
    </w:p>
    <w:p>
      <w:pPr>
        <w:pStyle w:val="FirstParagraph"/>
        <w:widowControl/>
      </w:pPr>
      <w:r>
        <w:t xml:space="preserve">The repository contains a dashboard and a camera-study protocol, but no held-out physical result.</w:t>
      </w:r>
      <w:r>
        <w:t xml:space="preserve"> </w:t>
      </w:r>
      <w:r>
        <w:t xml:space="preserve">We therefore make no real-camera claim. A future study should separate sessions by day and device,</w:t>
      </w:r>
      <w:r>
        <w:t xml:space="preserve"> </w:t>
      </w:r>
      <w:r>
        <w:t xml:space="preserve">keep fitting and calibration separate from testing, hide live labels, replay the same stream for</w:t>
      </w:r>
      <w:r>
        <w:t xml:space="preserve"> </w:t>
      </w:r>
      <w:r>
        <w:t xml:space="preserve">every policy, and report accuracy, regret, false adaptations, decision rates, and total latency.</w:t>
      </w:r>
    </w:p>
    <w:bookmarkEnd w:id="101"/>
    <w:bookmarkEnd w:id="102"/>
    <w:bookmarkStart w:id="108" w:name="reproducibility-and-artifact-scope"/>
    <w:p>
      <w:pPr>
        <w:pStyle w:val="Heading1"/>
        <w:widowControl/>
      </w:pPr>
      <w:r>
        <w:t xml:space="preserve">Reproducibility and Artifact Scope</w:t>
      </w:r>
    </w:p>
    <w:bookmarkStart w:id="103" w:name="canonical-numerical-source-of-truth"/>
    <w:p>
      <w:pPr>
        <w:pStyle w:val="Heading2"/>
        <w:widowControl/>
      </w:pPr>
      <w:r>
        <w:t xml:space="preserve">Canonical Numerical Source of Truth</w:t>
      </w:r>
    </w:p>
    <w:p>
      <w:pPr>
        <w:pStyle w:val="FirstParagraph"/>
        <w:widowControl/>
      </w:pPr>
      <w:r>
        <w:t xml:space="preserve">The point estimates in Table 4 have one numerical source:</w:t>
      </w:r>
      <w:r>
        <w:t xml:space="preserve"> </w:t>
      </w:r>
      <w:r>
        <w:rPr>
          <w:rStyle w:val="VerbatimChar"/>
        </w:rPr>
        <w:t xml:space="preserve">experiments/kbound/results/reconciled_panels_v1/canonical_panel_results.json</w:t>
      </w:r>
      <w:r>
        <w:t xml:space="preserve">. Its compact</w:t>
      </w:r>
      <w:r>
        <w:t xml:space="preserve"> </w:t>
      </w:r>
      <w:r>
        <w:t xml:space="preserve">source manifest has SHA-256 391983f4fa09d65c256ab8c620fea772866b652c219dad0c36574ce38c740482. Named auxiliary artifacts support only</w:t>
      </w:r>
      <w:r>
        <w:t xml:space="preserve"> </w:t>
      </w:r>
      <w:r>
        <w:t xml:space="preserve">their stated roles. The code-bound current-policy family sensitivity is retrospective and fails the</w:t>
      </w:r>
      <w:r>
        <w:t xml:space="preserve"> </w:t>
      </w:r>
      <w:r>
        <w:t xml:space="preserve">preregistered six-comparison Holm gate; the earlier Tent cluster artifact and archived POEM/AETTA</w:t>
      </w:r>
      <w:r>
        <w:t xml:space="preserve"> </w:t>
      </w:r>
      <w:r>
        <w:t xml:space="preserve">comparison remain historical. None overwrites the canonical point-estimate panel. The generated</w:t>
      </w:r>
      <w:r>
        <w:t xml:space="preserve"> </w:t>
      </w:r>
      <w:r>
        <w:t xml:space="preserve">result manifest indexes every promoted claim and its scope.</w:t>
      </w:r>
    </w:p>
    <w:bookmarkEnd w:id="103"/>
    <w:bookmarkStart w:id="104" w:name="reproduction-pipeline"/>
    <w:p>
      <w:pPr>
        <w:pStyle w:val="Heading2"/>
        <w:widowControl/>
      </w:pPr>
      <w:r>
        <w:t xml:space="preserve">Reproduction Pipeline</w:t>
      </w:r>
    </w:p>
    <w:p>
      <w:pPr>
        <w:pStyle w:val="FirstParagraph"/>
        <w:widowControl/>
      </w:pPr>
      <w:r>
        <w:t xml:space="preserve">From the repository root, the maintained sequence is:</w:t>
      </w:r>
    </w:p>
    <w:p>
      <w:pPr>
        <w:pStyle w:val="BlockText"/>
        <w:widowControl/>
      </w:pPr>
      <w:r>
        <w:rPr>
          <w:rStyle w:val="VerbatimChar"/>
        </w:rPr>
        <w:t xml:space="preserve">BUILD_LONG_TMLR=1 bash </w:t>
      </w:r>
      <w:r>
        <w:rPr>
          <w:rStyle w:val="VerbatimChar"/>
        </w:rPr>
        <w:t xml:space="preserve">docs/research/kbound/scripts/build_pdfs.sh</w:t>
      </w:r>
    </w:p>
    <w:p>
      <w:pPr>
        <w:pStyle w:val="FirstParagraph"/>
        <w:widowControl/>
      </w:pPr>
      <w:r>
        <w:t xml:space="preserve">The script reconciles source-hashed records, synchronizes structured manifests, regenerates tables,</w:t>
      </w:r>
      <w:r>
        <w:t xml:space="preserve"> </w:t>
      </w:r>
      <w:r>
        <w:t xml:space="preserve">macros, and figures, and builds both layouts. It consumes frozen model outputs; it does not rerun</w:t>
      </w:r>
      <w:r>
        <w:t xml:space="preserve"> </w:t>
      </w:r>
      <w:r>
        <w:t xml:space="preserve">training.</w:t>
      </w:r>
    </w:p>
    <w:bookmarkEnd w:id="104"/>
    <w:bookmarkStart w:id="105" w:name="X9957adf7fa225ce072954e56d4b73d6fb4b3c60"/>
    <w:p>
      <w:pPr>
        <w:pStyle w:val="Heading2"/>
        <w:widowControl/>
      </w:pPr>
      <w:r>
        <w:t xml:space="preserve">Calibration Identity and Implementation Contract</w:t>
      </w:r>
    </w:p>
    <w:p>
      <w:pPr>
        <w:pStyle w:val="FirstParagraph"/>
        <w:widowControl/>
      </w:pPr>
      <w:r>
        <w:t xml:space="preserve">The maintained API binds a certificate to the checkpoint, adapter configuration, evidence schema,</w:t>
      </w:r>
      <w:r>
        <w:t xml:space="preserve"> </w:t>
      </w:r>
      <w:r>
        <w:t xml:space="preserve">benefit estimator, residual construction, safety level, and scoring unit. The deployment path must</w:t>
      </w:r>
      <w:r>
        <w:t xml:space="preserve"> </w:t>
      </w:r>
      <w:r>
        <w:t xml:space="preserve">fail closed when any identity differs.</w:t>
      </w:r>
      <w:r>
        <w:t xml:space="preserve"> </w:t>
      </w:r>
      <w:r>
        <w:rPr>
          <w:rStyle w:val="VerbatimChar"/>
        </w:rPr>
        <w:t xml:space="preserve">KGA.certify_evidence</w:t>
      </w:r>
      <w:r>
        <w:t xml:space="preserve"> </w:t>
      </w:r>
      <w:r>
        <w:t xml:space="preserve">requires a frozen estimator,</w:t>
      </w:r>
      <w:r>
        <w:t xml:space="preserve"> </w:t>
      </w:r>
      <w:r>
        <w:t xml:space="preserve">the exact schema, a protocol hash, and a separate residual set. The lower-level</w:t>
      </w:r>
      <w:r>
        <w:t xml:space="preserve"> </w:t>
      </w:r>
      <w:r>
        <w:rPr>
          <w:rStyle w:val="VerbatimChar"/>
        </w:rPr>
        <w:t xml:space="preserve">certify</w:t>
      </w:r>
      <w:r>
        <w:t xml:space="preserve"> </w:t>
      </w:r>
      <w:r>
        <w:t xml:space="preserve">function is an audit interface; it does not construct evidence or validate</w:t>
      </w:r>
      <w:r>
        <w:t xml:space="preserve"> </w:t>
      </w:r>
      <w:r>
        <w:t xml:space="preserve">transfer by itself.</w:t>
      </w:r>
    </w:p>
    <w:bookmarkEnd w:id="105"/>
    <w:bookmarkStart w:id="106" w:name="formalization-and-lean-scope"/>
    <w:p>
      <w:pPr>
        <w:pStyle w:val="Heading2"/>
        <w:widowControl/>
      </w:pPr>
      <w:r>
        <w:t xml:space="preserve">Formalization and Lean Scope</w:t>
      </w:r>
    </w:p>
    <w:p>
      <w:pPr>
        <w:pStyle w:val="FirstParagraph"/>
        <w:widowControl/>
      </w:pPr>
      <w:r>
        <w:t xml:space="preserve">Lean artifacts and validators check the encoded theorem cores and selected finite constructions.</w:t>
      </w:r>
      <w:r>
        <w:t xml:space="preserve"> </w:t>
      </w:r>
      <w:r>
        <w:t xml:space="preserve">They do not certify dataset correctness, preprocessing, empirical transfer, exchangeability, or</w:t>
      </w:r>
      <w:r>
        <w:t xml:space="preserve"> </w:t>
      </w:r>
      <w:r>
        <w:t xml:space="preserve">every deployment assumption stated in prose. Machine checking strengthens the statements it</w:t>
      </w:r>
      <w:r>
        <w:t xml:space="preserve"> </w:t>
      </w:r>
      <w:r>
        <w:t xml:space="preserve">encodes; it does not validate the benchmark pipeline outside those statements.</w:t>
      </w:r>
    </w:p>
    <w:bookmarkEnd w:id="106"/>
    <w:bookmarkStart w:id="107" w:name="release-checklist-and-audit-logs"/>
    <w:p>
      <w:pPr>
        <w:pStyle w:val="Heading2"/>
        <w:widowControl/>
      </w:pPr>
      <w:r>
        <w:t xml:space="preserve">Release Checklist and Audit Logs</w:t>
      </w:r>
    </w:p>
    <w:p>
      <w:pPr>
        <w:pStyle w:val="FirstParagraph"/>
        <w:widowControl/>
      </w:pPr>
      <w:r>
        <w:t xml:space="preserve">The Phase-1 provenance audit matches all 106 canonical source/compact hash pairs, all 10 recoverable</w:t>
      </w:r>
      <w:r>
        <w:t xml:space="preserve"> </w:t>
      </w:r>
      <w:r>
        <w:t xml:space="preserve">configuration hashes, and all 6 archived checkpoint hashes; it also records a 21-file current-code</w:t>
      </w:r>
      <w:r>
        <w:t xml:space="preserve"> </w:t>
      </w:r>
      <w:r>
        <w:t xml:space="preserve">snapshot. Historical runs that did not serialize full identity remain explicitly partial rather</w:t>
      </w:r>
      <w:r>
        <w:t xml:space="preserve"> </w:t>
      </w:r>
      <w:r>
        <w:t xml:space="preserve">than being backfilled. The release gate runs reconciliation tests, claim-ledger and result-manifest</w:t>
      </w:r>
      <w:r>
        <w:t xml:space="preserve"> </w:t>
      </w:r>
      <w:r>
        <w:t xml:space="preserve">validation, manuscript checks, LaTeX builds, checksum verification, and visual PDF inspection. Build</w:t>
      </w:r>
      <w:r>
        <w:t xml:space="preserve"> </w:t>
      </w:r>
      <w:r>
        <w:t xml:space="preserve">logs, the canonical manifest, the provenance seal, and the final PDFs are archived together.</w:t>
      </w:r>
    </w:p>
    <w:p>
      <w:pPr>
        <w:pStyle w:val="BodyText"/>
        <w:widowControl/>
      </w:pPr>
      <w:r>
        <w:t xml:space="preserve">Repository URLs and author-identifying metadata must be withheld or redacted for a double-blind</w:t>
      </w:r>
      <w:r>
        <w:t xml:space="preserve"> </w:t>
      </w:r>
      <w:r>
        <w:t xml:space="preserve">venue. The local paths above describe artifact roles without providing a public identity link.</w:t>
      </w:r>
    </w:p>
    <w:bookmarkEnd w:id="107"/>
    <w:bookmarkEnd w:id="108"/>
    <w:bookmarkStart w:id="111" w:name="conclusion"/>
    <w:p>
      <w:pPr>
        <w:pStyle w:val="Heading1"/>
        <w:widowControl/>
      </w:pPr>
      <w:r>
        <w:t xml:space="preserve">Conclusion</w:t>
      </w:r>
    </w:p>
    <w:bookmarkStart w:id="109" w:name="main-conclusion"/>
    <w:p>
      <w:pPr>
        <w:pStyle w:val="Heading2"/>
        <w:widowControl/>
      </w:pPr>
      <w:r>
        <w:t xml:space="preserve">Main Conclusion</w:t>
      </w:r>
    </w:p>
    <w:p>
      <w:pPr>
        <w:pStyle w:val="FirstParagraph"/>
        <w:widowControl/>
      </w:pPr>
      <w:r>
        <w:t xml:space="preserve">K-Bound treats test-time adaptation as a decision about a proposed update. In the binary population</w:t>
      </w:r>
      <w:r>
        <w:t xml:space="preserve"> </w:t>
      </w:r>
      <w:r>
        <w:t xml:space="preserve">model, a declared drift class supports a strict adapt or freeze action exactly when</w:t>
      </w:r>
      <w:r>
        <w:t xml:space="preserve"> </w:t>
      </w:r>
      <m:oMath>
        <m:r>
          <m:rPr>
            <m:sty m:val="p"/>
          </m:rPr>
          <m:t>|</m:t>
        </m:r>
        <m:r>
          <m:t>M</m:t>
        </m:r>
        <m:r>
          <m:rPr>
            <m:sty m:val="p"/>
          </m:rPr>
          <m:t>|</m:t>
        </m:r>
        <m:r>
          <m:rPr>
            <m:sty m:val="p"/>
          </m:rPr>
          <m:t>&gt;</m:t>
        </m:r>
        <m:r>
          <m:t>β</m:t>
        </m:r>
      </m:oMath>
      <w:r>
        <w:t xml:space="preserve">. Inside</w:t>
      </w:r>
      <w:r>
        <w:t xml:space="preserve"> </w:t>
      </w:r>
      <m:oMath>
        <m:r>
          <m:rPr>
            <m:sty m:val="p"/>
          </m:rPr>
          <m:t>|</m:t>
        </m:r>
        <m:r>
          <m:t>M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β</m:t>
        </m:r>
      </m:oMath>
      <w:r>
        <w:t xml:space="preserve">, the available label-free evidence does not support a uniform</w:t>
      </w:r>
      <w:r>
        <w:t xml:space="preserve"> </w:t>
      </w:r>
      <w:r>
        <w:t xml:space="preserve">strict direction, so abstention is required. KGA handles the practical finite-sample problem. It</w:t>
      </w:r>
      <w:r>
        <w:t xml:space="preserve"> </w:t>
      </w:r>
      <w:r>
        <w:t xml:space="preserve">estimates the same benefit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and acts only when the calibrated interval excludes zero. The</w:t>
      </w:r>
      <w:r>
        <w:t xml:space="preserve"> </w:t>
      </w:r>
      <w:r>
        <w:t xml:space="preserve">two layers share a target, but their uncertainty quantities are not interchangeable: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not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Δ</m:t>
            </m:r>
          </m:e>
        </m:acc>
      </m:oMath>
      <w:r>
        <w:t xml:space="preserve">, 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t>ε</m:t>
        </m:r>
      </m:oMath>
      <w:r>
        <w:t xml:space="preserve">.</w:t>
      </w:r>
    </w:p>
    <w:p>
      <w:pPr>
        <w:pStyle w:val="BodyText"/>
        <w:widowControl/>
      </w:pPr>
      <w:r>
        <w:t xml:space="preserve">The evidence supports a specific conclusion. In controlled mixed conditions, KGA gives exact-rank</w:t>
      </w:r>
      <w:r>
        <w:t xml:space="preserve"> </w:t>
      </w:r>
      <w:r>
        <w:t xml:space="preserve">point gains over both fixed policies for Tent and EATA, while SAR loses to always-adapt. Tent’s</w:t>
      </w:r>
      <w:r>
        <w:t xml:space="preserve"> </w:t>
      </w:r>
      <w:r>
        <w:t xml:space="preserve">retrospective current-policy six-family intervals are positive, but its preregistered six-comparison</w:t>
      </w:r>
      <w:r>
        <w:t xml:space="preserve"> </w:t>
      </w:r>
      <w:r>
        <w:t xml:space="preserve">Holm values are</w:t>
      </w:r>
      <w:r>
        <w:t xml:space="preserve"> </w:t>
      </w:r>
      <m:oMath>
        <m:r>
          <m:t>0.09375</m:t>
        </m:r>
      </m:oMath>
      <w:r>
        <w:t xml:space="preserve"> </w:t>
      </w:r>
      <w:r>
        <w:t xml:space="preserve">against both baselines. No cluster-robust or confirmatory gain is therefore</w:t>
      </w:r>
      <w:r>
        <w:t xml:space="preserve"> </w:t>
      </w:r>
      <w:r>
        <w:t xml:space="preserve">promoted. On natural and semantic shifts, KGA mainly matches the better one-sided policy or records a</w:t>
      </w:r>
      <w:r>
        <w:t xml:space="preserve"> </w:t>
      </w:r>
      <w:r>
        <w:t xml:space="preserve">negative diagnostic. In the locked CCT-20 study, it matched always freeze and beat always adapt,</w:t>
      </w:r>
      <w:r>
        <w:t xml:space="preserve"> </w:t>
      </w:r>
      <w:r>
        <w:t xml:space="preserve">but made no ADAPT decisions and therefore failed the stronger protocol test. These results support</w:t>
      </w:r>
      <w:r>
        <w:t xml:space="preserve"> </w:t>
      </w:r>
      <w:r>
        <w:t xml:space="preserve">a fail-closed rollback design for avoiding unsupported updates in the observed protocols. They do</w:t>
      </w:r>
      <w:r>
        <w:t xml:space="preserve"> </w:t>
      </w:r>
      <w:r>
        <w:t xml:space="preserve">not establish general safety, selective natural-shift routing, or a universal accuracy claim.</w:t>
      </w:r>
    </w:p>
    <w:bookmarkEnd w:id="109"/>
    <w:bookmarkStart w:id="110" w:name="next-confirmatory-experiment"/>
    <w:p>
      <w:pPr>
        <w:pStyle w:val="Heading2"/>
        <w:widowControl/>
      </w:pPr>
      <w:r>
        <w:t xml:space="preserve">Next Confirmatory Experiment</w:t>
      </w:r>
    </w:p>
    <w:p>
      <w:pPr>
        <w:pStyle w:val="FirstParagraph"/>
        <w:widowControl/>
      </w:pPr>
      <w:r>
        <w:t xml:space="preserve">The next empirical step is clear. A new prospectively locked study should lock the adapter, evidence schema,</w:t>
      </w:r>
      <w:r>
        <w:t xml:space="preserve"> </w:t>
      </w:r>
      <w:r>
        <w:t xml:space="preserve">calibration unit, scoring unit, and inference unit before target labels are opened. It should use a</w:t>
      </w:r>
      <w:r>
        <w:t xml:space="preserve"> </w:t>
      </w:r>
      <w:r>
        <w:t xml:space="preserve">separate calibration partition and then evaluate unopened natural target environments containing</w:t>
      </w:r>
      <w:r>
        <w:t xml:space="preserve"> </w:t>
      </w:r>
      <w:r>
        <w:t xml:space="preserve">both helpful and harmful updates. A meaningful test requires nontrivial adapt and freeze exposure,</w:t>
      </w:r>
      <w:r>
        <w:t xml:space="preserve"> </w:t>
      </w:r>
      <w:r>
        <w:t xml:space="preserve">predeclared paired regret gaps against both fixed policies, and labels joined only after every</w:t>
      </w:r>
      <w:r>
        <w:t xml:space="preserve"> </w:t>
      </w:r>
      <w:r>
        <w:t xml:space="preserve">decision is fixed. Such a study would answer the practical question at the center of this paper:</w:t>
      </w:r>
      <w:r>
        <w:t xml:space="preserve"> </w:t>
      </w:r>
      <w:r>
        <w:t xml:space="preserve">can label-free evidence identify when an update is worth the risk?</w:t>
      </w:r>
    </w:p>
    <w:bookmarkEnd w:id="110"/>
    <w:bookmarkEnd w:id="111"/>
    <w:bookmarkStart w:id="112" w:name="compact-assumption-and-claim-ledger"/>
    <w:p>
      <w:pPr>
        <w:pStyle w:val="Heading1"/>
        <w:widowControl/>
      </w:pPr>
      <w:r>
        <w:t xml:space="preserve">Compact Assumption and Claim Ledger</w:t>
      </w:r>
    </w:p>
    <w:p>
      <w:pPr>
        <w:pStyle w:val="TableCaption"/>
        <w:widowControl/>
      </w:pPr>
      <w:r>
        <w:t xml:space="preserve">Table 9. Claim-to-support ledger for the compact submission.</w:t>
      </w:r>
      <w:r>
        <w:t xml:space="preserve"> </w:t>
      </w:r>
      <w:r>
        <w:t xml:space="preserve">“Requirement”</w:t>
      </w:r>
      <w:r>
        <w:t xml:space="preserve"> </w:t>
      </w:r>
      <w:r>
        <w:t xml:space="preserve">states what must be</w:t>
      </w:r>
      <w:r>
        <w:t xml:space="preserve"> </w:t>
      </w:r>
      <w:r>
        <w:t xml:space="preserve">true in addition to the displayed result.</w:t>
      </w:r>
    </w:p>
    <w:tbl>
      <w:tblPr>
        <w:tblStyle w:val="Table"/>
        <w:tblW w:type="dxa" w:w="9960"/>
        <w:jc w:val="left"/>
        <w:tblLayout w:type="fixed"/>
        <w:tblLook w:firstRow="1" w:lastRow="0" w:firstColumn="0" w:lastColumn="0" w:noHBand="0" w:noVBand="0" w:val="0020"/>
        <w:tblCaption w:val="Table 9. Claim-to-support ledger for the compact submission. “Requirement” states what must be true in addition to the displayed result."/>
        <w:tblInd w:w="120" w:type="dxa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2224"/>
        <w:gridCol w:w="667"/>
        <w:gridCol w:w="2674"/>
        <w:gridCol w:w="1200"/>
        <w:gridCol w:w="3195"/>
      </w:tblGrid>
      <w:tr>
        <w:trPr>
          <w:tblHeader w:val="on"/>
          <w:tblHeader w:val="true"/>
        </w:trPr>
        <w:tc>
          <w:tcPr>
            <w:tcW w:w="222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E8EEF5"/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Claim</w:t>
            </w:r>
          </w:p>
        </w:tc>
        <w:tc>
          <w:tcPr>
            <w:tcW w:w="667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E8EEF5"/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Type</w:t>
            </w:r>
          </w:p>
        </w:tc>
        <w:tc>
          <w:tcPr>
            <w:tcW w:w="267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E8EEF5"/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Requirement</w:t>
            </w:r>
          </w:p>
        </w:tc>
        <w:tc>
          <w:tcPr>
            <w:tcW w:w="1200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E8EEF5"/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Evidence</w:t>
            </w:r>
          </w:p>
        </w:tc>
        <w:tc>
          <w:tcPr>
            <w:tcW w:w="3195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E8EEF5"/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Caveat</w:t>
            </w:r>
          </w:p>
        </w:tc>
      </w:tr>
      <w:tr>
        <w:tc>
          <w:tcPr>
            <w:tcW w:w="222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Interior matched-evidence impossibility</w:t>
            </w:r>
          </w:p>
        </w:tc>
        <w:tc>
          <w:tcPr>
            <w:tcW w:w="667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theorem</w:t>
            </w:r>
          </w:p>
        </w:tc>
        <w:tc>
          <w:tcPr>
            <w:tcW w:w="267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m:oMath>
              <m:r>
                <m:t>β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Fonts w:ascii="Times New Roman" w:hAnsi="Times New Roman"/>
                <w:sz w:val="15"/>
              </w:rPr>
              <w:t xml:space="preserve">,</w:t>
            </w:r>
            <w:r>
              <w:rPr>
                <w:rFonts w:ascii="Times New Roman" w:hAnsi="Times New Roman"/>
                <w:sz w:val="15"/>
              </w:rP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M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&lt;</m:t>
              </m:r>
              <m:r>
                <m:t>β</m:t>
              </m:r>
            </m:oMath>
            <w:r>
              <w:rPr>
                <w:rFonts w:ascii="Times New Roman" w:hAnsi="Times New Roman"/>
                <w:sz w:val="15"/>
              </w:rPr>
              <w:t xml:space="preserve">, full fibre richness</w:t>
            </w:r>
          </w:p>
        </w:tc>
        <w:tc>
          <w:tcPr>
            <w:tcW w:w="1200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Thm. 1</w:t>
            </w:r>
          </w:p>
        </w:tc>
        <w:tc>
          <w:tcPr>
            <w:tcW w:w="3195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binary,</w:t>
            </w:r>
            <w:r>
              <w:rPr>
                <w:rFonts w:ascii="Times New Roman" w:hAnsi="Times New Roman"/>
                <w:sz w:val="15"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/</m:t>
              </m:r>
              <m:r>
                <m:t>1</m:t>
              </m:r>
            </m:oMath>
            <w:r>
              <w:rPr>
                <w:rFonts w:ascii="Times New Roman" w:hAnsi="Times New Roman"/>
                <w:sz w:val="15"/>
              </w:rPr>
              <w:t xml:space="preserve"> </w:t>
            </w:r>
            <w:r>
              <w:rPr>
                <w:rFonts w:ascii="Times New Roman" w:hAnsi="Times New Roman"/>
                <w:sz w:val="15"/>
              </w:rPr>
              <w:t xml:space="preserve">loss</w:t>
            </w:r>
          </w:p>
        </w:tc>
      </w:tr>
      <w:tr>
        <w:tc>
          <w:tcPr>
            <w:tcW w:w="222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Closed-band abstention</w:t>
            </w:r>
          </w:p>
        </w:tc>
        <w:tc>
          <w:tcPr>
            <w:tcW w:w="667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theorem</w:t>
            </w:r>
          </w:p>
        </w:tc>
        <w:tc>
          <w:tcPr>
            <w:tcW w:w="267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strict directional semantics and rich class</w:t>
            </w:r>
          </w:p>
        </w:tc>
        <w:tc>
          <w:tcPr>
            <w:tcW w:w="1200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Prop. 1</w:t>
            </w:r>
          </w:p>
        </w:tc>
        <w:tc>
          <w:tcPr>
            <w:tcW w:w="3195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zero benefit blocks a strict claim</w:t>
            </w:r>
          </w:p>
        </w:tc>
      </w:tr>
      <w:tr>
        <w:tc>
          <w:tcPr>
            <w:tcW w:w="222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Exact strict-commitment frontier</w:t>
            </w:r>
          </w:p>
        </w:tc>
        <w:tc>
          <w:tcPr>
            <w:tcW w:w="667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theorem</w:t>
            </w:r>
          </w:p>
        </w:tc>
        <w:tc>
          <w:tcPr>
            <w:tcW w:w="267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fixed augmented evidence, declared</w:t>
            </w:r>
            <w:r>
              <w:rPr>
                <w:rFonts w:ascii="Times New Roman" w:hAnsi="Times New Roman"/>
                <w:sz w:val="15"/>
              </w:rP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C</m:t>
                  </m:r>
                </m:e>
                <m:sub>
                  <m:r>
                    <m:t>β</m:t>
                  </m:r>
                </m:sub>
              </m:sSub>
            </m:oMath>
          </w:p>
        </w:tc>
        <w:tc>
          <w:tcPr>
            <w:tcW w:w="1200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Thm. 2</w:t>
            </w:r>
          </w:p>
        </w:tc>
        <w:tc>
          <w:tcPr>
            <w:tcW w:w="3195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m:oMath>
              <m:r>
                <m:t>β</m:t>
              </m:r>
            </m:oMath>
            <w:r>
              <w:rPr>
                <w:rFonts w:ascii="Times New Roman" w:hAnsi="Times New Roman"/>
                <w:sz w:val="15"/>
              </w:rPr>
              <w:t xml:space="preserve"> </w:t>
            </w:r>
            <w:r>
              <w:rPr>
                <w:rFonts w:ascii="Times New Roman" w:hAnsi="Times New Roman"/>
                <w:sz w:val="15"/>
              </w:rPr>
              <w:t xml:space="preserve">externally supplied</w:t>
            </w:r>
          </w:p>
        </w:tc>
      </w:tr>
      <w:tr>
        <w:tc>
          <w:tcPr>
            <w:tcW w:w="222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Marginal false-adapt control</w:t>
            </w:r>
          </w:p>
        </w:tc>
        <w:tc>
          <w:tcPr>
            <w:tcW w:w="667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theorem</w:t>
            </w:r>
          </w:p>
        </w:tc>
        <w:tc>
          <w:tcPr>
            <w:tcW w:w="267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Eq. (7)</w:t>
            </w:r>
          </w:p>
        </w:tc>
        <w:tc>
          <w:tcPr>
            <w:tcW w:w="1200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Thm. 4</w:t>
            </w:r>
          </w:p>
        </w:tc>
        <w:tc>
          <w:tcPr>
            <w:tcW w:w="3195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does not bound</w:t>
            </w:r>
            <w:r>
              <w:rPr>
                <w:rFonts w:ascii="Times New Roman" w:hAnsi="Times New Roman"/>
                <w:sz w:val="15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c</m:t>
                  </m:r>
                </m:sub>
              </m:sSub>
            </m:oMath>
          </w:p>
        </w:tc>
      </w:tr>
      <w:tr>
        <w:tc>
          <w:tcPr>
            <w:tcW w:w="222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CIFAR-10-C Tent routing gain</w:t>
            </w:r>
          </w:p>
        </w:tc>
        <w:tc>
          <w:tcPr>
            <w:tcW w:w="667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empirical</w:t>
            </w:r>
          </w:p>
        </w:tc>
        <w:tc>
          <w:tcPr>
            <w:tcW w:w="267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frozen Tent controlled-grid protocol</w:t>
            </w:r>
          </w:p>
        </w:tc>
        <w:tc>
          <w:tcPr>
            <w:tcW w:w="1200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Tables 4 and 5</w:t>
            </w:r>
          </w:p>
        </w:tc>
        <w:tc>
          <w:tcPr>
            <w:tcW w:w="3195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exact-rank point gain; positive ordinary six-family intervals; preregistered Holm fails</w:t>
            </w:r>
          </w:p>
        </w:tc>
      </w:tr>
      <w:tr>
        <w:tc>
          <w:tcPr>
            <w:tcW w:w="222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CIFAR-10-C EATA point gain</w:t>
            </w:r>
          </w:p>
        </w:tc>
        <w:tc>
          <w:tcPr>
            <w:tcW w:w="667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empirical</w:t>
            </w:r>
          </w:p>
        </w:tc>
        <w:tc>
          <w:tcPr>
            <w:tcW w:w="267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frozen EATA controlled-grid protocol</w:t>
            </w:r>
          </w:p>
        </w:tc>
        <w:tc>
          <w:tcPr>
            <w:tcW w:w="1200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Tables 4 and 5</w:t>
            </w:r>
          </w:p>
        </w:tc>
        <w:tc>
          <w:tcPr>
            <w:tcW w:w="3195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adapt-side family interval includes zero; preregistered Holm fails</w:t>
            </w:r>
          </w:p>
        </w:tc>
      </w:tr>
      <w:tr>
        <w:tc>
          <w:tcPr>
            <w:tcW w:w="222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Natural no-harm rows</w:t>
            </w:r>
          </w:p>
        </w:tc>
        <w:tc>
          <w:tcPr>
            <w:tcW w:w="667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empirical</w:t>
            </w:r>
          </w:p>
        </w:tc>
        <w:tc>
          <w:tcPr>
            <w:tcW w:w="267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archived split and candidate remain fixed</w:t>
            </w:r>
          </w:p>
        </w:tc>
        <w:tc>
          <w:tcPr>
            <w:tcW w:w="1200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Table 4</w:t>
            </w:r>
          </w:p>
        </w:tc>
        <w:tc>
          <w:tcPr>
            <w:tcW w:w="3195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often zero adapt exposure</w:t>
            </w:r>
          </w:p>
        </w:tc>
      </w:tr>
      <w:tr>
        <w:tc>
          <w:tcPr>
            <w:tcW w:w="222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ImageNet-C candidate dependence</w:t>
            </w:r>
          </w:p>
        </w:tc>
        <w:tc>
          <w:tcPr>
            <w:tcW w:w="667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diagnostic</w:t>
            </w:r>
          </w:p>
        </w:tc>
        <w:tc>
          <w:tcPr>
            <w:tcW w:w="267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candidate rows interpreted separately</w:t>
            </w:r>
          </w:p>
        </w:tc>
        <w:tc>
          <w:tcPr>
            <w:tcW w:w="1200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Table 4</w:t>
            </w:r>
          </w:p>
        </w:tc>
        <w:tc>
          <w:tcPr>
            <w:tcW w:w="3195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no dataset-wide win</w:t>
            </w:r>
          </w:p>
        </w:tc>
      </w:tr>
      <w:tr>
        <w:tc>
          <w:tcPr>
            <w:tcW w:w="222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PACS/ImageNet-R/CIFAR-10.1 nulls</w:t>
            </w:r>
          </w:p>
        </w:tc>
        <w:tc>
          <w:tcPr>
            <w:tcW w:w="667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diagnostic</w:t>
            </w:r>
          </w:p>
        </w:tc>
        <w:tc>
          <w:tcPr>
            <w:tcW w:w="267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canonical replay scope retained</w:t>
            </w:r>
          </w:p>
        </w:tc>
        <w:tc>
          <w:tcPr>
            <w:tcW w:w="1200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Table 4</w:t>
            </w:r>
          </w:p>
        </w:tc>
        <w:tc>
          <w:tcPr>
            <w:tcW w:w="3195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null does not prove unknowability</w:t>
            </w:r>
          </w:p>
        </w:tc>
      </w:tr>
      <w:tr>
        <w:tc>
          <w:tcPr>
            <w:tcW w:w="222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Universal improvement</w:t>
            </w:r>
          </w:p>
        </w:tc>
        <w:tc>
          <w:tcPr>
            <w:tcW w:w="667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not claimed</w:t>
            </w:r>
          </w:p>
        </w:tc>
        <w:tc>
          <w:tcPr>
            <w:tcW w:w="267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would require broad held-out dominance</w:t>
            </w:r>
          </w:p>
        </w:tc>
        <w:tc>
          <w:tcPr>
            <w:tcW w:w="1200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none</w:t>
            </w:r>
          </w:p>
        </w:tc>
        <w:tc>
          <w:tcPr>
            <w:tcW w:w="3195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contradicted by negative rows</w:t>
            </w:r>
          </w:p>
        </w:tc>
      </w:tr>
      <w:tr>
        <w:tc>
          <w:tcPr>
            <w:tcW w:w="222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Real-camera validation</w:t>
            </w:r>
          </w:p>
        </w:tc>
        <w:tc>
          <w:tcPr>
            <w:tcW w:w="667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pending</w:t>
            </w:r>
          </w:p>
        </w:tc>
        <w:tc>
          <w:tcPr>
            <w:tcW w:w="267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locked sessions and fresh held-out recordings</w:t>
            </w:r>
          </w:p>
        </w:tc>
        <w:tc>
          <w:tcPr>
            <w:tcW w:w="1200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protocol infrastructure only</w:t>
            </w:r>
          </w:p>
        </w:tc>
        <w:tc>
          <w:tcPr>
            <w:tcW w:w="3195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no result in this paper</w:t>
            </w:r>
          </w:p>
        </w:tc>
      </w:tr>
    </w:tbl>
    <w:bookmarkEnd w:id="112"/>
    <w:bookmarkStart w:id="117" w:name="calibration-and-evaluation-contracts"/>
    <w:p>
      <w:pPr>
        <w:pStyle w:val="Heading1"/>
        <w:widowControl/>
      </w:pPr>
      <w:r>
        <w:t xml:space="preserve">Calibration and Evaluation Contracts</w:t>
      </w:r>
    </w:p>
    <w:bookmarkStart w:id="113" w:name="controlled-grid-contract."/>
    <w:p>
      <w:pPr>
        <w:pStyle w:val="Heading2"/>
        <w:keepNext/>
        <w:widowControl/>
        <w:spacing w:before="100" w:after="20" w:line="252" w:lineRule="auto"/>
      </w:pPr>
      <w:r>
        <w:rPr>
          <w:rFonts w:ascii="Times New Roman" w:hAnsi="Times New Roman" w:eastAsia="Times New Roman" w:cs="Times New Roman"/>
          <w:b/>
          <w:sz w:val="19"/>
        </w:rPr>
        <w:t xml:space="preserve">Controlled-grid contract.</w:t>
      </w:r>
    </w:p>
    <w:p>
      <w:pPr>
        <w:pStyle w:val="FirstParagraph"/>
        <w:widowControl/>
      </w:pPr>
      <w:r>
        <w:t xml:space="preserve">The fitting unit is the condition cell. An out-of-fold benefit estimate is produced without fitting</w:t>
      </w:r>
      <w:r>
        <w:t xml:space="preserve"> </w:t>
      </w:r>
      <w:r>
        <w:t xml:space="preserve">on the scored cell, and the residual radius for that cell excludes its residual. This is</w:t>
      </w:r>
      <w:r>
        <w:t xml:space="preserve"> </w:t>
      </w:r>
      <w:r>
        <w:t xml:space="preserve">leave-one-condition-out cross-fitted empirical residual calibration. Related cells may still be</w:t>
      </w:r>
      <w:r>
        <w:t xml:space="preserve"> </w:t>
      </w:r>
      <w:r>
        <w:t xml:space="preserve">dependent through corruption family, checkpoint, or seed. Exact split-conformal wording is not used</w:t>
      </w:r>
      <w:r>
        <w:t xml:space="preserve"> </w:t>
      </w:r>
      <w:r>
        <w:t xml:space="preserve">for this branch.</w:t>
      </w:r>
    </w:p>
    <w:bookmarkEnd w:id="113"/>
    <w:bookmarkStart w:id="114" w:name="natural-shift-contract."/>
    <w:p>
      <w:pPr>
        <w:pStyle w:val="Heading2"/>
        <w:keepNext/>
        <w:widowControl/>
        <w:spacing w:before="100" w:after="20" w:line="252" w:lineRule="auto"/>
      </w:pPr>
      <w:r>
        <w:rPr>
          <w:rFonts w:ascii="Times New Roman" w:hAnsi="Times New Roman" w:eastAsia="Times New Roman" w:cs="Times New Roman"/>
          <w:b/>
          <w:sz w:val="19"/>
        </w:rPr>
        <w:t xml:space="preserve">Natural-shift contract.</w:t>
      </w:r>
    </w:p>
    <w:p>
      <w:pPr>
        <w:pStyle w:val="FirstParagraph"/>
        <w:widowControl/>
      </w:pPr>
      <w:r>
        <w:t xml:space="preserve">Development conditions fit the benefit model; a disjoint calibration partition supplies residuals;</w:t>
      </w:r>
      <w:r>
        <w:t xml:space="preserve"> </w:t>
      </w:r>
      <w:r>
        <w:t xml:space="preserve">choices are frozen; and the target partition is scored once where the archived protocol records all</w:t>
      </w:r>
      <w:r>
        <w:t xml:space="preserve"> </w:t>
      </w:r>
      <w:r>
        <w:t xml:space="preserve">three stages. When the saved evidence does not support that complete chain, the row is marked</w:t>
      </w:r>
      <w:r>
        <w:t xml:space="preserve"> </w:t>
      </w:r>
      <w:r>
        <w:t xml:space="preserve">descriptive or diagnostic. Replaying a table does not strengthen its original design.</w:t>
      </w:r>
    </w:p>
    <w:p>
      <w:pPr>
        <w:pStyle w:val="BodyText"/>
        <w:widowControl/>
      </w:pPr>
      <w:r>
        <w:t xml:space="preserve">The candidate TTA step itself is transductive. Episodic candidates update on each unlabeled</w:t>
      </w:r>
      <w:r>
        <w:t xml:space="preserve"> </w:t>
      </w:r>
      <w:r>
        <w:t xml:space="preserve">evaluation batch before predicting that batch. Online candidates update on a separate auxiliary</w:t>
      </w:r>
      <w:r>
        <w:t xml:space="preserve"> </w:t>
      </w:r>
      <w:r>
        <w:t xml:space="preserve">stream, but prediction still uses evaluation-batch BatchNorm statistics. Thus</w:t>
      </w:r>
      <w:r>
        <w:t xml:space="preserve"> </w:t>
      </w:r>
      <w:r>
        <w:t xml:space="preserve">“disjoint”</w:t>
      </w:r>
      <w:r>
        <w:t xml:space="preserve"> </w:t>
      </w:r>
      <w:r>
        <w:t xml:space="preserve">above</w:t>
      </w:r>
      <w:r>
        <w:t xml:space="preserve"> </w:t>
      </w:r>
      <w:r>
        <w:t xml:space="preserve">refers to development, residual-calibration, and target partitions (and to the recorded auxiliary</w:t>
      </w:r>
      <w:r>
        <w:t xml:space="preserve"> </w:t>
      </w:r>
      <w:r>
        <w:t xml:space="preserve">stream versus evaluation sample identities); it does not mean that candidate inference is</w:t>
      </w:r>
      <w:r>
        <w:t xml:space="preserve"> </w:t>
      </w:r>
      <w:r>
        <w:t xml:space="preserve">inductive. No target labels enter adaptation, prediction, evidence, or the action.</w:t>
      </w:r>
    </w:p>
    <w:bookmarkEnd w:id="114"/>
    <w:bookmarkStart w:id="115" w:name="action-contract."/>
    <w:p>
      <w:pPr>
        <w:pStyle w:val="Heading2"/>
        <w:keepNext/>
        <w:widowControl/>
        <w:spacing w:before="100" w:after="20" w:line="252" w:lineRule="auto"/>
      </w:pPr>
      <w:r>
        <w:rPr>
          <w:rFonts w:ascii="Times New Roman" w:hAnsi="Times New Roman" w:eastAsia="Times New Roman" w:cs="Times New Roman"/>
          <w:b/>
          <w:sz w:val="19"/>
        </w:rPr>
        <w:t xml:space="preserve">Action contract.</w:t>
      </w:r>
    </w:p>
    <w:p>
      <w:pPr>
        <w:pStyle w:val="FirstParagraph"/>
        <w:widowControl/>
      </w:pPr>
      <w:r>
        <w:t xml:space="preserve">Every action is computed from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Δ</m:t>
            </m:r>
          </m:e>
        </m:acc>
      </m:oMath>
      <w:r>
        <w:t xml:space="preserve">, and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without target labels.</w:t>
      </w:r>
      <w:r>
        <w:t xml:space="preserve"> </w:t>
      </w:r>
      <w:r>
        <w:t xml:space="preserve">Offline labels determine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, oracle action, regret, and false-commit indicators only after the</w:t>
      </w:r>
      <w:r>
        <w:t xml:space="preserve"> </w:t>
      </w:r>
      <w:r>
        <w:t xml:space="preserve">action is fixed. Abstention resolves to the frozen prediction for task-risk accounting, while its log</w:t>
      </w:r>
      <w:r>
        <w:t xml:space="preserve"> </w:t>
      </w:r>
      <w:r>
        <w:t xml:space="preserve">retains the distinction from a certified freeze.</w:t>
      </w:r>
    </w:p>
    <w:bookmarkEnd w:id="115"/>
    <w:bookmarkStart w:id="116" w:name="configuration-contract."/>
    <w:p>
      <w:pPr>
        <w:pStyle w:val="Heading2"/>
        <w:keepNext/>
        <w:widowControl/>
        <w:spacing w:before="100" w:after="20" w:line="252" w:lineRule="auto"/>
      </w:pPr>
      <w:r>
        <w:rPr>
          <w:rFonts w:ascii="Times New Roman" w:hAnsi="Times New Roman" w:eastAsia="Times New Roman" w:cs="Times New Roman"/>
          <w:b/>
          <w:sz w:val="19"/>
        </w:rPr>
        <w:t xml:space="preserve">Configuration contract.</w:t>
      </w:r>
    </w:p>
    <w:p>
      <w:pPr>
        <w:pStyle w:val="FirstParagraph"/>
        <w:widowControl/>
      </w:pPr>
      <w:r>
        <w:t xml:space="preserve">The checkpoint, candidate adapter, optimizer, adapted parameter subset, update count, evidence</w:t>
      </w:r>
      <w:r>
        <w:t xml:space="preserve"> </w:t>
      </w:r>
      <w:r>
        <w:t xml:space="preserve">schema, feature normalization, benefit estimator, calibration split,</w:t>
      </w:r>
      <w:r>
        <w:t xml:space="preserve"> </w:t>
      </w:r>
      <m:oMath>
        <m:r>
          <m:t>α</m:t>
        </m:r>
      </m:oMath>
      <w:r>
        <w:t xml:space="preserve">, and software version</w:t>
      </w:r>
      <w:r>
        <w:t xml:space="preserve"> </w:t>
      </w:r>
      <w:r>
        <w:t xml:space="preserve">are part of one calibration identity. Changing any of them requires either a declared transfer</w:t>
      </w:r>
      <w:r>
        <w:t xml:space="preserve"> </w:t>
      </w:r>
      <w:r>
        <w:t xml:space="preserve">argument or recalibration. The fail-closed default on identity mismatch is non-commitment.</w:t>
      </w:r>
    </w:p>
    <w:bookmarkEnd w:id="116"/>
    <w:bookmarkEnd w:id="117"/>
    <w:bookmarkStart w:id="118" w:name="decision-exposure-and-repetition-audit"/>
    <w:p>
      <w:pPr>
        <w:pStyle w:val="Heading1"/>
        <w:widowControl/>
      </w:pPr>
      <w:r>
        <w:t xml:space="preserve">Decision Exposure and Repetition Audit</w:t>
      </w:r>
    </w:p>
    <w:p>
      <w:pPr>
        <w:pStyle w:val="FirstParagraph"/>
        <w:widowControl/>
      </w:pPr>
      <w:r>
        <w:t xml:space="preserve">Point regret alone can conceal whether a no-harm result exercised the adapt branch. Table</w:t>
      </w:r>
      <w:r>
        <w:t xml:space="preserve"> </w:t>
      </w:r>
      <w:r>
        <w:t xml:space="preserve">10 therefore reconstructs action counts from the same canonical panel used</w:t>
      </w:r>
      <w:r>
        <w:t xml:space="preserve"> </w:t>
      </w:r>
      <w:r>
        <w:t xml:space="preserve">in Table 4. A/F/U denote adapt, freeze, and abstain. PACS is omitted from</w:t>
      </w:r>
      <w:r>
        <w:t xml:space="preserve"> </w:t>
      </w:r>
      <w:r>
        <w:t xml:space="preserve">the action table because the released aggregate cross-checks regret but does not contain the</w:t>
      </w:r>
      <w:r>
        <w:t xml:space="preserve"> </w:t>
      </w:r>
      <w:r>
        <w:t xml:space="preserve">per-cell benefit estimates and residuals required for a complete gate replay. iWildCam is omitted</w:t>
      </w:r>
      <w:r>
        <w:t xml:space="preserve"> </w:t>
      </w:r>
      <w:r>
        <w:t xml:space="preserve">because its archived actions were scored under the wrong macro-F1 contract.</w:t>
      </w:r>
    </w:p>
    <w:p>
      <w:pPr>
        <w:pStyle w:val="TableCaption"/>
        <w:widowControl/>
      </w:pPr>
      <w:r>
        <w:t xml:space="preserve">Table 10. Action exposure in replayable canonical rows. Counts are not independent experiments:</w:t>
      </w:r>
      <w:r>
        <w:t xml:space="preserve"> </w:t>
      </w:r>
      <w:r>
        <w:t xml:space="preserve">they are evaluation units within the protocol shown. A zero false-adapt count is informative only</w:t>
      </w:r>
      <w:r>
        <w:t xml:space="preserve"> </w:t>
      </w:r>
      <w:r>
        <w:t xml:space="preserve">when adaptation was attempted and the residual pool did not make the inequality automatic. Counts</w:t>
      </w:r>
      <w:r>
        <w:t xml:space="preserve"> </w:t>
      </w:r>
      <w:r>
        <w:t xml:space="preserve">were regenerated from source manifest SHA-256</w:t>
      </w:r>
      <w:r>
        <w:t xml:space="preserve"> </w:t>
      </w:r>
      <w:r>
        <w:rPr>
          <w:rStyle w:val="VerbatimChar"/>
        </w:rPr>
        <w:t xml:space="preserve">391983f4fa09d65c256ab8c620fea772866b652c219dad0c36574ce38c740482</w:t>
      </w:r>
      <w:r>
        <w:t xml:space="preserve">.</w:t>
      </w:r>
    </w:p>
    <w:tbl>
      <w:tblPr>
        <w:tblStyle w:val="Table"/>
        <w:tblW w:type="dxa" w:w="9960"/>
        <w:jc w:val="left"/>
        <w:tblLayout w:type="fixed"/>
        <w:tblLook w:firstRow="1" w:lastRow="0" w:firstColumn="0" w:lastColumn="0" w:noHBand="0" w:noVBand="0" w:val="0020"/>
        <w:tblCaption w:val="Table 10. Action exposure in replayable canonical rows. Counts are not independent experiments: they are evaluation units within the protocol shown. A zero false-adapt count is informative only when adaptation was attempted and the residual pool did not make the inequality automatic. Counts were regenerated from source manifest SHA-256 391983f4fa09d65c256ab8c620fea772866b652c219dad0c36574ce38c740482."/>
        <w:tblInd w:w="120" w:type="dxa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1930"/>
        <w:gridCol w:w="664"/>
        <w:gridCol w:w="664"/>
        <w:gridCol w:w="664"/>
        <w:gridCol w:w="664"/>
        <w:gridCol w:w="664"/>
        <w:gridCol w:w="664"/>
        <w:gridCol w:w="4046"/>
      </w:tblGrid>
      <w:tr>
        <w:trPr>
          <w:tblHeader w:val="on"/>
          <w:tblHeader w:val="true"/>
        </w:trPr>
        <w:tc>
          <w:tcPr>
            <w:tcW w:w="1930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E8EEF5"/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14"/>
              </w:rPr>
              <w:t xml:space="preserve">Row</w:t>
            </w:r>
          </w:p>
        </w:tc>
        <w:tc>
          <w:tcPr>
            <w:tcW w:w="66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E8EEF5"/>
          </w:tcPr>
          <w:p>
            <w:pPr>
              <w:pStyle w:val="Compact"/>
              <w:spacing w:before="0" w:after="0" w:line="240" w:lineRule="auto"/>
              <w:jc w:val="center"/>
            </w:pPr>
            <m:oMath>
              <m:r>
                <m:t>n</m:t>
              </m:r>
            </m:oMath>
          </w:p>
        </w:tc>
        <w:tc>
          <w:tcPr>
            <w:tcW w:w="66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E8EEF5"/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14"/>
              </w:rPr>
              <w:t xml:space="preserve">A</w:t>
            </w:r>
          </w:p>
        </w:tc>
        <w:tc>
          <w:tcPr>
            <w:tcW w:w="66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E8EEF5"/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14"/>
              </w:rPr>
              <w:t xml:space="preserve">F</w:t>
            </w:r>
          </w:p>
        </w:tc>
        <w:tc>
          <w:tcPr>
            <w:tcW w:w="66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E8EEF5"/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14"/>
              </w:rPr>
              <w:t xml:space="preserve">U</w:t>
            </w:r>
          </w:p>
        </w:tc>
        <w:tc>
          <w:tcPr>
            <w:tcW w:w="66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E8EEF5"/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14"/>
              </w:rPr>
              <w:t xml:space="preserve">false A</w:t>
            </w:r>
          </w:p>
        </w:tc>
        <w:tc>
          <w:tcPr>
            <w:tcW w:w="66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E8EEF5"/>
          </w:tcPr>
          <w:p>
            <w:pPr>
              <w:pStyle w:val="Compact"/>
              <w:spacing w:before="0" w:after="0" w:line="240" w:lineRule="auto"/>
              <w:jc w:val="center"/>
            </w:pPr>
            <m:oMath>
              <m:sSub>
                <m:e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u</m:t>
                  </m:r>
                </m:sub>
              </m:sSub>
            </m:oMath>
          </w:p>
        </w:tc>
        <w:tc>
          <w:tcPr>
            <w:tcW w:w="4046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E8EEF5"/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14"/>
              </w:rPr>
              <w:t xml:space="preserve">repetition / scope</w:t>
            </w:r>
          </w:p>
        </w:tc>
      </w:tr>
      <w:tr>
        <w:tc>
          <w:tcPr>
            <w:tcW w:w="1930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4"/>
              </w:rPr>
              <w:t xml:space="preserve">Office–Home primary</w:t>
            </w:r>
          </w:p>
        </w:tc>
        <w:tc>
          <w:tcPr>
            <w:tcW w:w="66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35</w:t>
            </w:r>
          </w:p>
        </w:tc>
        <w:tc>
          <w:tcPr>
            <w:tcW w:w="66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</w:t>
            </w:r>
          </w:p>
        </w:tc>
        <w:tc>
          <w:tcPr>
            <w:tcW w:w="66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11</w:t>
            </w:r>
          </w:p>
        </w:tc>
        <w:tc>
          <w:tcPr>
            <w:tcW w:w="66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24</w:t>
            </w:r>
          </w:p>
        </w:tc>
        <w:tc>
          <w:tcPr>
            <w:tcW w:w="66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</w:t>
            </w:r>
          </w:p>
        </w:tc>
        <w:tc>
          <w:tcPr>
            <w:tcW w:w="66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.0000</w:t>
            </w:r>
          </w:p>
        </w:tc>
        <w:tc>
          <w:tcPr>
            <w:tcW w:w="4046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4"/>
              </w:rPr>
              <w:t xml:space="preserve">2 test-stream seeds; ties freeze</w:t>
            </w:r>
          </w:p>
        </w:tc>
      </w:tr>
      <w:tr>
        <w:tc>
          <w:tcPr>
            <w:tcW w:w="1930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4"/>
              </w:rPr>
              <w:t xml:space="preserve">Office–Home stream-seed repl.</w:t>
            </w:r>
          </w:p>
        </w:tc>
        <w:tc>
          <w:tcPr>
            <w:tcW w:w="66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54</w:t>
            </w:r>
          </w:p>
        </w:tc>
        <w:tc>
          <w:tcPr>
            <w:tcW w:w="66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1</w:t>
            </w:r>
          </w:p>
        </w:tc>
        <w:tc>
          <w:tcPr>
            <w:tcW w:w="66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14</w:t>
            </w:r>
          </w:p>
        </w:tc>
        <w:tc>
          <w:tcPr>
            <w:tcW w:w="66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39</w:t>
            </w:r>
          </w:p>
        </w:tc>
        <w:tc>
          <w:tcPr>
            <w:tcW w:w="66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</w:t>
            </w:r>
          </w:p>
        </w:tc>
        <w:tc>
          <w:tcPr>
            <w:tcW w:w="66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.0000</w:t>
            </w:r>
          </w:p>
        </w:tc>
        <w:tc>
          <w:tcPr>
            <w:tcW w:w="4046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4"/>
              </w:rPr>
              <w:t xml:space="preserve">3 test-stream seeds; point-only edge</w:t>
            </w:r>
          </w:p>
        </w:tc>
      </w:tr>
      <w:tr>
        <w:tc>
          <w:tcPr>
            <w:tcW w:w="1930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4"/>
              </w:rPr>
              <w:t xml:space="preserve">ImageNet–C SAR</w:t>
            </w:r>
          </w:p>
        </w:tc>
        <w:tc>
          <w:tcPr>
            <w:tcW w:w="66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135</w:t>
            </w:r>
          </w:p>
        </w:tc>
        <w:tc>
          <w:tcPr>
            <w:tcW w:w="66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13</w:t>
            </w:r>
          </w:p>
        </w:tc>
        <w:tc>
          <w:tcPr>
            <w:tcW w:w="66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15</w:t>
            </w:r>
          </w:p>
        </w:tc>
        <w:tc>
          <w:tcPr>
            <w:tcW w:w="66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107</w:t>
            </w:r>
          </w:p>
        </w:tc>
        <w:tc>
          <w:tcPr>
            <w:tcW w:w="66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1</w:t>
            </w:r>
          </w:p>
        </w:tc>
        <w:tc>
          <w:tcPr>
            <w:tcW w:w="66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.0074</w:t>
            </w:r>
          </w:p>
        </w:tc>
        <w:tc>
          <w:tcPr>
            <w:tcW w:w="4046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4"/>
              </w:rPr>
              <w:t xml:space="preserve">5 seeds</w:t>
            </w:r>
            <w:r>
              <w:rPr>
                <w:rFonts w:ascii="Times New Roman" w:hAnsi="Times New Roman"/>
                <w:sz w:val="14"/>
              </w:rPr>
              <w:t xml:space="preserve"> </w:t>
            </w:r>
            <m:oMath>
              <m:r>
                <m:rPr>
                  <m:sty m:val="p"/>
                </m:rPr>
                <m:t>×</m:t>
              </m:r>
            </m:oMath>
            <w:r>
              <w:rPr>
                <w:rFonts w:ascii="Times New Roman" w:hAnsi="Times New Roman"/>
                <w:sz w:val="14"/>
              </w:rPr>
              <w:t xml:space="preserve"> </w:t>
            </w:r>
            <w:r>
              <w:rPr>
                <w:rFonts w:ascii="Times New Roman" w:hAnsi="Times New Roman"/>
                <w:sz w:val="14"/>
              </w:rPr>
              <w:t xml:space="preserve">27 cells</w:t>
            </w:r>
          </w:p>
        </w:tc>
      </w:tr>
      <w:tr>
        <w:tc>
          <w:tcPr>
            <w:tcW w:w="1930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4"/>
              </w:rPr>
              <w:t xml:space="preserve">ImageNet–C Tent</w:t>
            </w:r>
          </w:p>
        </w:tc>
        <w:tc>
          <w:tcPr>
            <w:tcW w:w="66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135</w:t>
            </w:r>
          </w:p>
        </w:tc>
        <w:tc>
          <w:tcPr>
            <w:tcW w:w="66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</w:t>
            </w:r>
          </w:p>
        </w:tc>
        <w:tc>
          <w:tcPr>
            <w:tcW w:w="66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</w:t>
            </w:r>
          </w:p>
        </w:tc>
        <w:tc>
          <w:tcPr>
            <w:tcW w:w="66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135</w:t>
            </w:r>
          </w:p>
        </w:tc>
        <w:tc>
          <w:tcPr>
            <w:tcW w:w="66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</w:t>
            </w:r>
          </w:p>
        </w:tc>
        <w:tc>
          <w:tcPr>
            <w:tcW w:w="66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.0000</w:t>
            </w:r>
          </w:p>
        </w:tc>
        <w:tc>
          <w:tcPr>
            <w:tcW w:w="4046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4"/>
              </w:rPr>
              <w:t xml:space="preserve">5 seeds</w:t>
            </w:r>
            <w:r>
              <w:rPr>
                <w:rFonts w:ascii="Times New Roman" w:hAnsi="Times New Roman"/>
                <w:sz w:val="14"/>
              </w:rPr>
              <w:t xml:space="preserve"> </w:t>
            </w:r>
            <m:oMath>
              <m:r>
                <m:rPr>
                  <m:sty m:val="p"/>
                </m:rPr>
                <m:t>×</m:t>
              </m:r>
            </m:oMath>
            <w:r>
              <w:rPr>
                <w:rFonts w:ascii="Times New Roman" w:hAnsi="Times New Roman"/>
                <w:sz w:val="14"/>
              </w:rPr>
              <w:t xml:space="preserve"> </w:t>
            </w:r>
            <w:r>
              <w:rPr>
                <w:rFonts w:ascii="Times New Roman" w:hAnsi="Times New Roman"/>
                <w:sz w:val="14"/>
              </w:rPr>
              <w:t xml:space="preserve">27 cells</w:t>
            </w:r>
          </w:p>
        </w:tc>
      </w:tr>
      <w:tr>
        <w:tc>
          <w:tcPr>
            <w:tcW w:w="1930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4"/>
              </w:rPr>
              <w:t xml:space="preserve">ImageNet–C EATA</w:t>
            </w:r>
          </w:p>
        </w:tc>
        <w:tc>
          <w:tcPr>
            <w:tcW w:w="66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135</w:t>
            </w:r>
          </w:p>
        </w:tc>
        <w:tc>
          <w:tcPr>
            <w:tcW w:w="66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120</w:t>
            </w:r>
          </w:p>
        </w:tc>
        <w:tc>
          <w:tcPr>
            <w:tcW w:w="66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1</w:t>
            </w:r>
          </w:p>
        </w:tc>
        <w:tc>
          <w:tcPr>
            <w:tcW w:w="66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14</w:t>
            </w:r>
          </w:p>
        </w:tc>
        <w:tc>
          <w:tcPr>
            <w:tcW w:w="66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1</w:t>
            </w:r>
          </w:p>
        </w:tc>
        <w:tc>
          <w:tcPr>
            <w:tcW w:w="66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.0074</w:t>
            </w:r>
          </w:p>
        </w:tc>
        <w:tc>
          <w:tcPr>
            <w:tcW w:w="4046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4"/>
              </w:rPr>
              <w:t xml:space="preserve">5 seeds</w:t>
            </w:r>
            <w:r>
              <w:rPr>
                <w:rFonts w:ascii="Times New Roman" w:hAnsi="Times New Roman"/>
                <w:sz w:val="14"/>
              </w:rPr>
              <w:t xml:space="preserve"> </w:t>
            </w:r>
            <m:oMath>
              <m:r>
                <m:rPr>
                  <m:sty m:val="p"/>
                </m:rPr>
                <m:t>×</m:t>
              </m:r>
            </m:oMath>
            <w:r>
              <w:rPr>
                <w:rFonts w:ascii="Times New Roman" w:hAnsi="Times New Roman"/>
                <w:sz w:val="14"/>
              </w:rPr>
              <w:t xml:space="preserve"> </w:t>
            </w:r>
            <w:r>
              <w:rPr>
                <w:rFonts w:ascii="Times New Roman" w:hAnsi="Times New Roman"/>
                <w:sz w:val="14"/>
              </w:rPr>
              <w:t xml:space="preserve">27 cells</w:t>
            </w:r>
          </w:p>
        </w:tc>
      </w:tr>
      <w:tr>
        <w:tc>
          <w:tcPr>
            <w:tcW w:w="1930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4"/>
              </w:rPr>
              <w:t xml:space="preserve">ImageNet–R</w:t>
            </w:r>
          </w:p>
        </w:tc>
        <w:tc>
          <w:tcPr>
            <w:tcW w:w="66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480</w:t>
            </w:r>
          </w:p>
        </w:tc>
        <w:tc>
          <w:tcPr>
            <w:tcW w:w="66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165</w:t>
            </w:r>
          </w:p>
        </w:tc>
        <w:tc>
          <w:tcPr>
            <w:tcW w:w="66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29</w:t>
            </w:r>
          </w:p>
        </w:tc>
        <w:tc>
          <w:tcPr>
            <w:tcW w:w="66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286</w:t>
            </w:r>
          </w:p>
        </w:tc>
        <w:tc>
          <w:tcPr>
            <w:tcW w:w="66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</w:t>
            </w:r>
          </w:p>
        </w:tc>
        <w:tc>
          <w:tcPr>
            <w:tcW w:w="66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.0000</w:t>
            </w:r>
          </w:p>
        </w:tc>
        <w:tc>
          <w:tcPr>
            <w:tcW w:w="4046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4"/>
              </w:rPr>
              <w:t xml:space="preserve">4 seeds</w:t>
            </w:r>
            <w:r>
              <w:rPr>
                <w:rFonts w:ascii="Times New Roman" w:hAnsi="Times New Roman"/>
                <w:sz w:val="14"/>
              </w:rPr>
              <w:t xml:space="preserve"> </w:t>
            </w:r>
            <m:oMath>
              <m:r>
                <m:rPr>
                  <m:sty m:val="p"/>
                </m:rPr>
                <m:t>×</m:t>
              </m:r>
            </m:oMath>
            <w:r>
              <w:rPr>
                <w:rFonts w:ascii="Times New Roman" w:hAnsi="Times New Roman"/>
                <w:sz w:val="14"/>
              </w:rPr>
              <w:t xml:space="preserve"> </w:t>
            </w:r>
            <w:r>
              <w:rPr>
                <w:rFonts w:ascii="Times New Roman" w:hAnsi="Times New Roman"/>
                <w:sz w:val="14"/>
              </w:rPr>
              <w:t xml:space="preserve">10 backbones</w:t>
            </w:r>
            <w:r>
              <w:rPr>
                <w:rFonts w:ascii="Times New Roman" w:hAnsi="Times New Roman"/>
                <w:sz w:val="14"/>
              </w:rPr>
              <w:t xml:space="preserve"> </w:t>
            </w:r>
            <m:oMath>
              <m:r>
                <m:rPr>
                  <m:sty m:val="p"/>
                </m:rPr>
                <m:t>×</m:t>
              </m:r>
            </m:oMath>
            <w:r>
              <w:rPr>
                <w:rFonts w:ascii="Times New Roman" w:hAnsi="Times New Roman"/>
                <w:sz w:val="14"/>
              </w:rPr>
              <w:t xml:space="preserve"> </w:t>
            </w:r>
            <w:r>
              <w:rPr>
                <w:rFonts w:ascii="Times New Roman" w:hAnsi="Times New Roman"/>
                <w:sz w:val="14"/>
              </w:rPr>
              <w:t xml:space="preserve">12 cells</w:t>
            </w:r>
          </w:p>
        </w:tc>
      </w:tr>
      <w:tr>
        <w:tc>
          <w:tcPr>
            <w:tcW w:w="1930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4"/>
              </w:rPr>
              <w:t xml:space="preserve">CIFAR–10–C Tent</w:t>
            </w:r>
          </w:p>
        </w:tc>
        <w:tc>
          <w:tcPr>
            <w:tcW w:w="66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2160</w:t>
            </w:r>
          </w:p>
        </w:tc>
        <w:tc>
          <w:tcPr>
            <w:tcW w:w="66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1107</w:t>
            </w:r>
          </w:p>
        </w:tc>
        <w:tc>
          <w:tcPr>
            <w:tcW w:w="66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359</w:t>
            </w:r>
          </w:p>
        </w:tc>
        <w:tc>
          <w:tcPr>
            <w:tcW w:w="66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694</w:t>
            </w:r>
          </w:p>
        </w:tc>
        <w:tc>
          <w:tcPr>
            <w:tcW w:w="66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</w:t>
            </w:r>
          </w:p>
        </w:tc>
        <w:tc>
          <w:tcPr>
            <w:tcW w:w="66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.0000</w:t>
            </w:r>
          </w:p>
        </w:tc>
        <w:tc>
          <w:tcPr>
            <w:tcW w:w="4046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4"/>
              </w:rPr>
              <w:t xml:space="preserve">5 seeds</w:t>
            </w:r>
            <w:r>
              <w:rPr>
                <w:rFonts w:ascii="Times New Roman" w:hAnsi="Times New Roman"/>
                <w:sz w:val="14"/>
              </w:rPr>
              <w:t xml:space="preserve"> </w:t>
            </w:r>
            <m:oMath>
              <m:r>
                <m:rPr>
                  <m:sty m:val="p"/>
                </m:rPr>
                <m:t>×</m:t>
              </m:r>
            </m:oMath>
            <w:r>
              <w:rPr>
                <w:rFonts w:ascii="Times New Roman" w:hAnsi="Times New Roman"/>
                <w:sz w:val="14"/>
              </w:rPr>
              <w:t xml:space="preserve"> </w:t>
            </w:r>
            <w:r>
              <w:rPr>
                <w:rFonts w:ascii="Times New Roman" w:hAnsi="Times New Roman"/>
                <w:sz w:val="14"/>
              </w:rPr>
              <w:t xml:space="preserve">432 cells</w:t>
            </w:r>
          </w:p>
        </w:tc>
      </w:tr>
      <w:tr>
        <w:tc>
          <w:tcPr>
            <w:tcW w:w="1930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4"/>
              </w:rPr>
              <w:t xml:space="preserve">CIFAR–10–C EATA</w:t>
            </w:r>
          </w:p>
        </w:tc>
        <w:tc>
          <w:tcPr>
            <w:tcW w:w="66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2160</w:t>
            </w:r>
          </w:p>
        </w:tc>
        <w:tc>
          <w:tcPr>
            <w:tcW w:w="66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1241</w:t>
            </w:r>
          </w:p>
        </w:tc>
        <w:tc>
          <w:tcPr>
            <w:tcW w:w="66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132</w:t>
            </w:r>
          </w:p>
        </w:tc>
        <w:tc>
          <w:tcPr>
            <w:tcW w:w="66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787</w:t>
            </w:r>
          </w:p>
        </w:tc>
        <w:tc>
          <w:tcPr>
            <w:tcW w:w="66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</w:t>
            </w:r>
          </w:p>
        </w:tc>
        <w:tc>
          <w:tcPr>
            <w:tcW w:w="66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.0000</w:t>
            </w:r>
          </w:p>
        </w:tc>
        <w:tc>
          <w:tcPr>
            <w:tcW w:w="4046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4"/>
              </w:rPr>
              <w:t xml:space="preserve">5 seeds</w:t>
            </w:r>
            <w:r>
              <w:rPr>
                <w:rFonts w:ascii="Times New Roman" w:hAnsi="Times New Roman"/>
                <w:sz w:val="14"/>
              </w:rPr>
              <w:t xml:space="preserve"> </w:t>
            </w:r>
            <m:oMath>
              <m:r>
                <m:rPr>
                  <m:sty m:val="p"/>
                </m:rPr>
                <m:t>×</m:t>
              </m:r>
            </m:oMath>
            <w:r>
              <w:rPr>
                <w:rFonts w:ascii="Times New Roman" w:hAnsi="Times New Roman"/>
                <w:sz w:val="14"/>
              </w:rPr>
              <w:t xml:space="preserve"> </w:t>
            </w:r>
            <w:r>
              <w:rPr>
                <w:rFonts w:ascii="Times New Roman" w:hAnsi="Times New Roman"/>
                <w:sz w:val="14"/>
              </w:rPr>
              <w:t xml:space="preserve">432 cells</w:t>
            </w:r>
          </w:p>
        </w:tc>
      </w:tr>
      <w:tr>
        <w:tc>
          <w:tcPr>
            <w:tcW w:w="1930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4"/>
              </w:rPr>
              <w:t xml:space="preserve">CIFAR–10–C SAR</w:t>
            </w:r>
          </w:p>
        </w:tc>
        <w:tc>
          <w:tcPr>
            <w:tcW w:w="66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2160</w:t>
            </w:r>
          </w:p>
        </w:tc>
        <w:tc>
          <w:tcPr>
            <w:tcW w:w="66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1446</w:t>
            </w:r>
          </w:p>
        </w:tc>
        <w:tc>
          <w:tcPr>
            <w:tcW w:w="66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</w:t>
            </w:r>
          </w:p>
        </w:tc>
        <w:tc>
          <w:tcPr>
            <w:tcW w:w="66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714</w:t>
            </w:r>
          </w:p>
        </w:tc>
        <w:tc>
          <w:tcPr>
            <w:tcW w:w="66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</w:t>
            </w:r>
          </w:p>
        </w:tc>
        <w:tc>
          <w:tcPr>
            <w:tcW w:w="66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.0000</w:t>
            </w:r>
          </w:p>
        </w:tc>
        <w:tc>
          <w:tcPr>
            <w:tcW w:w="4046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4"/>
              </w:rPr>
              <w:t xml:space="preserve">5 seeds</w:t>
            </w:r>
            <w:r>
              <w:rPr>
                <w:rFonts w:ascii="Times New Roman" w:hAnsi="Times New Roman"/>
                <w:sz w:val="14"/>
              </w:rPr>
              <w:t xml:space="preserve"> </w:t>
            </w:r>
            <m:oMath>
              <m:r>
                <m:rPr>
                  <m:sty m:val="p"/>
                </m:rPr>
                <m:t>×</m:t>
              </m:r>
            </m:oMath>
            <w:r>
              <w:rPr>
                <w:rFonts w:ascii="Times New Roman" w:hAnsi="Times New Roman"/>
                <w:sz w:val="14"/>
              </w:rPr>
              <w:t xml:space="preserve"> </w:t>
            </w:r>
            <w:r>
              <w:rPr>
                <w:rFonts w:ascii="Times New Roman" w:hAnsi="Times New Roman"/>
                <w:sz w:val="14"/>
              </w:rPr>
              <w:t xml:space="preserve">432 cells</w:t>
            </w:r>
          </w:p>
        </w:tc>
      </w:tr>
      <w:tr>
        <w:tc>
          <w:tcPr>
            <w:tcW w:w="1930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4"/>
              </w:rPr>
              <w:t xml:space="preserve">Camelyon17 OOD</w:t>
            </w:r>
          </w:p>
        </w:tc>
        <w:tc>
          <w:tcPr>
            <w:tcW w:w="66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18</w:t>
            </w:r>
          </w:p>
        </w:tc>
        <w:tc>
          <w:tcPr>
            <w:tcW w:w="66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18</w:t>
            </w:r>
          </w:p>
        </w:tc>
        <w:tc>
          <w:tcPr>
            <w:tcW w:w="66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</w:t>
            </w:r>
          </w:p>
        </w:tc>
        <w:tc>
          <w:tcPr>
            <w:tcW w:w="66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</w:t>
            </w:r>
          </w:p>
        </w:tc>
        <w:tc>
          <w:tcPr>
            <w:tcW w:w="66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</w:t>
            </w:r>
          </w:p>
        </w:tc>
        <w:tc>
          <w:tcPr>
            <w:tcW w:w="66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.0000</w:t>
            </w:r>
          </w:p>
        </w:tc>
        <w:tc>
          <w:tcPr>
            <w:tcW w:w="4046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4"/>
              </w:rPr>
              <w:t xml:space="preserve">archived opened helpful-only OOD subset</w:t>
            </w:r>
          </w:p>
        </w:tc>
      </w:tr>
      <w:tr>
        <w:tc>
          <w:tcPr>
            <w:tcW w:w="1930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4"/>
              </w:rPr>
              <w:t xml:space="preserve">Camelyon17 B–v2 Tent</w:t>
            </w:r>
          </w:p>
        </w:tc>
        <w:tc>
          <w:tcPr>
            <w:tcW w:w="66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108</w:t>
            </w:r>
          </w:p>
        </w:tc>
        <w:tc>
          <w:tcPr>
            <w:tcW w:w="66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40</w:t>
            </w:r>
          </w:p>
        </w:tc>
        <w:tc>
          <w:tcPr>
            <w:tcW w:w="66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</w:t>
            </w:r>
          </w:p>
        </w:tc>
        <w:tc>
          <w:tcPr>
            <w:tcW w:w="66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68</w:t>
            </w:r>
          </w:p>
        </w:tc>
        <w:tc>
          <w:tcPr>
            <w:tcW w:w="66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1</w:t>
            </w:r>
          </w:p>
        </w:tc>
        <w:tc>
          <w:tcPr>
            <w:tcW w:w="66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.0093</w:t>
            </w:r>
          </w:p>
        </w:tc>
        <w:tc>
          <w:tcPr>
            <w:tcW w:w="4046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4"/>
              </w:rPr>
              <w:t xml:space="preserve">3 within-seed grids; diagnostic</w:t>
            </w:r>
          </w:p>
        </w:tc>
      </w:tr>
      <w:tr>
        <w:tc>
          <w:tcPr>
            <w:tcW w:w="1930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4"/>
              </w:rPr>
              <w:t xml:space="preserve">Camelyon17 B–v2 EATA</w:t>
            </w:r>
          </w:p>
        </w:tc>
        <w:tc>
          <w:tcPr>
            <w:tcW w:w="66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108</w:t>
            </w:r>
          </w:p>
        </w:tc>
        <w:tc>
          <w:tcPr>
            <w:tcW w:w="66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61</w:t>
            </w:r>
          </w:p>
        </w:tc>
        <w:tc>
          <w:tcPr>
            <w:tcW w:w="66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</w:t>
            </w:r>
          </w:p>
        </w:tc>
        <w:tc>
          <w:tcPr>
            <w:tcW w:w="66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47</w:t>
            </w:r>
          </w:p>
        </w:tc>
        <w:tc>
          <w:tcPr>
            <w:tcW w:w="66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</w:t>
            </w:r>
          </w:p>
        </w:tc>
        <w:tc>
          <w:tcPr>
            <w:tcW w:w="66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.0000</w:t>
            </w:r>
          </w:p>
        </w:tc>
        <w:tc>
          <w:tcPr>
            <w:tcW w:w="4046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4"/>
              </w:rPr>
              <w:t xml:space="preserve">3 within-seed grids; diagnostic</w:t>
            </w:r>
          </w:p>
        </w:tc>
      </w:tr>
      <w:tr>
        <w:tc>
          <w:tcPr>
            <w:tcW w:w="1930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4"/>
              </w:rPr>
              <w:t xml:space="preserve">Camelyon17 B–v2 SAR</w:t>
            </w:r>
          </w:p>
        </w:tc>
        <w:tc>
          <w:tcPr>
            <w:tcW w:w="66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108</w:t>
            </w:r>
          </w:p>
        </w:tc>
        <w:tc>
          <w:tcPr>
            <w:tcW w:w="66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71</w:t>
            </w:r>
          </w:p>
        </w:tc>
        <w:tc>
          <w:tcPr>
            <w:tcW w:w="66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</w:t>
            </w:r>
          </w:p>
        </w:tc>
        <w:tc>
          <w:tcPr>
            <w:tcW w:w="66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37</w:t>
            </w:r>
          </w:p>
        </w:tc>
        <w:tc>
          <w:tcPr>
            <w:tcW w:w="66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</w:t>
            </w:r>
          </w:p>
        </w:tc>
        <w:tc>
          <w:tcPr>
            <w:tcW w:w="66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.0000</w:t>
            </w:r>
          </w:p>
        </w:tc>
        <w:tc>
          <w:tcPr>
            <w:tcW w:w="4046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4"/>
              </w:rPr>
              <w:t xml:space="preserve">3 within-seed grids; diagnostic</w:t>
            </w:r>
          </w:p>
        </w:tc>
      </w:tr>
      <w:tr>
        <w:tc>
          <w:tcPr>
            <w:tcW w:w="1930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4"/>
              </w:rPr>
              <w:t xml:space="preserve">RxRx1 J</w:t>
            </w:r>
          </w:p>
        </w:tc>
        <w:tc>
          <w:tcPr>
            <w:tcW w:w="66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60</w:t>
            </w:r>
          </w:p>
        </w:tc>
        <w:tc>
          <w:tcPr>
            <w:tcW w:w="66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</w:t>
            </w:r>
          </w:p>
        </w:tc>
        <w:tc>
          <w:tcPr>
            <w:tcW w:w="66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60</w:t>
            </w:r>
          </w:p>
        </w:tc>
        <w:tc>
          <w:tcPr>
            <w:tcW w:w="66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</w:t>
            </w:r>
          </w:p>
        </w:tc>
        <w:tc>
          <w:tcPr>
            <w:tcW w:w="66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</w:t>
            </w:r>
          </w:p>
        </w:tc>
        <w:tc>
          <w:tcPr>
            <w:tcW w:w="66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.0000</w:t>
            </w:r>
          </w:p>
        </w:tc>
        <w:tc>
          <w:tcPr>
            <w:tcW w:w="4046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4"/>
              </w:rPr>
              <w:t xml:space="preserve">displayed model seed 0; separate 3-checkpoint audit also all-freeze</w:t>
            </w:r>
          </w:p>
        </w:tc>
      </w:tr>
      <w:tr>
        <w:tc>
          <w:tcPr>
            <w:tcW w:w="1930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4"/>
              </w:rPr>
              <w:t xml:space="preserve">CIFAR–10.1 K</w:t>
            </w:r>
          </w:p>
        </w:tc>
        <w:tc>
          <w:tcPr>
            <w:tcW w:w="66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48</w:t>
            </w:r>
          </w:p>
        </w:tc>
        <w:tc>
          <w:tcPr>
            <w:tcW w:w="66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</w:t>
            </w:r>
          </w:p>
        </w:tc>
        <w:tc>
          <w:tcPr>
            <w:tcW w:w="66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22</w:t>
            </w:r>
          </w:p>
        </w:tc>
        <w:tc>
          <w:tcPr>
            <w:tcW w:w="66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26</w:t>
            </w:r>
          </w:p>
        </w:tc>
        <w:tc>
          <w:tcPr>
            <w:tcW w:w="66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</w:t>
            </w:r>
          </w:p>
        </w:tc>
        <w:tc>
          <w:tcPr>
            <w:tcW w:w="66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.0000</w:t>
            </w:r>
          </w:p>
        </w:tc>
        <w:tc>
          <w:tcPr>
            <w:tcW w:w="4046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4"/>
              </w:rPr>
              <w:t xml:space="preserve">locked cross-seed replay</w:t>
            </w:r>
          </w:p>
        </w:tc>
      </w:tr>
    </w:tbl>
    <w:p>
      <w:pPr>
        <w:pStyle w:val="BodyText"/>
        <w:widowControl/>
      </w:pPr>
      <w:r>
        <w:t xml:space="preserve">The largest adapt exposure occurs on the controlled CIFAR-10-C rows. This is why those rows are the</w:t>
      </w:r>
      <w:r>
        <w:t xml:space="preserve"> </w:t>
      </w:r>
      <w:r>
        <w:t xml:space="preserve">main empirical test of the adapt-side certificate. Primary Office-Home and RxRx1 have zero adapt</w:t>
      </w:r>
      <w:r>
        <w:t xml:space="preserve"> </w:t>
      </w:r>
      <w:r>
        <w:t xml:space="preserve">exposure, while the 54-cell Office-Home stream-seed replication has one adapt decision. Their zero</w:t>
      </w:r>
      <w:r>
        <w:t xml:space="preserve"> </w:t>
      </w:r>
      <w:r>
        <w:t xml:space="preserve">false-adapt values barely test whether the gate can distinguish a harmful adaptation from a helpful</w:t>
      </w:r>
      <w:r>
        <w:t xml:space="preserve"> </w:t>
      </w:r>
      <w:r>
        <w:t xml:space="preserve">one; they show that the controller declines the candidate under those evidence/calibration</w:t>
      </w:r>
      <w:r>
        <w:t xml:space="preserve"> </w:t>
      </w:r>
      <w:r>
        <w:t xml:space="preserve">contracts. The invalidated five-checkpoint Office-Home route and the withheld iWildCam actions are</w:t>
      </w:r>
      <w:r>
        <w:t xml:space="preserve"> </w:t>
      </w:r>
      <w:r>
        <w:t xml:space="preserve">not counted. Camelyon17 OOD has the opposite limitation: every archived condition is helpful and</w:t>
      </w:r>
      <w:r>
        <w:t xml:space="preserve"> </w:t>
      </w:r>
      <w:r>
        <w:t xml:space="preserve">every action adapts, so there is no harmful opportunity to reject. ImageNet-C EATA has substantial</w:t>
      </w:r>
      <w:r>
        <w:t xml:space="preserve"> </w:t>
      </w:r>
      <w:r>
        <w:t xml:space="preserve">adapt exposure and one false adaptation, while Tent</w:t>
      </w:r>
      <w:r>
        <w:t xml:space="preserve"> </w:t>
      </w:r>
      <w:r>
        <w:t xml:space="preserve">abstains everywhere. Those three patterns are operationally different even when their regrets are</w:t>
      </w:r>
      <w:r>
        <w:t xml:space="preserve"> </w:t>
      </w:r>
      <w:r>
        <w:t xml:space="preserve">small.</w:t>
      </w:r>
    </w:p>
    <w:p>
      <w:pPr>
        <w:pStyle w:val="BodyText"/>
        <w:widowControl/>
      </w:pPr>
      <w:r>
        <w:t xml:space="preserve">The repetition column also prevents a common inflation of evidence. Five seeds of one checkpoint</w:t>
      </w:r>
      <w:r>
        <w:t xml:space="preserve"> </w:t>
      </w:r>
      <w:r>
        <w:t xml:space="preserve">and grid protocol are not five independently designed studies. Ten ImageNet-R backbones are a panel</w:t>
      </w:r>
      <w:r>
        <w:t xml:space="preserve"> </w:t>
      </w:r>
      <w:r>
        <w:t xml:space="preserve">of candidate policies, not ten target domains for one frozen gate. Three Camelyon17 within-seed</w:t>
      </w:r>
      <w:r>
        <w:t xml:space="preserve"> </w:t>
      </w:r>
      <w:r>
        <w:t xml:space="preserve">grids permit a stability diagnostic but do not create an untouched hospital-domain replication.</w:t>
      </w:r>
      <w:r>
        <w:t xml:space="preserve"> </w:t>
      </w:r>
      <w:r>
        <w:t xml:space="preserve">RxRx1 is stronger on model variation because the source checkpoint is independently trained three</w:t>
      </w:r>
      <w:r>
        <w:t xml:space="preserve"> </w:t>
      </w:r>
      <w:r>
        <w:t xml:space="preserve">times, but its all-freeze behavior still provides no adapt exposure.</w:t>
      </w:r>
    </w:p>
    <w:bookmarkEnd w:id="118"/>
    <w:bookmarkStart w:id="122" w:name="inference-discipline"/>
    <w:p>
      <w:pPr>
        <w:pStyle w:val="Heading1"/>
        <w:widowControl/>
      </w:pPr>
      <w:r>
        <w:t xml:space="preserve">Inference Discipline</w:t>
      </w:r>
    </w:p>
    <w:bookmarkStart w:id="119" w:name="point-estimates-paired-gaps-and-clusters"/>
    <w:p>
      <w:pPr>
        <w:pStyle w:val="Heading2"/>
        <w:widowControl/>
      </w:pPr>
      <w:r>
        <w:t xml:space="preserve">Point Estimates, Paired Gaps, and Clusters</w:t>
      </w:r>
    </w:p>
    <w:p>
      <w:pPr>
        <w:pStyle w:val="FirstParagraph"/>
        <w:widowControl/>
      </w:pPr>
      <w:r>
        <w:t xml:space="preserve">For a baseline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nor/>
            <m:sty m:val="p"/>
          </m:rPr>
          <m:t>always-adapt</m:t>
        </m:r>
        <m:r>
          <m:rPr>
            <m:sty m:val="p"/>
          </m:rPr>
          <m:t>,</m:t>
        </m:r>
        <m:r>
          <m:rPr>
            <m:nor/>
            <m:sty m:val="p"/>
          </m:rPr>
          <m:t>always-freeze</m:t>
        </m:r>
        <m:r>
          <m:rPr>
            <m:sty m:val="p"/>
          </m:rPr>
          <m:t>}</m:t>
        </m:r>
      </m:oMath>
      <w:r>
        <w:t xml:space="preserve">, the paired routing gap at</w:t>
      </w:r>
      <w:r>
        <w:t xml:space="preserve"> </w:t>
      </w:r>
      <w:r>
        <w:t xml:space="preserve">condition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</w:p>
    <w:p>
      <w:pPr>
        <w:pStyle w:val="BodyText"/>
        <w:widowControl/>
      </w:pPr>
      <m:oMathPara>
        <m:oMathParaPr>
          <m:jc m:val="center"/>
        </m:oMathParaPr>
        <m:oMath>
          <m:sSub>
            <m:e>
              <m:r>
                <m:t>G</m:t>
              </m:r>
            </m:e>
            <m:sub>
              <m:r>
                <m:t>b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regret</m:t>
              </m:r>
            </m:e>
            <m:sub>
              <m:r>
                <m:t>b</m:t>
              </m:r>
              <m:r>
                <m:rPr>
                  <m:sty m:val="p"/>
                </m:rPr>
                <m:t>,</m:t>
              </m:r>
              <m:r>
                <m:t>j</m:t>
              </m:r>
            </m:sub>
          </m:sSub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regret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,</m:t>
              </m:r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  <w:widowControl/>
      </w:pPr>
      <w:r>
        <w:t xml:space="preserve">A positive mean gap favors KGA. All paired routing-gap intervals reported in this paper use this</w:t>
      </w:r>
      <w:r>
        <w:t xml:space="preserve"> </w:t>
      </w:r>
      <w:r>
        <w:t xml:space="preserve">baseline-minus-KGA sign convention. A point-estimate beats-both statement requires both means to be</w:t>
      </w:r>
      <w:r>
        <w:t xml:space="preserve"> </w:t>
      </w:r>
      <w:r>
        <w:t xml:space="preserve">positive. A CI-robust statement additionally requires the lower confidence limit for both paired</w:t>
      </w:r>
      <w:r>
        <w:t xml:space="preserve"> </w:t>
      </w:r>
      <w:r>
        <w:t xml:space="preserve">means to exceed zero at the declared resampling unit. These definitions are intentionally separate:</w:t>
      </w:r>
      <w:r>
        <w:t xml:space="preserve"> </w:t>
      </w:r>
      <w:r>
        <w:t xml:space="preserve">Table 4 can establish a point ordering, but not an inference claim without</w:t>
      </w:r>
      <w:r>
        <w:t xml:space="preserve"> </w:t>
      </w:r>
      <w:r>
        <w:t xml:space="preserve">the associated unit and interval artifact.</w:t>
      </w:r>
    </w:p>
    <w:p>
      <w:pPr>
        <w:pStyle w:val="BodyText"/>
        <w:widowControl/>
      </w:pPr>
      <w:r>
        <w:t xml:space="preserve">Condition-level resampling treats cells as exchangeable and is optimistic when severities and</w:t>
      </w:r>
      <w:r>
        <w:t xml:space="preserve"> </w:t>
      </w:r>
      <w:r>
        <w:t xml:space="preserve">compositions share a corruption family. Corruption-family resampling is more conservative but has</w:t>
      </w:r>
      <w:r>
        <w:t xml:space="preserve"> </w:t>
      </w:r>
      <w:r>
        <w:t xml:space="preserve">few clusters. Seed resampling measures variation across repeated training or test streams only when</w:t>
      </w:r>
      <w:r>
        <w:t xml:space="preserve"> </w:t>
      </w:r>
      <w:r>
        <w:t xml:space="preserve">the seeds represent the intended deployment randomness. The compact paper therefore does not use</w:t>
      </w:r>
      <w:r>
        <w:t xml:space="preserve"> </w:t>
      </w:r>
      <w:r>
        <w:t xml:space="preserve">one generic</w:t>
      </w:r>
      <w:r>
        <w:t xml:space="preserve"> </w:t>
      </w:r>
      <w:r>
        <w:t xml:space="preserve">“bootstrap CI”</w:t>
      </w:r>
      <w:r>
        <w:t xml:space="preserve"> </w:t>
      </w:r>
      <w:r>
        <w:t xml:space="preserve">label. An inference claim must state whether the unit is cell,</w:t>
      </w:r>
      <w:r>
        <w:t xml:space="preserve"> </w:t>
      </w:r>
      <w:r>
        <w:t xml:space="preserve">corruption–severity pair, corruption family, seed, backbone, domain, or physical session.</w:t>
      </w:r>
    </w:p>
    <w:bookmarkEnd w:id="119"/>
    <w:bookmarkStart w:id="120" w:name="false-adapt-accounting"/>
    <w:p>
      <w:pPr>
        <w:pStyle w:val="Heading2"/>
        <w:widowControl/>
      </w:pPr>
      <w:r>
        <w:t xml:space="preserve">False-Adapt Accounting</w:t>
      </w:r>
    </w:p>
    <w:p>
      <w:pPr>
        <w:pStyle w:val="FirstParagraph"/>
        <w:widowControl/>
      </w:pPr>
      <w:r>
        <w:t xml:space="preserve">The event in Eq. (2) is unconditional. Its empirical estimate divides false</w:t>
      </w:r>
      <w:r>
        <w:t xml:space="preserve"> </w:t>
      </w:r>
      <w:r>
        <w:t xml:space="preserve">adapt decisions by all evaluated units, including freezes and abstentions. Conditional false-adapt</w:t>
      </w:r>
      <w:r>
        <w:t xml:space="preserve"> </w:t>
      </w:r>
      <w:r>
        <w:t xml:space="preserve">divides by adapt decisions and is undefined when no adaptation occurs. A zero observed count should</w:t>
      </w:r>
      <w:r>
        <w:t xml:space="preserve"> </w:t>
      </w:r>
      <w:r>
        <w:t xml:space="preserve">be accompanied by the number of adapt decisions; otherwise a controller that never adapts appears</w:t>
      </w:r>
      <w:r>
        <w:t xml:space="preserve"> </w:t>
      </w:r>
      <w:r>
        <w:t xml:space="preserve">perfect. Table 10 exposes that denominator.</w:t>
      </w:r>
    </w:p>
    <w:p>
      <w:pPr>
        <w:pStyle w:val="BodyText"/>
        <w:widowControl/>
      </w:pPr>
      <w:r>
        <w:t xml:space="preserve">If the scored residual is included in the same finite residual vector whose order statistic decides</w:t>
      </w:r>
      <w:r>
        <w:t xml:space="preserve"> </w:t>
      </w:r>
      <w:r>
        <w:t xml:space="preserve">the action, the number of residuals above the order statistic is algebraically constrained. Such</w:t>
      </w:r>
      <w:r>
        <w:t xml:space="preserve"> </w:t>
      </w:r>
      <w:r>
        <w:t xml:space="preserve">coverage is not an independent empirical validation. Excluding the scored residual removes that</w:t>
      </w:r>
      <w:r>
        <w:t xml:space="preserve"> </w:t>
      </w:r>
      <w:r>
        <w:t xml:space="preserve">direct identity but does not automatically provide the exchangeability or stability needed for a</w:t>
      </w:r>
      <w:r>
        <w:t xml:space="preserve"> </w:t>
      </w:r>
      <w:r>
        <w:t xml:space="preserve">finite-sample theorem. Clean split calibration and LOO empirical calibration must therefore remain</w:t>
      </w:r>
      <w:r>
        <w:t xml:space="preserve"> </w:t>
      </w:r>
      <w:r>
        <w:t xml:space="preserve">different protocol labels.</w:t>
      </w:r>
    </w:p>
    <w:bookmarkEnd w:id="120"/>
    <w:bookmarkStart w:id="121" w:name="multiplicity-and-search-history"/>
    <w:p>
      <w:pPr>
        <w:pStyle w:val="Heading2"/>
        <w:widowControl/>
      </w:pPr>
      <w:r>
        <w:t xml:space="preserve">Multiplicity and Search History</w:t>
      </w:r>
    </w:p>
    <w:p>
      <w:pPr>
        <w:pStyle w:val="FirstParagraph"/>
        <w:widowControl/>
      </w:pPr>
      <w:r>
        <w:t xml:space="preserve">An earlier repository census counted many exploratory beats-both fields, but it did not freeze the</w:t>
      </w:r>
      <w:r>
        <w:t xml:space="preserve"> </w:t>
      </w:r>
      <w:r>
        <w:t xml:space="preserve">file list and commit needed to reproduce a current total. We therefore do not promote that count or</w:t>
      </w:r>
      <w:r>
        <w:t xml:space="preserve"> </w:t>
      </w:r>
      <w:r>
        <w:t xml:space="preserve">its positive rate as release evidence. The panel in this paper is a post-hoc reconciled audit panel</w:t>
      </w:r>
      <w:r>
        <w:t xml:space="preserve"> </w:t>
      </w:r>
      <w:r>
        <w:t xml:space="preserve">assembled from individually locked and historical protocols; it is not a globally preregistered</w:t>
      </w:r>
      <w:r>
        <w:t xml:space="preserve"> </w:t>
      </w:r>
      <w:r>
        <w:t xml:space="preserve">confirmatory family. A result selected after a search cannot become confirmatory by correcting only</w:t>
      </w:r>
      <w:r>
        <w:t xml:space="preserve"> </w:t>
      </w:r>
      <w:r>
        <w:t xml:space="preserve">the final positive rows. Future confirmatory families must name every candidate–track test before</w:t>
      </w:r>
      <w:r>
        <w:t xml:space="preserve"> </w:t>
      </w:r>
      <w:r>
        <w:t xml:space="preserve">any test value is computed, and must retain failures and incomplete runs.</w:t>
      </w:r>
    </w:p>
    <w:bookmarkEnd w:id="121"/>
    <w:bookmarkEnd w:id="122"/>
    <w:bookmarkStart w:id="124" w:name="X283baf0007a465db92389c619e14a6d42fb62e0"/>
    <w:p>
      <w:pPr>
        <w:pStyle w:val="Heading1"/>
        <w:widowControl/>
      </w:pPr>
      <w:r>
        <w:t xml:space="preserve">Track-Level Provenance and Remaining Evidence</w:t>
      </w:r>
    </w:p>
    <w:p>
      <w:pPr>
        <w:pStyle w:val="TableCaption"/>
        <w:widowControl/>
      </w:pPr>
      <w:r>
        <w:t xml:space="preserve">Table 11. What is present in the compact release and what remains unavailable.</w:t>
      </w:r>
      <w:r>
        <w:t xml:space="preserve"> </w:t>
      </w:r>
      <w:r>
        <w:t xml:space="preserve">“Replay”</w:t>
      </w:r>
      <w:r>
        <w:t xml:space="preserve"> </w:t>
      </w:r>
      <w:r>
        <w:t xml:space="preserve">means the</w:t>
      </w:r>
      <w:r>
        <w:t xml:space="preserve"> </w:t>
      </w:r>
      <w:r>
        <w:t xml:space="preserve">stored quantities suffice to recompute the displayed gate output under the released scorer.</w:t>
      </w:r>
    </w:p>
    <w:tbl>
      <w:tblPr>
        <w:tblStyle w:val="Table"/>
        <w:tblW w:type="dxa" w:w="9960"/>
        <w:jc w:val="left"/>
        <w:tblLayout w:type="fixed"/>
        <w:tblLook w:firstRow="1" w:lastRow="0" w:firstColumn="0" w:lastColumn="0" w:noHBand="0" w:noVBand="0" w:val="0020"/>
        <w:tblCaption w:val="Table 11. What is present in the compact release and what remains unavailable. “Replay” means the stored quantities suffice to recompute the displayed gate output under the released scorer."/>
        <w:tblInd w:w="120" w:type="dxa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965"/>
        <w:gridCol w:w="1322"/>
        <w:gridCol w:w="3836"/>
        <w:gridCol w:w="3837"/>
      </w:tblGrid>
      <w:tr>
        <w:trPr>
          <w:tblHeader w:val="on"/>
          <w:tblHeader w:val="true"/>
        </w:trPr>
        <w:tc>
          <w:tcPr>
            <w:tcW w:w="965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E8EEF5"/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t xml:space="preserve">Track</w:t>
            </w:r>
          </w:p>
        </w:tc>
        <w:tc>
          <w:tcPr>
            <w:tcW w:w="1322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E8EEF5"/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t xml:space="preserve">Released status</w:t>
            </w:r>
          </w:p>
        </w:tc>
        <w:tc>
          <w:tcPr>
            <w:tcW w:w="3836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E8EEF5"/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t xml:space="preserve">Present evidence</w:t>
            </w:r>
          </w:p>
        </w:tc>
        <w:tc>
          <w:tcPr>
            <w:tcW w:w="3837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E8EEF5"/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t xml:space="preserve">Remaining limitation</w:t>
            </w:r>
          </w:p>
        </w:tc>
      </w:tr>
      <w:tr>
        <w:tc>
          <w:tcPr>
            <w:tcW w:w="965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CIFAR-10-C</w:t>
            </w:r>
          </w:p>
        </w:tc>
        <w:tc>
          <w:tcPr>
            <w:tcW w:w="1322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replayable</w:t>
            </w:r>
          </w:p>
        </w:tc>
        <w:tc>
          <w:tcPr>
            <w:tcW w:w="3836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per-condition</w:t>
            </w:r>
            <w:r>
              <w:rPr>
                <w:rFonts w:ascii="Times New Roman" w:hAnsi="Times New Roman"/>
                <w:sz w:val="16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</m:oMath>
            <w:r>
              <w:rPr>
                <w:rFonts w:ascii="Times New Roman" w:hAnsi="Times New Roman"/>
                <w:sz w:val="16"/>
              </w:rPr>
              <w:t xml:space="preserve">,</w:t>
            </w:r>
            <w:r>
              <w:rPr>
                <w:rFonts w:ascii="Times New Roman" w:hAnsi="Times New Roman"/>
                <w:sz w:val="16"/>
              </w:rP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</m:e>
              </m:acc>
            </m:oMath>
            <w:r>
              <w:rPr>
                <w:rFonts w:ascii="Times New Roman" w:hAnsi="Times New Roman"/>
                <w:sz w:val="16"/>
              </w:rPr>
              <w:t xml:space="preserve">, radius, action; 5 seeds; 3 candidates</w:t>
            </w:r>
          </w:p>
        </w:tc>
        <w:tc>
          <w:tcPr>
            <w:tcW w:w="3837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related grid cells; no untouched corruption-family test in canonical table</w:t>
            </w:r>
          </w:p>
        </w:tc>
      </w:tr>
      <w:tr>
        <w:tc>
          <w:tcPr>
            <w:tcW w:w="965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ImageNet-C</w:t>
            </w:r>
          </w:p>
        </w:tc>
        <w:tc>
          <w:tcPr>
            <w:tcW w:w="1322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replayable</w:t>
            </w:r>
          </w:p>
        </w:tc>
        <w:tc>
          <w:tcPr>
            <w:tcW w:w="3836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per-condition records for 5 seeds and Tent/EATA/SAR</w:t>
            </w:r>
          </w:p>
        </w:tc>
        <w:tc>
          <w:tcPr>
            <w:tcW w:w="3837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27-cell controlled configuration; candidate-specific, not one policy</w:t>
            </w:r>
          </w:p>
        </w:tc>
      </w:tr>
      <w:tr>
        <w:tc>
          <w:tcPr>
            <w:tcW w:w="965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Office-Home</w:t>
            </w:r>
          </w:p>
        </w:tc>
        <w:tc>
          <w:tcPr>
            <w:tcW w:w="1322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replayable</w:t>
            </w:r>
          </w:p>
        </w:tc>
        <w:tc>
          <w:tcPr>
            <w:tcW w:w="3836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canonical primary and 54-cell stream-seed records; later five-checkpoint audit reported separately</w:t>
            </w:r>
          </w:p>
        </w:tc>
        <w:tc>
          <w:tcPr>
            <w:tcW w:w="3837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full-fit-versus-OOF transfer-stability premise not predeclared</w:t>
            </w:r>
          </w:p>
        </w:tc>
      </w:tr>
      <w:tr>
        <w:tc>
          <w:tcPr>
            <w:tcW w:w="965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iWildCam</w:t>
            </w:r>
          </w:p>
        </w:tc>
        <w:tc>
          <w:tcPr>
            <w:tcW w:w="1322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withheld</w:t>
            </w:r>
          </w:p>
        </w:tc>
        <w:tc>
          <w:tcPr>
            <w:tcW w:w="3836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archived opened test-split records; non-promoted official-metric diagnostic</w:t>
            </w:r>
          </w:p>
        </w:tc>
        <w:tc>
          <w:tcPr>
            <w:tcW w:w="3837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wrong archived metric; population was not sealed and overlap is unauditable</w:t>
            </w:r>
          </w:p>
        </w:tc>
      </w:tr>
      <w:tr>
        <w:tc>
          <w:tcPr>
            <w:tcW w:w="965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Camelyon17</w:t>
            </w:r>
          </w:p>
        </w:tc>
        <w:tc>
          <w:tcPr>
            <w:tcW w:w="1322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replayable diagnostic</w:t>
            </w:r>
          </w:p>
        </w:tc>
        <w:tc>
          <w:tcPr>
            <w:tcW w:w="3836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archived opened OOD row plus separate B–v2 diagnostics</w:t>
            </w:r>
          </w:p>
        </w:tc>
        <w:tc>
          <w:tcPr>
            <w:tcW w:w="3837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OOD row is one-sided and non-prospective; B–v2 is not untouched-domain evidence</w:t>
            </w:r>
          </w:p>
        </w:tc>
      </w:tr>
      <w:tr>
        <w:tc>
          <w:tcPr>
            <w:tcW w:w="965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RxRx1</w:t>
            </w:r>
          </w:p>
        </w:tc>
        <w:tc>
          <w:tcPr>
            <w:tcW w:w="1322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replayable</w:t>
            </w:r>
          </w:p>
        </w:tc>
        <w:tc>
          <w:tcPr>
            <w:tcW w:w="3836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displayed model-seed-0 row plus three model-checkpoint records and source hashes</w:t>
            </w:r>
          </w:p>
        </w:tc>
        <w:tc>
          <w:tcPr>
            <w:tcW w:w="3837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all three checkpoints freeze throughout; no helpful test conditions</w:t>
            </w:r>
          </w:p>
        </w:tc>
      </w:tr>
      <w:tr>
        <w:tc>
          <w:tcPr>
            <w:tcW w:w="965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CCT-20</w:t>
            </w:r>
          </w:p>
        </w:tc>
        <w:tc>
          <w:tcPr>
            <w:tcW w:w="1322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sealed complete</w:t>
            </w:r>
          </w:p>
        </w:tc>
        <w:tc>
          <w:tcPr>
            <w:tcW w:w="3836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5 independent checkpoints, 9 target locations, actions, predictions, score, and inference hashes</w:t>
            </w:r>
          </w:p>
        </w:tc>
        <w:tc>
          <w:tcPr>
            <w:tcW w:w="3837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only two fit locations; no ADAPT exposure; trans-target extrapolation</w:t>
            </w:r>
          </w:p>
        </w:tc>
      </w:tr>
      <w:tr>
        <w:tc>
          <w:tcPr>
            <w:tcW w:w="965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PACS</w:t>
            </w:r>
          </w:p>
        </w:tc>
        <w:tc>
          <w:tcPr>
            <w:tcW w:w="1322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partial</w:t>
            </w:r>
          </w:p>
        </w:tc>
        <w:tc>
          <w:tcPr>
            <w:tcW w:w="3836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three-seed aggregate and source cross-checks</w:t>
            </w:r>
          </w:p>
        </w:tc>
        <w:tc>
          <w:tcPr>
            <w:tcW w:w="3837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missing per-cell</w:t>
            </w:r>
            <w:r>
              <w:rPr>
                <w:rFonts w:ascii="Times New Roman" w:hAnsi="Times New Roman"/>
                <w:sz w:val="16"/>
              </w:rP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</m:e>
              </m:acc>
            </m:oMath>
            <w:r>
              <w:rPr>
                <w:rFonts w:ascii="Times New Roman" w:hAnsi="Times New Roman"/>
                <w:sz w:val="16"/>
              </w:rPr>
              <w:t xml:space="preserve"> </w:t>
            </w:r>
            <w:r>
              <w:rPr>
                <w:rFonts w:ascii="Times New Roman" w:hAnsi="Times New Roman"/>
                <w:sz w:val="16"/>
              </w:rPr>
              <w:t xml:space="preserve">and residuals prevent full gate replay</w:t>
            </w:r>
          </w:p>
        </w:tc>
      </w:tr>
      <w:tr>
        <w:tc>
          <w:tcPr>
            <w:tcW w:w="965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ImageNet-R</w:t>
            </w:r>
          </w:p>
        </w:tc>
        <w:tc>
          <w:tcPr>
            <w:tcW w:w="1322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replayable</w:t>
            </w:r>
          </w:p>
        </w:tc>
        <w:tc>
          <w:tcPr>
            <w:tcW w:w="3836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4 seeds, 10 candidate backbones, 12 conditions each</w:t>
            </w:r>
          </w:p>
        </w:tc>
        <w:tc>
          <w:tcPr>
            <w:tcW w:w="3837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architecture aggregate is diagnostic, not one deployable router</w:t>
            </w:r>
          </w:p>
        </w:tc>
      </w:tr>
      <w:tr>
        <w:tc>
          <w:tcPr>
            <w:tcW w:w="965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CIFAR-10.1</w:t>
            </w:r>
          </w:p>
        </w:tc>
        <w:tc>
          <w:tcPr>
            <w:tcW w:w="1322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replayable</w:t>
            </w:r>
          </w:p>
        </w:tc>
        <w:tc>
          <w:tcPr>
            <w:tcW w:w="3836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locked cross-seed condition records</w:t>
            </w:r>
          </w:p>
        </w:tc>
        <w:tc>
          <w:tcPr>
            <w:tcW w:w="3837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negative low-margin result; no natural beats-both claim</w:t>
            </w:r>
          </w:p>
        </w:tc>
      </w:tr>
      <w:tr>
        <w:tc>
          <w:tcPr>
            <w:tcW w:w="965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Physical camera</w:t>
            </w:r>
          </w:p>
        </w:tc>
        <w:tc>
          <w:tcPr>
            <w:tcW w:w="1322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protocol only</w:t>
            </w:r>
          </w:p>
        </w:tc>
        <w:tc>
          <w:tcPr>
            <w:tcW w:w="3836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dashboard, logging schema, planned session split</w:t>
            </w:r>
          </w:p>
        </w:tc>
        <w:tc>
          <w:tcPr>
            <w:tcW w:w="3837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no fresh held-out physical recordings or result table</w:t>
            </w:r>
          </w:p>
        </w:tc>
      </w:tr>
    </w:tbl>
    <w:p>
      <w:pPr>
        <w:pStyle w:val="BodyText"/>
        <w:widowControl/>
      </w:pPr>
      <w:r>
        <w:t xml:space="preserve">The provenance table is part of the result, not administrative metadata. A reviewer can trace a</w:t>
      </w:r>
      <w:r>
        <w:t xml:space="preserve"> </w:t>
      </w:r>
      <w:r>
        <w:t xml:space="preserve">canonical row to compact records and their original archive hashes. If the original large artifact</w:t>
      </w:r>
      <w:r>
        <w:t xml:space="preserve"> </w:t>
      </w:r>
      <w:r>
        <w:t xml:space="preserve">is not shipped, the manifest still records its byte count and digest. This guards against silent</w:t>
      </w:r>
      <w:r>
        <w:t xml:space="preserve"> </w:t>
      </w:r>
      <w:r>
        <w:t xml:space="preserve">replacement of a result while allowing the release to omit raw datasets and oversized transient</w:t>
      </w:r>
      <w:r>
        <w:t xml:space="preserve"> </w:t>
      </w:r>
      <w:r>
        <w:t xml:space="preserve">checkpoints.</w:t>
      </w:r>
    </w:p>
    <w:p>
      <w:pPr>
        <w:pStyle w:val="BodyText"/>
        <w:widowControl/>
      </w:pPr>
      <w:r>
        <w:t xml:space="preserve">Three upgrades would materially strengthen the empirical case. First, hold out entire shift</w:t>
      </w:r>
      <w:r>
        <w:t xml:space="preserve"> </w:t>
      </w:r>
      <w:r>
        <w:t xml:space="preserve">families rather than individual controlled cells and fit all hyperparameters before opening the</w:t>
      </w:r>
      <w:r>
        <w:t xml:space="preserve"> </w:t>
      </w:r>
      <w:r>
        <w:t xml:space="preserve">family. Second, add independent model and test-session seeds to the natural tracks that currently</w:t>
      </w:r>
      <w:r>
        <w:t xml:space="preserve"> </w:t>
      </w:r>
      <w:r>
        <w:t xml:space="preserve">have one target replay. Third, run the physical protocol with days, devices, and objects assigned at</w:t>
      </w:r>
      <w:r>
        <w:t xml:space="preserve"> </w:t>
      </w:r>
      <w:r>
        <w:t xml:space="preserve">the session level, then score every policy on the same locked streams. These upgrades address</w:t>
      </w:r>
      <w:r>
        <w:t xml:space="preserve"> </w:t>
      </w:r>
      <w:r>
        <w:t xml:space="preserve">dependence and transfer; simply adding more rows from the same grid does not.</w:t>
      </w:r>
    </w:p>
    <w:bookmarkStart w:id="123" w:name="cct-20-location-and-release-ledger"/>
    <w:p>
      <w:pPr>
        <w:pStyle w:val="Heading2"/>
        <w:widowControl/>
      </w:pPr>
      <w:r>
        <w:t xml:space="preserve">CCT-20 Location and Release Ledger</w:t>
      </w:r>
    </w:p>
    <w:p>
      <w:pPr>
        <w:pStyle w:val="FirstParagraph"/>
        <w:widowControl/>
      </w:pPr>
      <w:r>
        <w:t xml:space="preserve">Table 12 reports all nine location clusters. Evaluation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</w:t>
      </w:r>
      <w:r>
        <w:t xml:space="preserve"> </w:t>
      </w:r>
      <w:r>
        <w:t xml:space="preserve">evaluation images per checkpoint at that location. Each A/F/U triplet and each</w:t>
      </w:r>
      <w:r>
        <w:t xml:space="preserve"> </w:t>
      </w:r>
      <w:r>
        <w:t xml:space="preserve">helpful/zero/harmful triplet therefore has denominator five, one cell for each checkpoint. Accuracy</w:t>
      </w:r>
      <w:r>
        <w:t xml:space="preserve"> </w:t>
      </w:r>
      <w:r>
        <w:t xml:space="preserve">differences use one sign throughout: adapted minus frozen for adaptation benefit, and KGA minus the</w:t>
      </w:r>
      <w:r>
        <w:t xml:space="preserve"> </w:t>
      </w:r>
      <w:r>
        <w:t xml:space="preserve">named fixed policy for the two policy columns.</w:t>
      </w:r>
    </w:p>
    <w:p>
      <w:pPr>
        <w:pStyle w:val="TableCaption"/>
        <w:widowControl/>
      </w:pPr>
      <w:r>
        <w:t xml:space="preserve">Table 12. Complete locked CCT-20 location ledger. A/F/U denotes ADAPT/FREEZE/ABSTAIN. Within each</w:t>
      </w:r>
      <w:r>
        <w:t xml:space="preserve"> </w:t>
      </w:r>
      <w:r>
        <w:t xml:space="preserve">location, the three effect columns are equal-weight means over five checkpoint cells. Those cells</w:t>
      </w:r>
      <w:r>
        <w:t xml:space="preserve"> </w:t>
      </w:r>
      <w:r>
        <w:t xml:space="preserve">are repeated-model observations; the inferential cluster unit is the camera location.</w:t>
      </w:r>
    </w:p>
    <w:tbl>
      <w:tblPr>
        <w:tblStyle w:val="Table"/>
        <w:tblW w:type="dxa" w:w="9960"/>
        <w:jc w:val="left"/>
        <w:tblLayout w:type="fixed"/>
        <w:tblLook w:firstRow="1" w:lastRow="0" w:firstColumn="0" w:lastColumn="0" w:noHBand="0" w:noVBand="0" w:val="0020"/>
        <w:tblCaption w:val="Table 12. Complete locked CCT-20 location ledger. A/F/U denotes ADAPT/FREEZE/ABSTAIN. Within each location, the three effect columns are equal-weight means over five checkpoint cells. Those cells are repeated-model observations; the inferential cluster unit is the camera location."/>
        <w:tblInd w:w="120" w:type="dxa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848"/>
        <w:gridCol w:w="1158"/>
        <w:gridCol w:w="1141"/>
        <w:gridCol w:w="1944"/>
        <w:gridCol w:w="1952"/>
        <w:gridCol w:w="1724"/>
        <w:gridCol w:w="1193"/>
      </w:tblGrid>
      <w:tr>
        <w:trPr>
          <w:tblHeader w:val="on"/>
          <w:tblHeader w:val="true"/>
        </w:trPr>
        <w:tc>
          <w:tcPr>
            <w:tcW w:w="848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E8EEF5"/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14"/>
              </w:rPr>
              <w:t xml:space="preserve">Camera</w:t>
            </w:r>
          </w:p>
        </w:tc>
        <w:tc>
          <w:tcPr>
            <w:tcW w:w="1158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E8EEF5"/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14"/>
              </w:rPr>
              <w:t xml:space="preserve">Eval.</w:t>
            </w:r>
            <w:r>
              <w:rPr>
                <w:rFonts w:ascii="Times New Roman" w:hAnsi="Times New Roman"/>
                <w:b/>
                <w:sz w:val="14"/>
              </w:rPr>
              <w:t xml:space="preserve"> </w:t>
            </w:r>
            <m:oMath>
              <m:r>
                <m:t>n</m:t>
              </m:r>
            </m:oMath>
            <w:r>
              <w:rPr>
                <w:rFonts w:ascii="Times New Roman" w:hAnsi="Times New Roman"/>
                <w:b/>
                <w:sz w:val="14"/>
              </w:rPr>
              <w:t xml:space="preserve">/checkpoint</w:t>
            </w:r>
          </w:p>
        </w:tc>
        <w:tc>
          <w:tcPr>
            <w:tcW w:w="1141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E8EEF5"/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14"/>
              </w:rPr>
              <w:t xml:space="preserve">A/F/U (5 cells)</w:t>
            </w:r>
          </w:p>
        </w:tc>
        <w:tc>
          <w:tcPr>
            <w:tcW w:w="194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E8EEF5"/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14"/>
              </w:rPr>
              <w:t xml:space="preserve">Helpful/zero/harmful (5 cells)</w:t>
            </w:r>
          </w:p>
        </w:tc>
        <w:tc>
          <w:tcPr>
            <w:tcW w:w="1952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E8EEF5"/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14"/>
              </w:rPr>
              <w:t xml:space="preserve">Adapt acc.</w:t>
            </w:r>
            <w:r>
              <w:rPr>
                <w:rFonts w:ascii="Times New Roman" w:hAnsi="Times New Roman"/>
                <w:b/>
                <w:sz w:val="14"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rPr>
                <w:rFonts w:ascii="Times New Roman" w:hAnsi="Times New Roman"/>
                <w:b/>
                <w:sz w:val="14"/>
              </w:rPr>
              <w:t xml:space="preserve"> </w:t>
            </w:r>
            <w:r>
              <w:rPr>
                <w:rFonts w:ascii="Times New Roman" w:hAnsi="Times New Roman"/>
                <w:b/>
                <w:sz w:val="14"/>
              </w:rPr>
              <w:t xml:space="preserve">freeze acc.</w:t>
            </w:r>
          </w:p>
        </w:tc>
        <w:tc>
          <w:tcPr>
            <w:tcW w:w="172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E8EEF5"/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14"/>
              </w:rPr>
              <w:t xml:space="preserve">KGA acc.</w:t>
            </w:r>
            <w:r>
              <w:rPr>
                <w:rFonts w:ascii="Times New Roman" w:hAnsi="Times New Roman"/>
                <w:b/>
                <w:sz w:val="14"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rPr>
                <w:rFonts w:ascii="Times New Roman" w:hAnsi="Times New Roman"/>
                <w:b/>
                <w:sz w:val="14"/>
              </w:rPr>
              <w:t xml:space="preserve"> </w:t>
            </w:r>
            <w:r>
              <w:rPr>
                <w:rFonts w:ascii="Times New Roman" w:hAnsi="Times New Roman"/>
                <w:b/>
                <w:sz w:val="14"/>
              </w:rPr>
              <w:t xml:space="preserve">adapt acc.</w:t>
            </w:r>
          </w:p>
        </w:tc>
        <w:tc>
          <w:tcPr>
            <w:tcW w:w="1193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E8EEF5"/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14"/>
              </w:rPr>
              <w:t xml:space="preserve">KGA acc.</w:t>
            </w:r>
            <w:r>
              <w:rPr>
                <w:rFonts w:ascii="Times New Roman" w:hAnsi="Times New Roman"/>
                <w:b/>
                <w:sz w:val="14"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rPr>
                <w:rFonts w:ascii="Times New Roman" w:hAnsi="Times New Roman"/>
                <w:b/>
                <w:sz w:val="14"/>
              </w:rPr>
              <w:t xml:space="preserve"> </w:t>
            </w:r>
            <w:r>
              <w:rPr>
                <w:rFonts w:ascii="Times New Roman" w:hAnsi="Times New Roman"/>
                <w:b/>
                <w:sz w:val="14"/>
              </w:rPr>
              <w:t xml:space="preserve">freeze acc.</w:t>
            </w:r>
          </w:p>
        </w:tc>
      </w:tr>
      <w:tr>
        <w:tc>
          <w:tcPr>
            <w:tcW w:w="848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</w:t>
            </w:r>
          </w:p>
        </w:tc>
        <w:tc>
          <w:tcPr>
            <w:tcW w:w="1158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1302</w:t>
            </w:r>
          </w:p>
        </w:tc>
        <w:tc>
          <w:tcPr>
            <w:tcW w:w="1141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0/5/0</w:t>
            </w:r>
          </w:p>
        </w:tc>
        <w:tc>
          <w:tcPr>
            <w:tcW w:w="194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0/0/5</w:t>
            </w:r>
          </w:p>
        </w:tc>
        <w:tc>
          <w:tcPr>
            <w:tcW w:w="1952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-0.54178187</w:t>
            </w:r>
          </w:p>
        </w:tc>
        <w:tc>
          <w:tcPr>
            <w:tcW w:w="172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0.54178187</w:t>
            </w:r>
          </w:p>
        </w:tc>
        <w:tc>
          <w:tcPr>
            <w:tcW w:w="1193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</w:t>
            </w:r>
          </w:p>
        </w:tc>
      </w:tr>
      <w:tr>
        <w:tc>
          <w:tcPr>
            <w:tcW w:w="848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7</w:t>
            </w:r>
          </w:p>
        </w:tc>
        <w:tc>
          <w:tcPr>
            <w:tcW w:w="1158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1283</w:t>
            </w:r>
          </w:p>
        </w:tc>
        <w:tc>
          <w:tcPr>
            <w:tcW w:w="1141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0/5/0</w:t>
            </w:r>
          </w:p>
        </w:tc>
        <w:tc>
          <w:tcPr>
            <w:tcW w:w="194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1/0/4</w:t>
            </w:r>
          </w:p>
        </w:tc>
        <w:tc>
          <w:tcPr>
            <w:tcW w:w="1952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-0.02930631</w:t>
            </w:r>
          </w:p>
        </w:tc>
        <w:tc>
          <w:tcPr>
            <w:tcW w:w="172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0.02930631</w:t>
            </w:r>
          </w:p>
        </w:tc>
        <w:tc>
          <w:tcPr>
            <w:tcW w:w="1193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</w:t>
            </w:r>
          </w:p>
        </w:tc>
      </w:tr>
      <w:tr>
        <w:tc>
          <w:tcPr>
            <w:tcW w:w="848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28</w:t>
            </w:r>
          </w:p>
        </w:tc>
        <w:tc>
          <w:tcPr>
            <w:tcW w:w="1158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911</w:t>
            </w:r>
          </w:p>
        </w:tc>
        <w:tc>
          <w:tcPr>
            <w:tcW w:w="1141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0/5/0</w:t>
            </w:r>
          </w:p>
        </w:tc>
        <w:tc>
          <w:tcPr>
            <w:tcW w:w="194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0/0/5</w:t>
            </w:r>
          </w:p>
        </w:tc>
        <w:tc>
          <w:tcPr>
            <w:tcW w:w="1952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-0.05620198</w:t>
            </w:r>
          </w:p>
        </w:tc>
        <w:tc>
          <w:tcPr>
            <w:tcW w:w="172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0.05620198</w:t>
            </w:r>
          </w:p>
        </w:tc>
        <w:tc>
          <w:tcPr>
            <w:tcW w:w="1193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</w:t>
            </w:r>
          </w:p>
        </w:tc>
      </w:tr>
      <w:tr>
        <w:tc>
          <w:tcPr>
            <w:tcW w:w="848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40</w:t>
            </w:r>
          </w:p>
        </w:tc>
        <w:tc>
          <w:tcPr>
            <w:tcW w:w="1158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800</w:t>
            </w:r>
          </w:p>
        </w:tc>
        <w:tc>
          <w:tcPr>
            <w:tcW w:w="1141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0/5/0</w:t>
            </w:r>
          </w:p>
        </w:tc>
        <w:tc>
          <w:tcPr>
            <w:tcW w:w="194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0/0/5</w:t>
            </w:r>
          </w:p>
        </w:tc>
        <w:tc>
          <w:tcPr>
            <w:tcW w:w="1952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-0.12325</w:t>
            </w:r>
          </w:p>
        </w:tc>
        <w:tc>
          <w:tcPr>
            <w:tcW w:w="172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0.12325</w:t>
            </w:r>
          </w:p>
        </w:tc>
        <w:tc>
          <w:tcPr>
            <w:tcW w:w="1193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</w:t>
            </w:r>
          </w:p>
        </w:tc>
      </w:tr>
      <w:tr>
        <w:tc>
          <w:tcPr>
            <w:tcW w:w="848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46</w:t>
            </w:r>
          </w:p>
        </w:tc>
        <w:tc>
          <w:tcPr>
            <w:tcW w:w="1158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4432</w:t>
            </w:r>
          </w:p>
        </w:tc>
        <w:tc>
          <w:tcPr>
            <w:tcW w:w="1141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0/4/1</w:t>
            </w:r>
          </w:p>
        </w:tc>
        <w:tc>
          <w:tcPr>
            <w:tcW w:w="194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0/0/5</w:t>
            </w:r>
          </w:p>
        </w:tc>
        <w:tc>
          <w:tcPr>
            <w:tcW w:w="1952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-0.07233755</w:t>
            </w:r>
          </w:p>
        </w:tc>
        <w:tc>
          <w:tcPr>
            <w:tcW w:w="172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0.07233755</w:t>
            </w:r>
          </w:p>
        </w:tc>
        <w:tc>
          <w:tcPr>
            <w:tcW w:w="1193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</w:t>
            </w:r>
          </w:p>
        </w:tc>
      </w:tr>
      <w:tr>
        <w:tc>
          <w:tcPr>
            <w:tcW w:w="848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78</w:t>
            </w:r>
          </w:p>
        </w:tc>
        <w:tc>
          <w:tcPr>
            <w:tcW w:w="1158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1633</w:t>
            </w:r>
          </w:p>
        </w:tc>
        <w:tc>
          <w:tcPr>
            <w:tcW w:w="1141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0/5/0</w:t>
            </w:r>
          </w:p>
        </w:tc>
        <w:tc>
          <w:tcPr>
            <w:tcW w:w="194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0/0/5</w:t>
            </w:r>
          </w:p>
        </w:tc>
        <w:tc>
          <w:tcPr>
            <w:tcW w:w="1952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-0.08389467</w:t>
            </w:r>
          </w:p>
        </w:tc>
        <w:tc>
          <w:tcPr>
            <w:tcW w:w="172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0.08389467</w:t>
            </w:r>
          </w:p>
        </w:tc>
        <w:tc>
          <w:tcPr>
            <w:tcW w:w="1193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</w:t>
            </w:r>
          </w:p>
        </w:tc>
      </w:tr>
      <w:tr>
        <w:tc>
          <w:tcPr>
            <w:tcW w:w="848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100</w:t>
            </w:r>
          </w:p>
        </w:tc>
        <w:tc>
          <w:tcPr>
            <w:tcW w:w="1158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3441</w:t>
            </w:r>
          </w:p>
        </w:tc>
        <w:tc>
          <w:tcPr>
            <w:tcW w:w="1141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0/5/0</w:t>
            </w:r>
          </w:p>
        </w:tc>
        <w:tc>
          <w:tcPr>
            <w:tcW w:w="194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0/0/5</w:t>
            </w:r>
          </w:p>
        </w:tc>
        <w:tc>
          <w:tcPr>
            <w:tcW w:w="1952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-0.20348736</w:t>
            </w:r>
          </w:p>
        </w:tc>
        <w:tc>
          <w:tcPr>
            <w:tcW w:w="172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0.20348736</w:t>
            </w:r>
          </w:p>
        </w:tc>
        <w:tc>
          <w:tcPr>
            <w:tcW w:w="1193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</w:t>
            </w:r>
          </w:p>
        </w:tc>
      </w:tr>
      <w:tr>
        <w:tc>
          <w:tcPr>
            <w:tcW w:w="848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105</w:t>
            </w:r>
          </w:p>
        </w:tc>
        <w:tc>
          <w:tcPr>
            <w:tcW w:w="1158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1540</w:t>
            </w:r>
          </w:p>
        </w:tc>
        <w:tc>
          <w:tcPr>
            <w:tcW w:w="1141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0/5/0</w:t>
            </w:r>
          </w:p>
        </w:tc>
        <w:tc>
          <w:tcPr>
            <w:tcW w:w="194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0/0/5</w:t>
            </w:r>
          </w:p>
        </w:tc>
        <w:tc>
          <w:tcPr>
            <w:tcW w:w="1952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-0.28922078</w:t>
            </w:r>
          </w:p>
        </w:tc>
        <w:tc>
          <w:tcPr>
            <w:tcW w:w="172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0.28922078</w:t>
            </w:r>
          </w:p>
        </w:tc>
        <w:tc>
          <w:tcPr>
            <w:tcW w:w="1193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</w:t>
            </w:r>
          </w:p>
        </w:tc>
      </w:tr>
      <w:tr>
        <w:tc>
          <w:tcPr>
            <w:tcW w:w="848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130</w:t>
            </w:r>
          </w:p>
        </w:tc>
        <w:tc>
          <w:tcPr>
            <w:tcW w:w="1158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983</w:t>
            </w:r>
          </w:p>
        </w:tc>
        <w:tc>
          <w:tcPr>
            <w:tcW w:w="1141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0/5/0</w:t>
            </w:r>
          </w:p>
        </w:tc>
        <w:tc>
          <w:tcPr>
            <w:tcW w:w="194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0/0/5</w:t>
            </w:r>
          </w:p>
        </w:tc>
        <w:tc>
          <w:tcPr>
            <w:tcW w:w="1952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-0.23763988</w:t>
            </w:r>
          </w:p>
        </w:tc>
        <w:tc>
          <w:tcPr>
            <w:tcW w:w="172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0.23763988</w:t>
            </w:r>
          </w:p>
        </w:tc>
        <w:tc>
          <w:tcPr>
            <w:tcW w:w="1193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</w:t>
            </w:r>
          </w:p>
        </w:tc>
      </w:tr>
    </w:tbl>
    <w:p>
      <w:pPr>
        <w:pStyle w:val="BodyText"/>
        <w:widowControl/>
      </w:pPr>
      <w:r>
        <w:t xml:space="preserve">The release ledger contains all 45 cells: 0 ADAPT, 44</w:t>
      </w:r>
      <w:r>
        <w:t xml:space="preserve"> </w:t>
      </w:r>
      <w:r>
        <w:t xml:space="preserve">FREEZE, and 1 ABSTAIN actions; 1 helpful, 0 zero,</w:t>
      </w:r>
      <w:r>
        <w:t xml:space="preserve"> </w:t>
      </w:r>
      <w:r>
        <w:t xml:space="preserve">and 44 harmful adaptation effects. The release verdict remains</w:t>
      </w:r>
      <w:r>
        <w:t xml:space="preserve"> </w:t>
      </w:r>
      <w:r>
        <w:t xml:space="preserve">SAFE UTILITY ONLY</w:t>
      </w:r>
      <w:r>
        <w:t xml:space="preserve">. The</w:t>
      </w:r>
      <w:r>
        <w:t xml:space="preserve"> </w:t>
      </w:r>
      <w:r>
        <w:t xml:space="preserve">location table is descriptive; exact inference uses the nine location clusters, and no post-hoc</w:t>
      </w:r>
      <w:r>
        <w:t xml:space="preserve"> </w:t>
      </w:r>
      <w:r>
        <w:t xml:space="preserve">aggregate is claimed for the secondary macro-F1 outcome.</w:t>
      </w:r>
    </w:p>
    <w:bookmarkEnd w:id="123"/>
    <w:bookmarkEnd w:id="124"/>
    <w:bookmarkStart w:id="129" w:name="extended-kga-implementation-contract"/>
    <w:p>
      <w:pPr>
        <w:pStyle w:val="Heading1"/>
        <w:widowControl/>
      </w:pPr>
      <w:r>
        <w:t xml:space="preserve">Extended KGA Implementation Contract</w:t>
      </w:r>
    </w:p>
    <w:bookmarkStart w:id="125" w:name="state-isolation"/>
    <w:p>
      <w:pPr>
        <w:pStyle w:val="Heading2"/>
        <w:widowControl/>
      </w:pPr>
      <w:r>
        <w:t xml:space="preserve">State Isolation</w:t>
      </w:r>
    </w:p>
    <w:p>
      <w:pPr>
        <w:pStyle w:val="FirstParagraph"/>
        <w:widowControl/>
      </w:pPr>
      <w:r>
        <w:t xml:space="preserve">The frozen and candidate predictors must not share mutable normalization buffers, optimizer state,</w:t>
      </w:r>
      <w:r>
        <w:t xml:space="preserve"> </w:t>
      </w:r>
      <w:r>
        <w:t xml:space="preserve">or parameter storage during preview. The candidate is created from a checkpoint, adapted on the</w:t>
      </w:r>
      <w:r>
        <w:t xml:space="preserve"> </w:t>
      </w:r>
      <w:r>
        <w:t xml:space="preserve">unlabeled window, and evaluated without overwriting the active state. Only an adapt decision may</w:t>
      </w:r>
      <w:r>
        <w:t xml:space="preserve"> </w:t>
      </w:r>
      <w:r>
        <w:t xml:space="preserve">replace the active checkpoint. Freeze and abstain discard the temporary state. A unit test should</w:t>
      </w:r>
      <w:r>
        <w:t xml:space="preserve"> </w:t>
      </w:r>
      <w:r>
        <w:t xml:space="preserve">hash the active parameters before and after each non-adapt decision and require equality.</w:t>
      </w:r>
    </w:p>
    <w:bookmarkEnd w:id="125"/>
    <w:bookmarkStart w:id="126" w:name="evidence-determinism"/>
    <w:p>
      <w:pPr>
        <w:pStyle w:val="Heading2"/>
        <w:widowControl/>
      </w:pPr>
      <w:r>
        <w:t xml:space="preserve">Evidence Determinism</w:t>
      </w:r>
    </w:p>
    <w:p>
      <w:pPr>
        <w:pStyle w:val="FirstParagraph"/>
        <w:widowControl/>
      </w:pPr>
      <w:r>
        <w:t xml:space="preserve">Evidence extraction must define preprocessing, batch order, numerical precision, class ordering,</w:t>
      </w:r>
      <w:r>
        <w:t xml:space="preserve"> </w:t>
      </w:r>
      <w:r>
        <w:t xml:space="preserve">normalization constants, and missing-value behavior. Paired features require frozen and candidate</w:t>
      </w:r>
      <w:r>
        <w:t xml:space="preserve"> </w:t>
      </w:r>
      <w:r>
        <w:t xml:space="preserve">outputs on the same samples in the same order. Source statistics and ATC thresholds are immutable</w:t>
      </w:r>
      <w:r>
        <w:t xml:space="preserve"> </w:t>
      </w:r>
      <w:r>
        <w:t xml:space="preserve">calibration artifacts. Evidence schema versions should be explicit rather than inferred from vector</w:t>
      </w:r>
      <w:r>
        <w:t xml:space="preserve"> </w:t>
      </w:r>
      <w:r>
        <w:t xml:space="preserve">length, because two schemas can share a dimension while changing semantics.</w:t>
      </w:r>
    </w:p>
    <w:bookmarkEnd w:id="126"/>
    <w:bookmarkStart w:id="127" w:name="calibration-identity"/>
    <w:p>
      <w:pPr>
        <w:pStyle w:val="Heading2"/>
        <w:widowControl/>
      </w:pPr>
      <w:r>
        <w:t xml:space="preserve">Calibration Identity</w:t>
      </w:r>
    </w:p>
    <w:p>
      <w:pPr>
        <w:pStyle w:val="FirstParagraph"/>
        <w:widowControl/>
      </w:pPr>
      <w:r>
        <w:t xml:space="preserve">The calibration identity should hash the source checkpoint, candidate adapter class, adapted</w:t>
      </w:r>
      <w:r>
        <w:t xml:space="preserve"> </w:t>
      </w:r>
      <w:r>
        <w:t xml:space="preserve">parameter names, optimizer and learning rate, update steps, evidence schema, benefit-model</w:t>
      </w:r>
      <w:r>
        <w:t xml:space="preserve"> </w:t>
      </w:r>
      <w:r>
        <w:t xml:space="preserve">hyperparameters, feature scaler, residual construction,</w:t>
      </w:r>
      <w:r>
        <w:t xml:space="preserve"> </w:t>
      </w:r>
      <m:oMath>
        <m:r>
          <m:t>α</m:t>
        </m:r>
      </m:oMath>
      <w:r>
        <w:t xml:space="preserve">, and inference-unit definition.</w:t>
      </w:r>
      <w:r>
        <w:t xml:space="preserve"> </w:t>
      </w:r>
      <w:r>
        <w:t xml:space="preserve">The radius belongs to that identity. Reusing it after a candidate or evidence change is not a benign</w:t>
      </w:r>
      <w:r>
        <w:t xml:space="preserve"> </w:t>
      </w:r>
      <w:r>
        <w:t xml:space="preserve">software optimization; it changes the random variable whose residual is being covered.</w:t>
      </w:r>
    </w:p>
    <w:bookmarkEnd w:id="127"/>
    <w:bookmarkStart w:id="128" w:name="runtime-accounting"/>
    <w:p>
      <w:pPr>
        <w:pStyle w:val="Heading2"/>
        <w:widowControl/>
      </w:pPr>
      <w:r>
        <w:t xml:space="preserve">Runtime Accounting</w:t>
      </w:r>
    </w:p>
    <w:p>
      <w:pPr>
        <w:pStyle w:val="FirstParagraph"/>
        <w:widowControl/>
      </w:pPr>
      <w:r>
        <w:t xml:space="preserve">A deployment report should time capture/preprocessing, frozen inference, candidate adaptation,</w:t>
      </w:r>
      <w:r>
        <w:t xml:space="preserve"> </w:t>
      </w:r>
      <w:r>
        <w:t xml:space="preserve">candidate inference, evidence extraction, benefit prediction, interval decision, copy creation, and</w:t>
      </w:r>
      <w:r>
        <w:t xml:space="preserve"> </w:t>
      </w:r>
      <w:r>
        <w:t xml:space="preserve">rollback separately. Mean and tail latency should be reported at the decision-window level. Peak</w:t>
      </w:r>
      <w:r>
        <w:t xml:space="preserve"> </w:t>
      </w:r>
      <w:r>
        <w:t xml:space="preserve">memory should include both model states and optimizer buffers. The compact manuscript leaves these</w:t>
      </w:r>
      <w:r>
        <w:t xml:space="preserve"> </w:t>
      </w:r>
      <w:r>
        <w:t xml:space="preserve">cells unfilled because the canonical cross-dataset manifest does not provide one comparable runtime</w:t>
      </w:r>
      <w:r>
        <w:t xml:space="preserve"> </w:t>
      </w:r>
      <w:r>
        <w:t xml:space="preserve">measurement. Omitting an unsupported number is preferable to quoting controller-only latency as</w:t>
      </w:r>
      <w:r>
        <w:t xml:space="preserve"> </w:t>
      </w:r>
      <w:r>
        <w:t xml:space="preserve">end-to-end cost.</w:t>
      </w:r>
    </w:p>
    <w:bookmarkEnd w:id="128"/>
    <w:bookmarkEnd w:id="129"/>
    <w:bookmarkStart w:id="130" w:name="evidence-inventory"/>
    <w:p>
      <w:pPr>
        <w:pStyle w:val="Heading1"/>
        <w:widowControl/>
      </w:pPr>
      <w:r>
        <w:t xml:space="preserve">Evidence Inventory</w:t>
      </w:r>
    </w:p>
    <w:p>
      <w:pPr>
        <w:pStyle w:val="TableCaption"/>
        <w:widowControl/>
      </w:pPr>
      <w:r>
        <w:t xml:space="preserve">Table 13. Feature families used by the maintained implementation. All quantities are aggregate</w:t>
      </w:r>
      <w:r>
        <w:t xml:space="preserve"> </w:t>
      </w:r>
      <w:r>
        <w:t xml:space="preserve">statistics of unlabeled inputs, frozen/candidate outputs, or the proposed update.</w:t>
      </w:r>
    </w:p>
    <w:tbl>
      <w:tblPr>
        <w:tblStyle w:val="Table"/>
        <w:tblW w:type="dxa" w:w="9960"/>
        <w:jc w:val="left"/>
        <w:tblLayout w:type="fixed"/>
        <w:tblLook w:firstRow="1" w:lastRow="0" w:firstColumn="0" w:lastColumn="0" w:noHBand="0" w:noVBand="0" w:val="0020"/>
        <w:tblCaption w:val="Table 13. Feature families used by the maintained implementation. All quantities are aggregate statistics of unlabeled inputs, frozen/candidate outputs, or the proposed update."/>
        <w:tblInd w:w="120" w:type="dxa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1458"/>
        <w:gridCol w:w="3354"/>
        <w:gridCol w:w="2226"/>
        <w:gridCol w:w="2922"/>
      </w:tblGrid>
      <w:tr>
        <w:trPr>
          <w:tblHeader w:val="on"/>
          <w:tblHeader w:val="true"/>
        </w:trPr>
        <w:tc>
          <w:tcPr>
            <w:tcW w:w="1458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E8EEF5"/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t xml:space="preserve">Family</w:t>
            </w:r>
          </w:p>
        </w:tc>
        <w:tc>
          <w:tcPr>
            <w:tcW w:w="335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E8EEF5"/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t xml:space="preserve">Representative coordinates</w:t>
            </w:r>
          </w:p>
        </w:tc>
        <w:tc>
          <w:tcPr>
            <w:tcW w:w="2226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E8EEF5"/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t xml:space="preserve">Required state</w:t>
            </w:r>
          </w:p>
        </w:tc>
        <w:tc>
          <w:tcPr>
            <w:tcW w:w="2922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E8EEF5"/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t xml:space="preserve">Failure handling</w:t>
            </w:r>
          </w:p>
        </w:tc>
      </w:tr>
      <w:tr>
        <w:tc>
          <w:tcPr>
            <w:tcW w:w="1458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Predictive uncertainty</w:t>
            </w:r>
          </w:p>
        </w:tc>
        <w:tc>
          <w:tcPr>
            <w:tcW w:w="335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mean entropy, confidence, quantiles</w:t>
            </w:r>
          </w:p>
        </w:tc>
        <w:tc>
          <w:tcPr>
            <w:tcW w:w="2226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frozen/candidate softmax</w:t>
            </w:r>
          </w:p>
        </w:tc>
        <w:tc>
          <w:tcPr>
            <w:tcW w:w="2922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reject NaN or malformed probabilities</w:t>
            </w:r>
          </w:p>
        </w:tc>
      </w:tr>
      <w:tr>
        <w:tc>
          <w:tcPr>
            <w:tcW w:w="1458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Marginal balance</w:t>
            </w:r>
          </w:p>
        </w:tc>
        <w:tc>
          <w:tcPr>
            <w:tcW w:w="335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normalized class-marginal entropy and change</w:t>
            </w:r>
          </w:p>
        </w:tc>
        <w:tc>
          <w:tcPr>
            <w:tcW w:w="2226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predicted-class marginals</w:t>
            </w:r>
          </w:p>
        </w:tc>
        <w:tc>
          <w:tcPr>
            <w:tcW w:w="2922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fixed class count and normalization</w:t>
            </w:r>
          </w:p>
        </w:tc>
      </w:tr>
      <w:tr>
        <w:tc>
          <w:tcPr>
            <w:tcW w:w="1458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Model change</w:t>
            </w:r>
          </w:p>
        </w:tc>
        <w:tc>
          <w:tcPr>
            <w:tcW w:w="335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entropy gap, confidence drop, prediction disagreement</w:t>
            </w:r>
          </w:p>
        </w:tc>
        <w:tc>
          <w:tcPr>
            <w:tcW w:w="2226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paired frozen/candidate outputs</w:t>
            </w:r>
          </w:p>
        </w:tc>
        <w:tc>
          <w:tcPr>
            <w:tcW w:w="2922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require aligned sample order</w:t>
            </w:r>
          </w:p>
        </w:tc>
      </w:tr>
      <w:tr>
        <w:tc>
          <w:tcPr>
            <w:tcW w:w="1458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Collapse signal</w:t>
            </w:r>
          </w:p>
        </w:tc>
        <w:tc>
          <w:tcPr>
            <w:tcW w:w="335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fraction above adapted confidence</w:t>
            </w:r>
            <w:r>
              <w:rPr>
                <w:rFonts w:ascii="Times New Roman" w:hAnsi="Times New Roman"/>
                <w:sz w:val="16"/>
              </w:rPr>
              <w:t xml:space="preserve"> </w:t>
            </w:r>
            <m:oMath>
              <m:r>
                <m:t>0.9</m:t>
              </m:r>
            </m:oMath>
          </w:p>
        </w:tc>
        <w:tc>
          <w:tcPr>
            <w:tcW w:w="2226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candidate probabilities</w:t>
            </w:r>
          </w:p>
        </w:tc>
        <w:tc>
          <w:tcPr>
            <w:tcW w:w="2922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threshold fixed before scoring</w:t>
            </w:r>
          </w:p>
        </w:tc>
      </w:tr>
      <w:tr>
        <w:tc>
          <w:tcPr>
            <w:tcW w:w="1458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Distribution shift</w:t>
            </w:r>
          </w:p>
        </w:tc>
        <w:tc>
          <w:tcPr>
            <w:tcW w:w="335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free-energy shift, batch/running-statistic divergence</w:t>
            </w:r>
          </w:p>
        </w:tc>
        <w:tc>
          <w:tcPr>
            <w:tcW w:w="2226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frozen logits and source statistics</w:t>
            </w:r>
          </w:p>
        </w:tc>
        <w:tc>
          <w:tcPr>
            <w:tcW w:w="2922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missing source statistic forces non-commitment</w:t>
            </w:r>
          </w:p>
        </w:tc>
      </w:tr>
      <w:tr>
        <w:tc>
          <w:tcPr>
            <w:tcW w:w="1458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Update magnitude</w:t>
            </w:r>
          </w:p>
        </w:tc>
        <w:tc>
          <w:tcPr>
            <w:tcW w:w="335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parameter-update</w:t>
            </w:r>
            <w:r>
              <w:rPr>
                <w:rFonts w:ascii="Times New Roman" w:hAnsi="Times New Roman"/>
                <w:sz w:val="16"/>
              </w:rP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/>
                <w:sz w:val="16"/>
              </w:rPr>
              <w:t xml:space="preserve"> </w:t>
            </w:r>
            <w:r>
              <w:rPr>
                <w:rFonts w:ascii="Times New Roman" w:hAnsi="Times New Roman"/>
                <w:sz w:val="16"/>
              </w:rPr>
              <w:t xml:space="preserve">norm</w:t>
            </w:r>
          </w:p>
        </w:tc>
        <w:tc>
          <w:tcPr>
            <w:tcW w:w="2226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shadow candidate delta</w:t>
            </w:r>
          </w:p>
        </w:tc>
        <w:tc>
          <w:tcPr>
            <w:tcW w:w="2922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configuration hash must match calibration</w:t>
            </w:r>
          </w:p>
        </w:tc>
      </w:tr>
      <w:tr>
        <w:tc>
          <w:tcPr>
            <w:tcW w:w="1458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Source-calibrated proxy</w:t>
            </w:r>
          </w:p>
        </w:tc>
        <w:tc>
          <w:tcPr>
            <w:tcW w:w="335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ATC-style threshold estimate</w:t>
            </w:r>
          </w:p>
        </w:tc>
        <w:tc>
          <w:tcPr>
            <w:tcW w:w="2226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source-fixed threshold</w:t>
            </w:r>
          </w:p>
        </w:tc>
        <w:tc>
          <w:tcPr>
            <w:tcW w:w="2922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target labels never used</w:t>
            </w:r>
          </w:p>
        </w:tc>
      </w:tr>
    </w:tbl>
    <w:p>
      <w:pPr>
        <w:pStyle w:val="BodyText"/>
        <w:widowControl/>
      </w:pPr>
      <w:r>
        <w:t xml:space="preserve">The base panel has 11 coordinates; the canonical Camelyon17 rich-Z artifact has 17 and the</w:t>
      </w:r>
      <w:r>
        <w:t xml:space="preserve"> </w:t>
      </w:r>
      <w:r>
        <w:t xml:space="preserve">Office-Home artifact has 18. Other natural tracks retain the 11-coordinate base panel. These</w:t>
      </w:r>
      <w:r>
        <w:t xml:space="preserve"> </w:t>
      </w:r>
      <w:r>
        <w:t xml:space="preserve">protocol-specific dimensions are part of the fitted estimator contract. They should not be described as</w:t>
      </w:r>
      <w:r>
        <w:t xml:space="preserve"> </w:t>
      </w:r>
      <w:r>
        <w:t xml:space="preserve">universal sufficient statistics: a different shift may hide the benefit direction from all listed features. Feature</w:t>
      </w:r>
      <w:r>
        <w:t xml:space="preserve"> </w:t>
      </w:r>
      <w:r>
        <w:t xml:space="preserve">selection can improve empirical prediction, but cannot defeat the label-kernel construction of</w:t>
      </w:r>
      <w:r>
        <w:t xml:space="preserve"> </w:t>
      </w:r>
      <w:r>
        <w:t xml:space="preserve">Lemma 1 over an unrestricted target fibre.</w:t>
      </w:r>
    </w:p>
    <w:bookmarkEnd w:id="130"/>
    <w:bookmarkStart w:id="131" w:name="failure-safe-deployment-checklist"/>
    <w:p>
      <w:pPr>
        <w:pStyle w:val="Heading1"/>
        <w:widowControl/>
      </w:pPr>
      <w:r>
        <w:t xml:space="preserve">Failure-Safe Deployment Checklist</w:t>
      </w:r>
    </w:p>
    <w:p>
      <w:pPr>
        <w:pStyle w:val="TableCaption"/>
        <w:widowControl/>
      </w:pPr>
      <w:r>
        <w:t xml:space="preserve">Table 14. Operational failures and conservative responses.</w:t>
      </w:r>
    </w:p>
    <w:tbl>
      <w:tblPr>
        <w:tblStyle w:val="Table"/>
        <w:tblW w:type="dxa" w:w="9960"/>
        <w:jc w:val="left"/>
        <w:tblLayout w:type="fixed"/>
        <w:tblLook w:firstRow="1" w:lastRow="0" w:firstColumn="0" w:lastColumn="0" w:noHBand="0" w:noVBand="0" w:val="0020"/>
        <w:tblCaption w:val="Table 14. Operational failures and conservative responses."/>
        <w:tblInd w:w="120" w:type="dxa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3522"/>
        <w:gridCol w:w="3365"/>
        <w:gridCol w:w="3073"/>
      </w:tblGrid>
      <w:tr>
        <w:trPr>
          <w:tblHeader w:val="on"/>
          <w:tblHeader w:val="true"/>
        </w:trPr>
        <w:tc>
          <w:tcPr>
            <w:tcW w:w="3522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E8EEF5"/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Failure</w:t>
            </w:r>
          </w:p>
        </w:tc>
        <w:tc>
          <w:tcPr>
            <w:tcW w:w="3365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E8EEF5"/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Detection</w:t>
            </w:r>
          </w:p>
        </w:tc>
        <w:tc>
          <w:tcPr>
            <w:tcW w:w="3073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E8EEF5"/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Response</w:t>
            </w:r>
          </w:p>
        </w:tc>
      </w:tr>
      <w:tr>
        <w:tc>
          <w:tcPr>
            <w:tcW w:w="3522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Checkpoint/adapter mismatch</w:t>
            </w:r>
          </w:p>
        </w:tc>
        <w:tc>
          <w:tcPr>
            <w:tcW w:w="3365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stored hash mismatch</w:t>
            </w:r>
          </w:p>
        </w:tc>
        <w:tc>
          <w:tcPr>
            <w:tcW w:w="3073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rollback and recalibrate</w:t>
            </w:r>
          </w:p>
        </w:tc>
      </w:tr>
      <w:tr>
        <w:tc>
          <w:tcPr>
            <w:tcW w:w="3522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Evidence outside support</w:t>
            </w:r>
          </w:p>
        </w:tc>
        <w:tc>
          <w:tcPr>
            <w:tcW w:w="3365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distance or support audit</w:t>
            </w:r>
          </w:p>
        </w:tc>
        <w:tc>
          <w:tcPr>
            <w:tcW w:w="3073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abstain</w:t>
            </w:r>
          </w:p>
        </w:tc>
      </w:tr>
      <w:tr>
        <w:tc>
          <w:tcPr>
            <w:tcW w:w="3522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Missing/invalid feature</w:t>
            </w:r>
          </w:p>
        </w:tc>
        <w:tc>
          <w:tcPr>
            <w:tcW w:w="3365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schema and finite-value check</w:t>
            </w:r>
          </w:p>
        </w:tc>
        <w:tc>
          <w:tcPr>
            <w:tcW w:w="3073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abstain or freeze</w:t>
            </w:r>
          </w:p>
        </w:tc>
      </w:tr>
      <w:tr>
        <w:tc>
          <w:tcPr>
            <w:tcW w:w="3522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Insufficient calibration size</w:t>
            </w:r>
          </w:p>
        </w:tc>
        <w:tc>
          <w:tcPr>
            <w:tcW w:w="3365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rank</w:t>
            </w:r>
            <w:r>
              <w:rPr>
                <w:rFonts w:ascii="Times New Roman" w:hAnsi="Times New Roman"/>
                <w:sz w:val="17"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&gt;</m:t>
              </m:r>
              <m:r>
                <m:t>n</m:t>
              </m:r>
            </m:oMath>
          </w:p>
        </w:tc>
        <w:tc>
          <w:tcPr>
            <w:tcW w:w="3073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infinite radius</w:t>
            </w:r>
          </w:p>
        </w:tc>
      </w:tr>
      <w:tr>
        <w:tc>
          <w:tcPr>
            <w:tcW w:w="3522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Batch too small</w:t>
            </w:r>
          </w:p>
        </w:tc>
        <w:tc>
          <w:tcPr>
            <w:tcW w:w="3365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minimum-size contract</w:t>
            </w:r>
          </w:p>
        </w:tc>
        <w:tc>
          <w:tcPr>
            <w:tcW w:w="3073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wait or freeze</w:t>
            </w:r>
          </w:p>
        </w:tc>
      </w:tr>
      <w:tr>
        <w:tc>
          <w:tcPr>
            <w:tcW w:w="3522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Residual transfer concern</w:t>
            </w:r>
          </w:p>
        </w:tc>
        <w:tc>
          <w:tcPr>
            <w:tcW w:w="3365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group/residual diagnostic</w:t>
            </w:r>
          </w:p>
        </w:tc>
        <w:tc>
          <w:tcPr>
            <w:tcW w:w="3073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widen or withhold claim</w:t>
            </w:r>
          </w:p>
        </w:tc>
      </w:tr>
      <w:tr>
        <w:tc>
          <w:tcPr>
            <w:tcW w:w="3522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Continual-state drift</w:t>
            </w:r>
          </w:p>
        </w:tc>
        <w:tc>
          <w:tcPr>
            <w:tcW w:w="3365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state and stream monitor</w:t>
            </w:r>
          </w:p>
        </w:tc>
        <w:tc>
          <w:tcPr>
            <w:tcW w:w="3073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restore last certified state</w:t>
            </w:r>
          </w:p>
        </w:tc>
      </w:tr>
    </w:tbl>
    <w:p>
      <w:pPr>
        <w:pStyle w:val="BodyText"/>
        <w:widowControl/>
      </w:pPr>
      <w:r>
        <w:t xml:space="preserve">The audit log should store a timestamp, dataset or stream identifier, checkpoint and adapter hashes,</w:t>
      </w:r>
      <w:r>
        <w:t xml:space="preserve"> </w:t>
      </w:r>
      <w:r>
        <w:t xml:space="preserve">evidence schema version, evidence vector, benefit estimate, radius, interval endpoints, action,</w:t>
      </w:r>
      <w:r>
        <w:t xml:space="preserve"> </w:t>
      </w:r>
      <w:r>
        <w:t xml:space="preserve">rollback outcome, latency components, and configuration hash. Labels, if later revealed, are joined</w:t>
      </w:r>
      <w:r>
        <w:t xml:space="preserve"> </w:t>
      </w:r>
      <w:r>
        <w:t xml:space="preserve">in a separate offline audit table. This separation makes it possible to verify that the live</w:t>
      </w:r>
      <w:r>
        <w:t xml:space="preserve"> </w:t>
      </w:r>
      <w:r>
        <w:t xml:space="preserve">decision was target-label-free.</w:t>
      </w:r>
    </w:p>
    <w:bookmarkEnd w:id="131"/>
    <w:bookmarkStart w:id="136" w:name="X6ff963249b0ad08236e71fe8343c6dd9cec3f46"/>
    <w:p>
      <w:pPr>
        <w:pStyle w:val="Heading1"/>
        <w:widowControl/>
      </w:pPr>
      <w:r>
        <w:t xml:space="preserve">Prospective Natural-Shift Confirmation Protocol</w:t>
      </w:r>
    </w:p>
    <w:p>
      <w:pPr>
        <w:pStyle w:val="FirstParagraph"/>
        <w:widowControl/>
      </w:pPr>
      <w:r>
        <w:t xml:space="preserve">The sealed CCT-20 study narrows, but does not close, the empirical gap that matters most. Its</w:t>
      </w:r>
      <w:r>
        <w:t xml:space="preserve"> </w:t>
      </w:r>
      <w:r>
        <w:t xml:space="preserve">45 checkpoint–location cells contain 1 helpful and</w:t>
      </w:r>
      <w:r>
        <w:t xml:space="preserve"> </w:t>
      </w:r>
      <w:r>
        <w:t xml:space="preserve">44 harmful candidate updates, but KGA makes 44 FREEZE,</w:t>
      </w:r>
      <w:r>
        <w:t xml:space="preserve"> </w:t>
      </w:r>
      <w:r>
        <w:t xml:space="preserve">1 ABSTAIN, and 0 ADAPT decisions. It therefore matches</w:t>
      </w:r>
      <w:r>
        <w:t xml:space="preserve"> </w:t>
      </w:r>
      <w:r>
        <w:t xml:space="preserve">always-freeze and improves on always-adapt: evidence of conservative harm avoidance under natural</w:t>
      </w:r>
      <w:r>
        <w:t xml:space="preserve"> </w:t>
      </w:r>
      <w:r>
        <w:t xml:space="preserve">shift, not evidence of bidirectional routing or improvement over both fixed policies. The following</w:t>
      </w:r>
      <w:r>
        <w:t xml:space="preserve"> </w:t>
      </w:r>
      <w:r>
        <w:t xml:space="preserve">protocol describes the stronger second study still needed. It is a design for future evidence and is</w:t>
      </w:r>
      <w:r>
        <w:t xml:space="preserve"> </w:t>
      </w:r>
      <w:r>
        <w:t xml:space="preserve">not counted as a completed experiment in this paper.</w:t>
      </w:r>
    </w:p>
    <w:bookmarkStart w:id="132" w:name="lock-before-target-labels"/>
    <w:p>
      <w:pPr>
        <w:pStyle w:val="Heading2"/>
        <w:widowControl/>
      </w:pPr>
      <w:r>
        <w:t xml:space="preserve">Lock Before Target Labels</w:t>
      </w:r>
    </w:p>
    <w:p>
      <w:pPr>
        <w:pStyle w:val="FirstParagraph"/>
        <w:widowControl/>
      </w:pPr>
      <w:r>
        <w:t xml:space="preserve">The protocol should name one source checkpoint, one candidate adapter, one evidence schema, one</w:t>
      </w:r>
      <w:r>
        <w:t xml:space="preserve"> </w:t>
      </w:r>
      <w:r>
        <w:t xml:space="preserve">benefit-model class, one calibration rule, one</w:t>
      </w:r>
      <w:r>
        <w:t xml:space="preserve"> </w:t>
      </w:r>
      <m:oMath>
        <m:r>
          <m:t>α</m:t>
        </m:r>
      </m:oMath>
      <w:r>
        <w:t xml:space="preserve">, and one target-domain family. Adapter</w:t>
      </w:r>
      <w:r>
        <w:t xml:space="preserve"> </w:t>
      </w:r>
      <w:r>
        <w:t xml:space="preserve">hyperparameters must be selected on development domains and then frozen. The lock should hash the</w:t>
      </w:r>
      <w:r>
        <w:t xml:space="preserve"> </w:t>
      </w:r>
      <w:r>
        <w:t xml:space="preserve">checkpoint, code revision, configuration, calibration records, and planned scoring script. It must</w:t>
      </w:r>
      <w:r>
        <w:t xml:space="preserve"> </w:t>
      </w:r>
      <w:r>
        <w:t xml:space="preserve">also name the test unit and the multiplicity family. A later change creates a new protocol version;</w:t>
      </w:r>
      <w:r>
        <w:t xml:space="preserve"> </w:t>
      </w:r>
      <w:r>
        <w:t xml:space="preserve">it does not overwrite the failed or incomplete arm.</w:t>
      </w:r>
    </w:p>
    <w:p>
      <w:pPr>
        <w:pStyle w:val="BodyText"/>
        <w:widowControl/>
      </w:pPr>
      <w:r>
        <w:t xml:space="preserve">Natural heterogeneity should be built through independently defined environments rather than by</w:t>
      </w:r>
      <w:r>
        <w:t xml:space="preserve"> </w:t>
      </w:r>
      <w:r>
        <w:t xml:space="preserve">pooling whichever benchmark conditions produce opposite signs. Examples include hospitals, camera</w:t>
      </w:r>
      <w:r>
        <w:t xml:space="preserve"> </w:t>
      </w:r>
      <w:r>
        <w:t xml:space="preserve">locations, laboratory batches, acquisition days, physical devices, or visual domains. Environment</w:t>
      </w:r>
      <w:r>
        <w:t xml:space="preserve"> </w:t>
      </w:r>
      <w:r>
        <w:t xml:space="preserve">membership may be observed at deployment, but the realized benefit label remains hidden. The target</w:t>
      </w:r>
      <w:r>
        <w:t xml:space="preserve"> </w:t>
      </w:r>
      <w:r>
        <w:t xml:space="preserve">test environments should be absent from estimator fitting, residual calibration, threshold tuning,</w:t>
      </w:r>
      <w:r>
        <w:t xml:space="preserve"> </w:t>
      </w:r>
      <w:r>
        <w:t xml:space="preserve">and candidate selection.</w:t>
      </w:r>
    </w:p>
    <w:bookmarkEnd w:id="132"/>
    <w:bookmarkStart w:id="133" w:name="three-way-data-separation"/>
    <w:p>
      <w:pPr>
        <w:pStyle w:val="Heading2"/>
        <w:widowControl/>
      </w:pPr>
      <w:r>
        <w:t xml:space="preserve">Three-Way Data Separation</w:t>
      </w:r>
    </w:p>
    <w:p>
      <w:pPr>
        <w:pStyle w:val="FirstParagraph"/>
        <w:widowControl/>
      </w:pPr>
      <w:r>
        <w:t xml:space="preserve">Development data fit</w:t>
      </w:r>
      <w:r>
        <w:t xml:space="preserve"> </w:t>
      </w:r>
      <m:oMath>
        <m:sSub>
          <m:e>
            <m:r>
              <m:t>h</m:t>
            </m:r>
          </m:e>
          <m:sub>
            <m:r>
              <m:t>θ</m:t>
            </m:r>
          </m:sub>
        </m:sSub>
      </m:oMath>
      <w:r>
        <w:t xml:space="preserve"> </w:t>
      </w:r>
      <w:r>
        <w:t xml:space="preserve">and select the evidence pipeline. A separate calibration set</w:t>
      </w:r>
      <w:r>
        <w:t xml:space="preserve"> </w:t>
      </w:r>
      <w:r>
        <w:t xml:space="preserve">produces residuals for Eq. (8). The held-out target set is opened exactly once</w:t>
      </w:r>
      <w:r>
        <w:t xml:space="preserve"> </w:t>
      </w:r>
      <w:r>
        <w:t xml:space="preserve">after all software and configuration hashes match the lock. Splitting adjacent frames, patches, or</w:t>
      </w:r>
      <w:r>
        <w:t xml:space="preserve"> </w:t>
      </w:r>
      <w:r>
        <w:t xml:space="preserve">samples from the same session across these stages is leakage even when filenames differ. The split</w:t>
      </w:r>
      <w:r>
        <w:t xml:space="preserve"> </w:t>
      </w:r>
      <w:r>
        <w:t xml:space="preserve">must occur at the environment or session level that defines deployment exchangeability.</w:t>
      </w:r>
    </w:p>
    <w:p>
      <w:pPr>
        <w:pStyle w:val="BodyText"/>
        <w:widowControl/>
      </w:pPr>
      <w:r>
        <w:t xml:space="preserve">The target stream is replayed identically for always-freeze, always-adapt, simple gates, KGA without</w:t>
      </w:r>
      <w:r>
        <w:t xml:space="preserve"> </w:t>
      </w:r>
      <w:r>
        <w:t xml:space="preserve">a radius, and the full certificate. Model randomness should either be frozen for paired replay or</w:t>
      </w:r>
      <w:r>
        <w:t xml:space="preserve"> </w:t>
      </w:r>
      <w:r>
        <w:t xml:space="preserve">repeated through independently trained checkpoints declared in advance. Every policy receives the</w:t>
      </w:r>
      <w:r>
        <w:t xml:space="preserve"> </w:t>
      </w:r>
      <w:r>
        <w:t xml:space="preserve">same ordered windows. Labels are stored behind a separate audit interface and are unavailable to</w:t>
      </w:r>
      <w:r>
        <w:t xml:space="preserve"> </w:t>
      </w:r>
      <w:r>
        <w:t xml:space="preserve">the live decision process.</w:t>
      </w:r>
    </w:p>
    <w:bookmarkEnd w:id="133"/>
    <w:bookmarkStart w:id="134" w:name="endpoints-and-decision-rule"/>
    <w:p>
      <w:pPr>
        <w:pStyle w:val="Heading2"/>
        <w:widowControl/>
      </w:pPr>
      <w:r>
        <w:t xml:space="preserve">Endpoints and Decision Rule</w:t>
      </w:r>
    </w:p>
    <w:p>
      <w:pPr>
        <w:pStyle w:val="FirstParagraph"/>
        <w:widowControl/>
      </w:pPr>
      <w:r>
        <w:t xml:space="preserve">The primary endpoint is paired regret against each fixed policy. Success requires both baseline</w:t>
      </w:r>
      <w:r>
        <w:t xml:space="preserve"> </w:t>
      </w:r>
      <w:r>
        <w:t xml:space="preserve">minus KGA regret gaps to be positive and both confidence intervals to exclude zero under the</w:t>
      </w:r>
      <w:r>
        <w:t xml:space="preserve"> </w:t>
      </w:r>
      <w:r>
        <w:t xml:space="preserve">predeclared resampling unit. The false-adapt endpoint is</w:t>
      </w:r>
      <w: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u</m:t>
            </m:r>
          </m:sub>
        </m:sSub>
      </m:oMath>
      <w:r>
        <w:t xml:space="preserve"> </w:t>
      </w:r>
      <w:r>
        <w:t xml:space="preserve">with the adapt count</w:t>
      </w:r>
      <w:r>
        <w:t xml:space="preserve"> </w:t>
      </w:r>
      <w:r>
        <w:t xml:space="preserve">reported beside it. Secondary endpoints are</w:t>
      </w:r>
      <w: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t xml:space="preserve">, adapt rate, freeze rate,</w:t>
      </w:r>
      <w:r>
        <w:t xml:space="preserve"> </w:t>
      </w:r>
      <w:r>
        <w:t xml:space="preserve">abstain rate, decision coverage, task accuracy, and latency. Conditional false-adapt is descriptive</w:t>
      </w:r>
      <w:r>
        <w:t xml:space="preserve"> </w:t>
      </w:r>
      <w:r>
        <w:t xml:space="preserve">unless a separate selective-risk result is proved.</w:t>
      </w:r>
    </w:p>
    <w:p>
      <w:pPr>
        <w:pStyle w:val="BodyText"/>
        <w:widowControl/>
      </w:pPr>
      <w:r>
        <w:t xml:space="preserve">The primary certificate rule remains unchanged: adapt if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Δ</m:t>
            </m:r>
          </m:e>
        </m:acc>
        <m:r>
          <m:rPr>
            <m:sty m:val="p"/>
          </m:rPr>
          <m:t>−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freeze if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Δ</m:t>
            </m:r>
          </m:e>
        </m:acc>
        <m:r>
          <m:rPr>
            <m:sty m:val="p"/>
          </m:rPr>
          <m:t>+</m:t>
        </m:r>
        <m:r>
          <m:t>ε</m:t>
        </m:r>
        <m:r>
          <m:rPr>
            <m:sty m:val="p"/>
          </m:rPr>
          <m:t>&lt;</m:t>
        </m:r>
        <m:r>
          <m:t>0</m:t>
        </m:r>
      </m:oMath>
      <w:r>
        <w:t xml:space="preserve">, and abstain otherwise. The experiment must not lower</w:t>
      </w:r>
      <w:r>
        <w:t xml:space="preserve"> </w:t>
      </w:r>
      <m:oMath>
        <m:r>
          <m:t>ε</m:t>
        </m:r>
      </m:oMath>
      <w:r>
        <w:t xml:space="preserve">, change</w:t>
      </w:r>
      <w:r>
        <w:t xml:space="preserve"> </w:t>
      </w:r>
      <m:oMath>
        <m:r>
          <m:t>α</m:t>
        </m:r>
      </m:oMath>
      <w:r>
        <w:t xml:space="preserve">, or select a different benefit regressor after observing target</w:t>
      </w:r>
      <w:r>
        <w:t xml:space="preserve"> </w:t>
      </w:r>
      <w:r>
        <w:t xml:space="preserve">labels. Exploratory sensitivity analyses may be reported, but they remain outside the primary bar.</w:t>
      </w:r>
    </w:p>
    <w:p>
      <w:pPr>
        <w:pStyle w:val="TableCaption"/>
        <w:widowControl/>
      </w:pPr>
      <w:r>
        <w:t xml:space="preserve">Table 15. Minimum lock for a confirmatory natural-shift KGA experiment.</w:t>
      </w:r>
    </w:p>
    <w:tbl>
      <w:tblPr>
        <w:tblStyle w:val="Table"/>
        <w:tblW w:type="dxa" w:w="9960"/>
        <w:jc w:val="left"/>
        <w:tblLayout w:type="fixed"/>
        <w:tblLook w:firstRow="1" w:lastRow="0" w:firstColumn="0" w:lastColumn="0" w:noHBand="0" w:noVBand="0" w:val="0020"/>
        <w:tblCaption w:val="Table 15. Minimum lock for a confirmatory natural-shift KGA experiment."/>
        <w:tblInd w:w="120" w:type="dxa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1583"/>
        <w:gridCol w:w="4189"/>
        <w:gridCol w:w="4188"/>
      </w:tblGrid>
      <w:tr>
        <w:trPr>
          <w:tblHeader w:val="on"/>
          <w:tblHeader w:val="true"/>
        </w:trPr>
        <w:tc>
          <w:tcPr>
            <w:tcW w:w="1583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E8EEF5"/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Component</w:t>
            </w:r>
          </w:p>
        </w:tc>
        <w:tc>
          <w:tcPr>
            <w:tcW w:w="4189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E8EEF5"/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Must be fixed</w:t>
            </w:r>
          </w:p>
        </w:tc>
        <w:tc>
          <w:tcPr>
            <w:tcW w:w="4188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E8EEF5"/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Audit evidence</w:t>
            </w:r>
          </w:p>
        </w:tc>
      </w:tr>
      <w:tr>
        <w:tc>
          <w:tcPr>
            <w:tcW w:w="1583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Model and candidate</w:t>
            </w:r>
          </w:p>
        </w:tc>
        <w:tc>
          <w:tcPr>
            <w:tcW w:w="4189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checkpoint, adapter, optimizer, steps, adapted parameters</w:t>
            </w:r>
          </w:p>
        </w:tc>
        <w:tc>
          <w:tcPr>
            <w:tcW w:w="4188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hashes and immutable configuration</w:t>
            </w:r>
          </w:p>
        </w:tc>
      </w:tr>
      <w:tr>
        <w:tc>
          <w:tcPr>
            <w:tcW w:w="1583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Evidence and estimator</w:t>
            </w:r>
          </w:p>
        </w:tc>
        <w:tc>
          <w:tcPr>
            <w:tcW w:w="4189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schema, normalization, model class, hyperparameters, seed</w:t>
            </w:r>
          </w:p>
        </w:tc>
        <w:tc>
          <w:tcPr>
            <w:tcW w:w="4188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feature contract and fitted-artifact hash</w:t>
            </w:r>
          </w:p>
        </w:tc>
      </w:tr>
      <w:tr>
        <w:tc>
          <w:tcPr>
            <w:tcW w:w="1583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Calibration</w:t>
            </w:r>
          </w:p>
        </w:tc>
        <w:tc>
          <w:tcPr>
            <w:tcW w:w="4189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split unit, residual construction, exact rank,</w:t>
            </w:r>
            <w:r>
              <w:rPr>
                <w:rFonts w:ascii="Times New Roman" w:hAnsi="Times New Roman"/>
                <w:sz w:val="17"/>
              </w:rPr>
              <w:t xml:space="preserve"> </w:t>
            </w:r>
            <m:oMath>
              <m:r>
                <m:t>α</m:t>
              </m:r>
            </m:oMath>
          </w:p>
        </w:tc>
        <w:tc>
          <w:tcPr>
            <w:tcW w:w="4188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calibration IDs, residuals, radius, no target overlap</w:t>
            </w:r>
          </w:p>
        </w:tc>
      </w:tr>
      <w:tr>
        <w:tc>
          <w:tcPr>
            <w:tcW w:w="1583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Target evaluation</w:t>
            </w:r>
          </w:p>
        </w:tc>
        <w:tc>
          <w:tcPr>
            <w:tcW w:w="4189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environments, windowing, order, exclusion rules, transductive/inductive candidate semantics</w:t>
            </w:r>
          </w:p>
        </w:tc>
        <w:tc>
          <w:tcPr>
            <w:tcW w:w="4188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sealed manifest and one-time scoring log</w:t>
            </w:r>
          </w:p>
        </w:tc>
      </w:tr>
      <w:tr>
        <w:tc>
          <w:tcPr>
            <w:tcW w:w="1583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Primary inference</w:t>
            </w:r>
          </w:p>
        </w:tc>
        <w:tc>
          <w:tcPr>
            <w:tcW w:w="4189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two paired regret gaps, cluster unit, interval method</w:t>
            </w:r>
          </w:p>
        </w:tc>
        <w:tc>
          <w:tcPr>
            <w:tcW w:w="4188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code and random seed fixed before label reveal</w:t>
            </w:r>
          </w:p>
        </w:tc>
      </w:tr>
      <w:tr>
        <w:tc>
          <w:tcPr>
            <w:tcW w:w="1583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Safety</w:t>
            </w:r>
          </w:p>
        </w:tc>
        <w:tc>
          <w:tcPr>
            <w:tcW w:w="4189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m:oMath>
              <m:sSub>
                <m:e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u</m:t>
                  </m:r>
                </m:sub>
              </m:sSub>
            </m:oMath>
            <w:r>
              <w:rPr>
                <w:rFonts w:ascii="Times New Roman" w:hAnsi="Times New Roman"/>
                <w:sz w:val="17"/>
              </w:rPr>
              <w:t xml:space="preserve"> </w:t>
            </w:r>
            <w:r>
              <w:rPr>
                <w:rFonts w:ascii="Times New Roman" w:hAnsi="Times New Roman"/>
                <w:sz w:val="17"/>
              </w:rPr>
              <w:t xml:space="preserve">and adapt exposure</w:t>
            </w:r>
          </w:p>
        </w:tc>
        <w:tc>
          <w:tcPr>
            <w:tcW w:w="4188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action log joined to labels only offline</w:t>
            </w:r>
          </w:p>
        </w:tc>
      </w:tr>
      <w:tr>
        <w:tc>
          <w:tcPr>
            <w:tcW w:w="1583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Multiplicity</w:t>
            </w:r>
          </w:p>
        </w:tc>
        <w:tc>
          <w:tcPr>
            <w:tcW w:w="4189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all candidate–track arms in family</w:t>
            </w:r>
          </w:p>
        </w:tc>
        <w:tc>
          <w:tcPr>
            <w:tcW w:w="4188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time-stamped inventory including failures</w:t>
            </w:r>
          </w:p>
        </w:tc>
      </w:tr>
      <w:tr>
        <w:tc>
          <w:tcPr>
            <w:tcW w:w="1583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Runtime</w:t>
            </w:r>
          </w:p>
        </w:tc>
        <w:tc>
          <w:tcPr>
            <w:tcW w:w="4189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end-to-end components and peak memory</w:t>
            </w:r>
          </w:p>
        </w:tc>
        <w:tc>
          <w:tcPr>
            <w:tcW w:w="4188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raw timing rows on the target hardware</w:t>
            </w:r>
          </w:p>
        </w:tc>
      </w:tr>
    </w:tbl>
    <w:bookmarkEnd w:id="134"/>
    <w:bookmarkStart w:id="135" w:name="interpreting-outcomes"/>
    <w:p>
      <w:pPr>
        <w:pStyle w:val="Heading2"/>
        <w:widowControl/>
      </w:pPr>
      <w:r>
        <w:t xml:space="preserve">Interpreting Outcomes</w:t>
      </w:r>
    </w:p>
    <w:p>
      <w:pPr>
        <w:pStyle w:val="FirstParagraph"/>
        <w:widowControl/>
      </w:pPr>
      <w:r>
        <w:t xml:space="preserve">Four outcomes are scientifically useful. A beats-both result with nontrivial adapt and freeze</w:t>
      </w:r>
      <w:r>
        <w:t xml:space="preserve"> </w:t>
      </w:r>
      <w:r>
        <w:t xml:space="preserve">exposure supports routing utility under the locked natural-shift class. A tie to the better fixed</w:t>
      </w:r>
      <w:r>
        <w:t xml:space="preserve"> </w:t>
      </w:r>
      <w:r>
        <w:t xml:space="preserve">policy with few errors supports no-harm behavior but should not be called dominance. High abstention</w:t>
      </w:r>
      <w:r>
        <w:t xml:space="preserve"> </w:t>
      </w:r>
      <w:r>
        <w:t xml:space="preserve">with low error indicates a conservative certificate and motivates better evidence or more</w:t>
      </w:r>
      <w:r>
        <w:t xml:space="preserve"> </w:t>
      </w:r>
      <w:r>
        <w:t xml:space="preserve">calibration data. A loss or excess false adaptation falsifies the tested transfer/calibration</w:t>
      </w:r>
      <w:r>
        <w:t xml:space="preserve"> </w:t>
      </w:r>
      <w:r>
        <w:t xml:space="preserve">contract and must remain in the result family. None of these outcomes alone establishes the</w:t>
      </w:r>
      <w:r>
        <w:t xml:space="preserve"> </w:t>
      </w:r>
      <w:r>
        <w:t xml:space="preserve">population band: that conclusion still requires the declared class and its structural assumptions.</w:t>
      </w:r>
    </w:p>
    <w:bookmarkEnd w:id="135"/>
    <w:bookmarkEnd w:id="136"/>
    <w:bookmarkStart w:id="141" w:name="X7a152c6efc8b125d5b4f17fecd513c24a92d692"/>
    <w:p>
      <w:pPr>
        <w:pStyle w:val="Heading1"/>
        <w:widowControl/>
      </w:pPr>
      <w:r>
        <w:t xml:space="preserve">Reviewer Guide to Theorem Dependencies and Nonclaims</w:t>
      </w:r>
    </w:p>
    <w:p>
      <w:pPr>
        <w:pStyle w:val="FirstParagraph"/>
        <w:widowControl/>
      </w:pPr>
      <w:r>
        <w:t xml:space="preserve">The compact paper uses three nested logical statements. First, the disagreement reduction is an</w:t>
      </w:r>
      <w:r>
        <w:t xml:space="preserve"> </w:t>
      </w:r>
      <w:r>
        <w:t xml:space="preserve">identity under the binary setup. Second, the population frontier is a uniform statement over a rich,</w:t>
      </w:r>
      <w:r>
        <w:t xml:space="preserve"> </w:t>
      </w:r>
      <w:r>
        <w:t xml:space="preserve">declared class. Third, the empirical certificate is a marginal implication from interval coverage.</w:t>
      </w:r>
      <w:r>
        <w:t xml:space="preserve"> </w:t>
      </w:r>
      <w:r>
        <w:t xml:space="preserve">The statements share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but neither the assumptions nor the quantifiers are interchangeable.</w:t>
      </w:r>
    </w:p>
    <w:p>
      <w:pPr>
        <w:pStyle w:val="TableCaption"/>
        <w:widowControl/>
      </w:pPr>
      <w:r>
        <w:t xml:space="preserve">Table 16. Dependency map. A check in one row does not validate premises in another row.</w:t>
      </w:r>
    </w:p>
    <w:tbl>
      <w:tblPr>
        <w:tblStyle w:val="Table"/>
        <w:tblW w:type="dxa" w:w="9960"/>
        <w:jc w:val="left"/>
        <w:tblLayout w:type="fixed"/>
        <w:tblLook w:firstRow="1" w:lastRow="0" w:firstColumn="0" w:lastColumn="0" w:noHBand="0" w:noVBand="0" w:val="0020"/>
        <w:tblCaption w:val="Table 16. Dependency map. A check in one row does not validate premises in another row."/>
        <w:tblInd w:w="120" w:type="dxa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1444"/>
        <w:gridCol w:w="2482"/>
        <w:gridCol w:w="2918"/>
        <w:gridCol w:w="3116"/>
      </w:tblGrid>
      <w:tr>
        <w:trPr>
          <w:tblHeader w:val="on"/>
          <w:tblHeader w:val="true"/>
        </w:trPr>
        <w:tc>
          <w:tcPr>
            <w:tcW w:w="144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E8EEF5"/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t xml:space="preserve">Statement</w:t>
            </w:r>
          </w:p>
        </w:tc>
        <w:tc>
          <w:tcPr>
            <w:tcW w:w="2482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E8EEF5"/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t xml:space="preserve">Inputs</w:t>
            </w:r>
          </w:p>
        </w:tc>
        <w:tc>
          <w:tcPr>
            <w:tcW w:w="2918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E8EEF5"/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t xml:space="preserve">Conclusion</w:t>
            </w:r>
          </w:p>
        </w:tc>
        <w:tc>
          <w:tcPr>
            <w:tcW w:w="3116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E8EEF5"/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t xml:space="preserve">Not concluded</w:t>
            </w:r>
          </w:p>
        </w:tc>
      </w:tr>
      <w:tr>
        <w:tc>
          <w:tcPr>
            <w:tcW w:w="144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Disagreement reduction</w:t>
            </w:r>
          </w:p>
        </w:tc>
        <w:tc>
          <w:tcPr>
            <w:tcW w:w="2482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binary labels,</w:t>
            </w:r>
            <w:r>
              <w:rPr>
                <w:rFonts w:ascii="Times New Roman" w:hAnsi="Times New Roman"/>
                <w:sz w:val="16"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/</m:t>
              </m:r>
              <m:r>
                <m:t>1</m:t>
              </m:r>
            </m:oMath>
            <w:r>
              <w:rPr>
                <w:rFonts w:ascii="Times New Roman" w:hAnsi="Times New Roman"/>
                <w:sz w:val="16"/>
              </w:rPr>
              <w:t xml:space="preserve"> </w:t>
            </w:r>
            <w:r>
              <w:rPr>
                <w:rFonts w:ascii="Times New Roman" w:hAnsi="Times New Roman"/>
                <w:sz w:val="16"/>
              </w:rPr>
              <w:t xml:space="preserve">loss,</w:t>
            </w:r>
            <w:r>
              <w:rPr>
                <w:rFonts w:ascii="Times New Roman" w:hAnsi="Times New Roman"/>
                <w:sz w:val="16"/>
              </w:rP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</w:p>
        </w:tc>
        <w:tc>
          <w:tcPr>
            <w:tcW w:w="2918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γ</m:t>
              </m:r>
              <m:r>
                <m:rPr>
                  <m:sty m:val="p"/>
                </m:rPr>
                <m:t>)</m:t>
              </m:r>
            </m:oMath>
          </w:p>
        </w:tc>
        <w:tc>
          <w:tcPr>
            <w:tcW w:w="3116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calibration transfer or observability of</w:t>
            </w:r>
            <w:r>
              <w:rPr>
                <w:rFonts w:ascii="Times New Roman" w:hAnsi="Times New Roman"/>
                <w:sz w:val="16"/>
              </w:rPr>
              <w:t xml:space="preserve"> </w:t>
            </w:r>
            <m:oMath>
              <m:r>
                <m:t>γ</m:t>
              </m:r>
            </m:oMath>
          </w:p>
        </w:tc>
      </w:tr>
      <w:tr>
        <w:tc>
          <w:tcPr>
            <w:tcW w:w="144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Interior impossibility</w:t>
            </w:r>
          </w:p>
        </w:tc>
        <w:tc>
          <w:tcPr>
            <w:tcW w:w="2482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label-free fibre,</w:t>
            </w:r>
            <w:r>
              <w:rPr>
                <w:rFonts w:ascii="Times New Roman" w:hAnsi="Times New Roman"/>
                <w:sz w:val="16"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Fonts w:ascii="Times New Roman" w:hAnsi="Times New Roman"/>
                <w:sz w:val="16"/>
              </w:rPr>
              <w:t xml:space="preserve">,</w:t>
            </w:r>
            <w:r>
              <w:rPr>
                <w:rFonts w:ascii="Times New Roman" w:hAnsi="Times New Roman"/>
                <w:sz w:val="16"/>
              </w:rP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M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&lt;</m:t>
              </m:r>
              <m:r>
                <m:t>β</m:t>
              </m:r>
            </m:oMath>
            <w:r>
              <w:rPr>
                <w:rFonts w:ascii="Times New Roman" w:hAnsi="Times New Roman"/>
                <w:sz w:val="16"/>
              </w:rPr>
              <w:t xml:space="preserve">, class richness</w:t>
            </w:r>
          </w:p>
        </w:tc>
        <w:tc>
          <w:tcPr>
            <w:tcW w:w="2918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evidence-identical laws with opposite nonzero benefits</w:t>
            </w:r>
          </w:p>
        </w:tc>
        <w:tc>
          <w:tcPr>
            <w:tcW w:w="3116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every empirical abstention is structural</w:t>
            </w:r>
          </w:p>
        </w:tc>
      </w:tr>
      <w:tr>
        <w:tc>
          <w:tcPr>
            <w:tcW w:w="144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Closed-band result</w:t>
            </w:r>
          </w:p>
        </w:tc>
        <w:tc>
          <w:tcPr>
            <w:tcW w:w="2482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strict directional semantics and boundary law</w:t>
            </w:r>
          </w:p>
        </w:tc>
        <w:tc>
          <w:tcPr>
            <w:tcW w:w="2918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no uniformly sound strict action on</w:t>
            </w:r>
            <w:r>
              <w:rPr>
                <w:rFonts w:ascii="Times New Roman" w:hAnsi="Times New Roman"/>
                <w:sz w:val="16"/>
              </w:rP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M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≤</m:t>
              </m:r>
              <m:r>
                <m:t>β</m:t>
              </m:r>
            </m:oMath>
          </w:p>
        </w:tc>
        <w:tc>
          <w:tcPr>
            <w:tcW w:w="3116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adapt/freeze have different task risk at</w:t>
            </w:r>
            <w:r>
              <w:rPr>
                <w:rFonts w:ascii="Times New Roman" w:hAnsi="Times New Roman"/>
                <w:sz w:val="16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  <w:tr>
        <w:tc>
          <w:tcPr>
            <w:tcW w:w="144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Frontier sufficiency</w:t>
            </w:r>
          </w:p>
        </w:tc>
        <w:tc>
          <w:tcPr>
            <w:tcW w:w="2482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declared</w:t>
            </w:r>
            <w:r>
              <w:rPr>
                <w:rFonts w:ascii="Times New Roman" w:hAnsi="Times New Roman"/>
                <w:sz w:val="16"/>
              </w:rP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γ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≤</m:t>
              </m:r>
              <m:r>
                <m:t>β</m:t>
              </m:r>
            </m:oMath>
            <w:r>
              <w:rPr>
                <w:rFonts w:ascii="Times New Roman" w:hAnsi="Times New Roman"/>
                <w:sz w:val="16"/>
              </w:rPr>
              <w:t xml:space="preserve"> </w:t>
            </w:r>
            <w:r>
              <w:rPr>
                <w:rFonts w:ascii="Times New Roman" w:hAnsi="Times New Roman"/>
                <w:sz w:val="16"/>
              </w:rPr>
              <w:t xml:space="preserve">and fixed</w:t>
            </w:r>
            <w:r>
              <w:rPr>
                <w:rFonts w:ascii="Times New Roman" w:hAnsi="Times New Roman"/>
                <w:sz w:val="16"/>
              </w:rPr>
              <w:t xml:space="preserve"> </w:t>
            </w:r>
            <m:oMath>
              <m:r>
                <m:t>M</m:t>
              </m:r>
            </m:oMath>
          </w:p>
        </w:tc>
        <w:tc>
          <w:tcPr>
            <w:tcW w:w="2918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direction is fixed when</w:t>
            </w:r>
            <w:r>
              <w:rPr>
                <w:rFonts w:ascii="Times New Roman" w:hAnsi="Times New Roman"/>
                <w:sz w:val="16"/>
              </w:rP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M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t>β</m:t>
              </m:r>
            </m:oMath>
          </w:p>
        </w:tc>
        <w:tc>
          <w:tcPr>
            <w:tcW w:w="3116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label-free estimation of</w:t>
            </w:r>
            <w:r>
              <w:rPr>
                <w:rFonts w:ascii="Times New Roman" w:hAnsi="Times New Roman"/>
                <w:sz w:val="16"/>
              </w:rPr>
              <w:t xml:space="preserve"> </w:t>
            </w:r>
            <m:oMath>
              <m:r>
                <m:t>β</m:t>
              </m:r>
            </m:oMath>
          </w:p>
        </w:tc>
      </w:tr>
      <w:tr>
        <w:tc>
          <w:tcPr>
            <w:tcW w:w="144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Finite-sample certificate</w:t>
            </w:r>
          </w:p>
        </w:tc>
        <w:tc>
          <w:tcPr>
            <w:tcW w:w="2482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marginal interval coverage</w:t>
            </w:r>
          </w:p>
        </w:tc>
        <w:tc>
          <w:tcPr>
            <w:tcW w:w="2918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marginal false-adapt/freeze control</w:t>
            </w:r>
          </w:p>
        </w:tc>
        <w:tc>
          <w:tcPr>
            <w:tcW w:w="3116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conditional error control or risk alignment</w:t>
            </w:r>
          </w:p>
        </w:tc>
      </w:tr>
      <w:tr>
        <w:tc>
          <w:tcPr>
            <w:tcW w:w="144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KGA benchmark</w:t>
            </w:r>
          </w:p>
        </w:tc>
        <w:tc>
          <w:tcPr>
            <w:tcW w:w="2482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fitted</w:t>
            </w:r>
            <w:r>
              <w:rPr>
                <w:rFonts w:ascii="Times New Roman" w:hAnsi="Times New Roman"/>
                <w:sz w:val="16"/>
              </w:rP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θ</m:t>
                  </m:r>
                </m:sub>
              </m:sSub>
            </m:oMath>
            <w:r>
              <w:rPr>
                <w:rFonts w:ascii="Times New Roman" w:hAnsi="Times New Roman"/>
                <w:sz w:val="16"/>
              </w:rPr>
              <w:t xml:space="preserve">, archived radius, frozen protocol</w:t>
            </w:r>
          </w:p>
        </w:tc>
        <w:tc>
          <w:tcPr>
            <w:tcW w:w="2918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measured regret and actions on saved units</w:t>
            </w:r>
          </w:p>
        </w:tc>
        <w:tc>
          <w:tcPr>
            <w:tcW w:w="3116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universal transfer to a new domain</w:t>
            </w:r>
          </w:p>
        </w:tc>
      </w:tr>
      <w:tr>
        <w:tc>
          <w:tcPr>
            <w:tcW w:w="144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Lean build</w:t>
            </w:r>
          </w:p>
        </w:tc>
        <w:tc>
          <w:tcPr>
            <w:tcW w:w="2482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encoded definitions and assumptions</w:t>
            </w:r>
          </w:p>
        </w:tc>
        <w:tc>
          <w:tcPr>
            <w:tcW w:w="2918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kernel-checked formal statements</w:t>
            </w:r>
          </w:p>
        </w:tc>
        <w:tc>
          <w:tcPr>
            <w:tcW w:w="3116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correctness of unencoded data and deployment assumptions</w:t>
            </w:r>
          </w:p>
        </w:tc>
      </w:tr>
    </w:tbl>
    <w:bookmarkStart w:id="137" w:name="why-the-boundary-is-separate."/>
    <w:p>
      <w:pPr>
        <w:pStyle w:val="Heading2"/>
        <w:keepNext/>
        <w:widowControl/>
        <w:spacing w:before="100" w:after="20" w:line="252" w:lineRule="auto"/>
      </w:pPr>
      <w:r>
        <w:rPr>
          <w:rFonts w:ascii="Times New Roman" w:hAnsi="Times New Roman" w:eastAsia="Times New Roman" w:cs="Times New Roman"/>
          <w:b/>
          <w:sz w:val="19"/>
        </w:rPr>
        <w:t xml:space="preserve">Why the boundary is separate.</w:t>
      </w:r>
    </w:p>
    <w:p>
      <w:pPr>
        <w:pStyle w:val="FirstParagraph"/>
        <w:widowControl/>
      </w:pPr>
      <w:r>
        <w:t xml:space="preserve">For</w:t>
      </w:r>
      <w:r>
        <w:t xml:space="preserve"> </w:t>
      </w:r>
      <m:oMath>
        <m:r>
          <m:rPr>
            <m:sty m:val="p"/>
          </m:rPr>
          <m:t>|</m:t>
        </m:r>
        <m:r>
          <m:t>M</m:t>
        </m:r>
        <m:r>
          <m:rPr>
            <m:sty m:val="p"/>
          </m:rPr>
          <m:t>|</m:t>
        </m:r>
        <m:r>
          <m:rPr>
            <m:sty m:val="p"/>
          </m:rPr>
          <m:t>&lt;</m:t>
        </m:r>
        <m:r>
          <m:t>β</m:t>
        </m:r>
      </m:oMath>
      <w:r>
        <w:t xml:space="preserve">, the construction chooses two latent drifts that yield opposite nonzero benefits.</w:t>
      </w:r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|</m:t>
        </m:r>
        <m:r>
          <m:t>M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β</m:t>
        </m:r>
        <m:r>
          <m:rPr>
            <m:sty m:val="p"/>
          </m:rPr>
          <m:t>&gt;</m:t>
        </m:r>
        <m:r>
          <m:t>0</m:t>
        </m:r>
      </m:oMath>
      <w:r>
        <w:t xml:space="preserve">, one admissible drift can make the benefit zero while another retains the sign of</w:t>
      </w:r>
      <w:r>
        <w:t xml:space="preserve"> </w:t>
      </w:r>
      <m:oMath>
        <m:r>
          <m:t>M</m:t>
        </m:r>
      </m:oMath>
      <w:r>
        <w:t xml:space="preserve">; opposite nonzero signs need not exist. Both cases block a uniform strict commitment, but for</w:t>
      </w:r>
      <w:r>
        <w:t xml:space="preserve"> </w:t>
      </w:r>
      <w:r>
        <w:t xml:space="preserve">different reasons. At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, every law in the zero-drift class has zero benefit under the</w:t>
      </w:r>
      <w:r>
        <w:t xml:space="preserve"> </w:t>
      </w:r>
      <w:r>
        <w:t xml:space="preserve">model. Abstention remains the maximal action only under the paper’s strict-direction convention,</w:t>
      </w:r>
      <w:r>
        <w:t xml:space="preserve"> </w:t>
      </w:r>
      <w:r>
        <w:t xml:space="preserve">not because either task-risk choice is worse.</w:t>
      </w:r>
    </w:p>
    <w:bookmarkEnd w:id="137"/>
    <w:bookmarkStart w:id="138" w:name="why-coverage-is-the-premise."/>
    <w:p>
      <w:pPr>
        <w:pStyle w:val="Heading2"/>
        <w:keepNext/>
        <w:widowControl/>
        <w:spacing w:before="100" w:after="20" w:line="252" w:lineRule="auto"/>
      </w:pPr>
      <w:r>
        <w:rPr>
          <w:rFonts w:ascii="Times New Roman" w:hAnsi="Times New Roman" w:eastAsia="Times New Roman" w:cs="Times New Roman"/>
          <w:b/>
          <w:sz w:val="19"/>
        </w:rPr>
        <w:t xml:space="preserve">Why coverage is the premise.</w:t>
      </w:r>
    </w:p>
    <w:p>
      <w:pPr>
        <w:pStyle w:val="FirstParagraph"/>
        <w:widowControl/>
      </w:pPr>
      <w:r>
        <w:t xml:space="preserve">The certificate proof is elementary once Eq. (7) holds: on the coverage</w:t>
      </w:r>
      <w:r>
        <w:t xml:space="preserve"> </w:t>
      </w:r>
      <w:r>
        <w:t xml:space="preserve">event, an interval wholly above zero cannot contain a nonpositive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. The scientific burden is</w:t>
      </w:r>
      <w:r>
        <w:t xml:space="preserve"> </w:t>
      </w:r>
      <w:r>
        <w:t xml:space="preserve">therefore to justify coverage for the calibration/deployment pair. Exchangeability is one route;</w:t>
      </w:r>
      <w:r>
        <w:t xml:space="preserve"> </w:t>
      </w:r>
      <w:r>
        <w:t xml:space="preserve">known shift correction or another valid construction may be another. Risk alignment can explain why</w:t>
      </w:r>
      <w:r>
        <w:t xml:space="preserve"> </w:t>
      </w:r>
      <w:r>
        <w:t xml:space="preserve">a useful predictor transfers, but it is not an additional logical premise after coverage is given.</w:t>
      </w:r>
    </w:p>
    <w:bookmarkEnd w:id="138"/>
    <w:bookmarkStart w:id="139" w:name="X06c5fb9641945519b839b1c41dbb2dc0f3ac2bf"/>
    <w:p>
      <w:pPr>
        <w:pStyle w:val="Heading2"/>
        <w:keepNext/>
        <w:widowControl/>
        <w:spacing w:before="100" w:after="20" w:line="252" w:lineRule="auto"/>
      </w:pPr>
      <w:r>
        <w:rPr>
          <w:rFonts w:ascii="Times New Roman" w:hAnsi="Times New Roman" w:eastAsia="Times New Roman" w:cs="Times New Roman"/>
          <w:b/>
          <w:sz w:val="19"/>
        </w:rPr>
        <w:t xml:space="preserve">Why a null is not an impossibility result.</w:t>
      </w:r>
    </w:p>
    <w:p>
      <w:pPr>
        <w:pStyle w:val="FirstParagraph"/>
        <w:widowControl/>
      </w:pPr>
      <w:r>
        <w:t xml:space="preserve">A null benchmark row can arise because the true effects are small, the candidate is one-sided, the</w:t>
      </w:r>
      <w:r>
        <w:t xml:space="preserve"> </w:t>
      </w:r>
      <w:r>
        <w:t xml:space="preserve">evidence map is weak, the benefit model underfits, the radius is wide, or calibration does not</w:t>
      </w:r>
      <w:r>
        <w:t xml:space="preserve"> </w:t>
      </w:r>
      <w:r>
        <w:t xml:space="preserve">transfer. The population impossibility requires evidence-identical target laws inside the declared</w:t>
      </w:r>
      <w:r>
        <w:t xml:space="preserve"> </w:t>
      </w:r>
      <w:r>
        <w:t xml:space="preserve">class with incompatible strict directions. The canonical benchmark table does not estimate that</w:t>
      </w:r>
      <w:r>
        <w:t xml:space="preserve"> </w:t>
      </w:r>
      <w:r>
        <w:t xml:space="preserve">full fibre. It therefore reports weak or negative empirical regimes without calling them proven</w:t>
      </w:r>
      <w:r>
        <w:t xml:space="preserve"> </w:t>
      </w:r>
      <w:r>
        <w:t xml:space="preserve">unknowable worlds.</w:t>
      </w:r>
    </w:p>
    <w:bookmarkEnd w:id="139"/>
    <w:bookmarkStart w:id="140" w:name="what-would-falsify-the-practical-claim."/>
    <w:p>
      <w:pPr>
        <w:pStyle w:val="Heading2"/>
        <w:keepNext/>
        <w:widowControl/>
        <w:spacing w:before="100" w:after="20" w:line="252" w:lineRule="auto"/>
      </w:pPr>
      <w:r>
        <w:rPr>
          <w:rFonts w:ascii="Times New Roman" w:hAnsi="Times New Roman" w:eastAsia="Times New Roman" w:cs="Times New Roman"/>
          <w:b/>
          <w:sz w:val="19"/>
        </w:rPr>
        <w:t xml:space="preserve">What would falsify the practical claim.</w:t>
      </w:r>
    </w:p>
    <w:p>
      <w:pPr>
        <w:pStyle w:val="FirstParagraph"/>
        <w:widowControl/>
      </w:pPr>
      <w:r>
        <w:t xml:space="preserve">The practical claim is conditional and testable. A clean target replay with the locked pipeline can</w:t>
      </w:r>
      <w:r>
        <w:t xml:space="preserve"> </w:t>
      </w:r>
      <w:r>
        <w:t xml:space="preserve">show excessive</w:t>
      </w:r>
      <w: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u</m:t>
            </m:r>
          </m:sub>
        </m:sSub>
      </m:oMath>
      <w:r>
        <w:t xml:space="preserve">, poor coverage, or regret above both fixed policies. A</w:t>
      </w:r>
      <w:r>
        <w:t xml:space="preserve"> </w:t>
      </w:r>
      <w:r>
        <w:t xml:space="preserve">checkpoint or adapter change can show that calibration does not transfer. A family-held-out split</w:t>
      </w:r>
      <w:r>
        <w:t xml:space="preserve"> </w:t>
      </w:r>
      <w:r>
        <w:t xml:space="preserve">can show that cell-level cross-fitting was optimistic. Such failures do not refute the population</w:t>
      </w:r>
      <w:r>
        <w:t xml:space="preserve"> </w:t>
      </w:r>
      <w:r>
        <w:t xml:space="preserve">identity; they refute the operational assumptions used to obtain a useful empirical interval.</w:t>
      </w:r>
    </w:p>
    <w:bookmarkEnd w:id="140"/>
    <w:bookmarkEnd w:id="141"/>
    <w:bookmarkStart w:id="142" w:name="formalization-and-artifact-scope"/>
    <w:p>
      <w:pPr>
        <w:pStyle w:val="Heading1"/>
        <w:widowControl/>
      </w:pPr>
      <w:r>
        <w:t xml:space="preserve">Formalization and Artifact Scope</w:t>
      </w:r>
    </w:p>
    <w:p>
      <w:pPr>
        <w:pStyle w:val="FirstParagraph"/>
        <w:widowControl/>
      </w:pPr>
      <w:r>
        <w:t xml:space="preserve">The Lean project under</w:t>
      </w:r>
      <w:r>
        <w:t xml:space="preserve"> </w:t>
      </w:r>
      <w:r>
        <w:rPr>
          <w:rStyle w:val="VerbatimChar"/>
        </w:rPr>
        <w:t xml:space="preserve">docs/research/kbound/formal/</w:t>
      </w:r>
      <w:r>
        <w:t xml:space="preserve"> </w:t>
      </w:r>
      <w:r>
        <w:t xml:space="preserve">provides a kernel-checked inventory for</w:t>
      </w:r>
      <w:r>
        <w:t xml:space="preserve"> </w:t>
      </w:r>
      <w:r>
        <w:t xml:space="preserve">the theorem names it exports. The compact paper relies on the LaTeX statements above; it does not</w:t>
      </w:r>
      <w:r>
        <w:t xml:space="preserve"> </w:t>
      </w:r>
      <w:r>
        <w:t xml:space="preserve">claim that every sentence has a one-to-one Lean theorem. In particular, deployment-class richness,</w:t>
      </w:r>
      <w:r>
        <w:t xml:space="preserve"> </w:t>
      </w:r>
      <w:r>
        <w:t xml:space="preserve">risk alignment of a learned evidence map, exchangeability of a benchmark split, and correctness of</w:t>
      </w:r>
      <w:r>
        <w:t xml:space="preserve"> </w:t>
      </w:r>
      <w:r>
        <w:t xml:space="preserve">data preprocessing remain outside the proof assistant unless separately encoded.</w:t>
      </w:r>
    </w:p>
    <w:p>
      <w:pPr>
        <w:pStyle w:val="BodyText"/>
        <w:widowControl/>
      </w:pPr>
      <w:r>
        <w:t xml:space="preserve">The current 65-name audit covers real algebra, finite uniform-rank implications, a two-atom target</w:t>
      </w:r>
      <w:r>
        <w:t xml:space="preserve"> </w:t>
      </w:r>
      <w:r>
        <w:t xml:space="preserve">law, and conditional decision consequences. It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derive exchangeable measurable</w:t>
      </w:r>
      <w:r>
        <w:t xml:space="preserve"> </w:t>
      </w:r>
      <w:r>
        <w:t xml:space="preserve">scores’ rank law, formalize a filtered nonnegative supermartingale and Ville maximal inequality,</w:t>
      </w:r>
      <w:r>
        <w:t xml:space="preserve"> </w:t>
      </w:r>
      <w:r>
        <w:t xml:space="preserve">prove general KL/TV product-experiment Le Cam bounds, prove Hoeffding concentration, or derive</w:t>
      </w:r>
      <w:r>
        <w:t xml:space="preserve"> </w:t>
      </w:r>
      <w:r>
        <w:rPr>
          <w:rStyle w:val="VerbatimChar"/>
        </w:rPr>
        <w:t xml:space="preserve">RichAt</w:t>
      </w:r>
      <w:r>
        <w:t xml:space="preserve"> </w:t>
      </w:r>
      <w:r>
        <w:t xml:space="preserve">for arbitrary deployment classes. The release’s</w:t>
      </w:r>
      <w:r>
        <w:t xml:space="preserve"> </w:t>
      </w:r>
      <w:r>
        <w:rPr>
          <w:rStyle w:val="VerbatimChar"/>
        </w:rPr>
        <w:t xml:space="preserve">--full-foundations</w:t>
      </w:r>
      <w:r>
        <w:t xml:space="preserve"> </w:t>
      </w:r>
      <w:r>
        <w:t xml:space="preserve">audit intentionally fails while these layers remain unmechanized.</w:t>
      </w:r>
    </w:p>
    <w:p>
      <w:pPr>
        <w:pStyle w:val="BodyText"/>
        <w:widowControl/>
      </w:pPr>
      <w:r>
        <w:t xml:space="preserve">The formal build and empirical build answer different questions. Lean checks that a proposition</w:t>
      </w:r>
      <w:r>
        <w:t xml:space="preserve"> </w:t>
      </w:r>
      <w:r>
        <w:t xml:space="preserve">follows from formal assumptions. The reconciliation scripts check that displayed aggregates match</w:t>
      </w:r>
      <w:r>
        <w:t xml:space="preserve"> </w:t>
      </w:r>
      <w:r>
        <w:t xml:space="preserve">saved records under implemented definitions. Neither checks the truth of an unencoded deployment</w:t>
      </w:r>
      <w:r>
        <w:t xml:space="preserve"> </w:t>
      </w:r>
      <w:r>
        <w:t xml:space="preserve">assumption, and neither substitutes for independent experimental replication.</w:t>
      </w:r>
    </w:p>
    <w:p>
      <w:pPr>
        <w:pStyle w:val="BodyText"/>
        <w:widowControl/>
      </w:pPr>
      <w:r>
        <w:t xml:space="preserve">The authoritative compact artifacts are therefore layered:</w:t>
      </w:r>
    </w:p>
    <w:p>
      <w:pPr>
        <w:widowControl/>
        <w:numPr>
          <w:ilvl w:val="0"/>
          <w:numId w:val="1004"/>
        </w:numPr>
      </w:pPr>
      <w:r>
        <w:t xml:space="preserve">this source and its compiled PDF for the scoped narrative;</w:t>
      </w:r>
    </w:p>
    <w:p>
      <w:pPr>
        <w:widowControl/>
        <w:numPr>
          <w:ilvl w:val="0"/>
          <w:numId w:val="1004"/>
        </w:numPr>
      </w:pPr>
      <w:r>
        <w:t xml:space="preserve">shared theorem inputs for the exact statements and proofs;</w:t>
      </w:r>
    </w:p>
    <w:p>
      <w:pPr>
        <w:widowControl/>
        <w:numPr>
          <w:ilvl w:val="0"/>
          <w:numId w:val="1004"/>
        </w:numPr>
      </w:pPr>
      <w:r>
        <w:t xml:space="preserve">canonical JSON and generated LaTeX for numerical results;</w:t>
      </w:r>
    </w:p>
    <w:p>
      <w:pPr>
        <w:widowControl/>
        <w:numPr>
          <w:ilvl w:val="0"/>
          <w:numId w:val="1004"/>
        </w:numPr>
      </w:pPr>
      <w:r>
        <w:t xml:space="preserve">the source manifest for record-level provenance;</w:t>
      </w:r>
    </w:p>
    <w:p>
      <w:pPr>
        <w:widowControl/>
        <w:numPr>
          <w:ilvl w:val="0"/>
          <w:numId w:val="1004"/>
        </w:numPr>
      </w:pPr>
      <w:r>
        <w:t xml:space="preserve">package tests and Lean logs for implementation and formal checks.</w:t>
      </w:r>
    </w:p>
    <w:p>
      <w:pPr>
        <w:pStyle w:val="FirstParagraph"/>
        <w:widowControl/>
      </w:pPr>
      <w:r>
        <w:t xml:space="preserve">Historical drafts, dashboards, and exploratory win-search folders can remain useful development</w:t>
      </w:r>
      <w:r>
        <w:t xml:space="preserve"> </w:t>
      </w:r>
      <w:r>
        <w:t xml:space="preserve">records, but they are not evidence sources for this compact submission unless referenced by the</w:t>
      </w:r>
      <w:r>
        <w:t xml:space="preserve"> </w:t>
      </w:r>
      <w:r>
        <w:t xml:space="preserve">canonical manifest.</w:t>
      </w:r>
    </w:p>
    <w:bookmarkEnd w:id="142"/>
    <w:bookmarkStart w:id="143" w:name="references"/>
    <w:p>
      <w:pPr>
        <w:pStyle w:val="Heading1"/>
        <w:widowControl/>
      </w:pPr>
      <w:r>
        <w:t xml:space="preserve">References</w:t>
      </w:r>
    </w:p>
    <w:p>
      <w:pPr>
        <w:widowControl/>
        <w:numPr>
          <w:ilvl w:val="0"/>
          <w:numId w:val="1005"/>
        </w:numPr>
        <w:spacing w:after="40" w:line="240" w:lineRule="auto"/>
      </w:pPr>
      <w:r>
        <w:rPr>
          <w:rFonts w:ascii="Times New Roman" w:hAnsi="Times New Roman"/>
          <w:sz w:val="16"/>
        </w:rPr>
        <w:t xml:space="preserve">D. Wang, E. Shelhamer, S. Liu, B. Olshausen, T. Darrell.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sz w:val="16"/>
        </w:rPr>
        <w:t xml:space="preserve">Tent: Fully test-time adaptation by entropy minimization.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i/>
          <w:iCs/>
          <w:sz w:val="16"/>
        </w:rPr>
        <w:t xml:space="preserve">ICLR</w:t>
      </w:r>
      <w:r>
        <w:rPr>
          <w:rFonts w:ascii="Times New Roman" w:hAnsi="Times New Roman"/>
          <w:sz w:val="16"/>
        </w:rPr>
        <w:t xml:space="preserve">, 2021.</w:t>
      </w:r>
    </w:p>
    <w:p>
      <w:pPr>
        <w:widowControl/>
        <w:numPr>
          <w:ilvl w:val="0"/>
          <w:numId w:val="1005"/>
        </w:numPr>
        <w:spacing w:after="40" w:line="240" w:lineRule="auto"/>
      </w:pPr>
      <w:r>
        <w:rPr>
          <w:rFonts w:ascii="Times New Roman" w:hAnsi="Times New Roman"/>
          <w:sz w:val="16"/>
        </w:rPr>
        <w:t xml:space="preserve">J. Liang, D. Hu, J. Feng. Do we really need to access the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sz w:val="16"/>
        </w:rPr>
        <w:t xml:space="preserve">source data? Source hypothesis transfer for unsupervised domain adaptation.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i/>
          <w:iCs/>
          <w:sz w:val="16"/>
        </w:rPr>
        <w:t xml:space="preserve">ICML</w:t>
      </w:r>
      <w:r>
        <w:rPr>
          <w:rFonts w:ascii="Times New Roman" w:hAnsi="Times New Roman"/>
          <w:sz w:val="16"/>
        </w:rPr>
        <w:t xml:space="preserve">, 2020.</w:t>
      </w:r>
    </w:p>
    <w:p>
      <w:pPr>
        <w:widowControl/>
        <w:numPr>
          <w:ilvl w:val="0"/>
          <w:numId w:val="1005"/>
        </w:numPr>
        <w:spacing w:after="40" w:line="240" w:lineRule="auto"/>
      </w:pPr>
      <w:r>
        <w:rPr>
          <w:rFonts w:ascii="Times New Roman" w:hAnsi="Times New Roman"/>
          <w:sz w:val="16"/>
        </w:rPr>
        <w:t xml:space="preserve">Y. Sun, X. Wang, Z. Liu, J. Miller, A. Efros, M. Hardt.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sz w:val="16"/>
        </w:rPr>
        <w:t xml:space="preserve">Test-time training with self-supervision for generalization under distribution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sz w:val="16"/>
        </w:rPr>
        <w:t xml:space="preserve">shifts.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i/>
          <w:iCs/>
          <w:sz w:val="16"/>
        </w:rPr>
        <w:t xml:space="preserve">ICML</w:t>
      </w:r>
      <w:r>
        <w:rPr>
          <w:rFonts w:ascii="Times New Roman" w:hAnsi="Times New Roman"/>
          <w:sz w:val="16"/>
        </w:rPr>
        <w:t xml:space="preserve">, 2020.</w:t>
      </w:r>
    </w:p>
    <w:p>
      <w:pPr>
        <w:widowControl/>
        <w:numPr>
          <w:ilvl w:val="0"/>
          <w:numId w:val="1005"/>
        </w:numPr>
        <w:spacing w:after="40" w:line="240" w:lineRule="auto"/>
      </w:pPr>
      <w:r>
        <w:rPr>
          <w:rFonts w:ascii="Times New Roman" w:hAnsi="Times New Roman"/>
          <w:sz w:val="16"/>
        </w:rPr>
        <w:t xml:space="preserve">S. Niu, J. Wu, Y. Zhang, Y. Chen, S. Zheng, P. Zhao, M. Tan.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sz w:val="16"/>
        </w:rPr>
        <w:t xml:space="preserve">Efficient test-time model adaptation without forgetting.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i/>
          <w:iCs/>
          <w:sz w:val="16"/>
        </w:rPr>
        <w:t xml:space="preserve">ICML</w:t>
      </w:r>
      <w:r>
        <w:rPr>
          <w:rFonts w:ascii="Times New Roman" w:hAnsi="Times New Roman"/>
          <w:sz w:val="16"/>
        </w:rPr>
        <w:t xml:space="preserve">, 2022.</w:t>
      </w:r>
    </w:p>
    <w:p>
      <w:pPr>
        <w:widowControl/>
        <w:numPr>
          <w:ilvl w:val="0"/>
          <w:numId w:val="1005"/>
        </w:numPr>
        <w:spacing w:after="40" w:line="240" w:lineRule="auto"/>
      </w:pPr>
      <w:r>
        <w:rPr>
          <w:rFonts w:ascii="Times New Roman" w:hAnsi="Times New Roman"/>
          <w:sz w:val="16"/>
        </w:rPr>
        <w:t xml:space="preserve">S. Niu, J. Wu, Y. Zhang, Z. Wen, Y. Chen, P. Zhao, M. Tan.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sz w:val="16"/>
        </w:rPr>
        <w:t xml:space="preserve">Towards stable test-time adaptation in dynamic wild world.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i/>
          <w:iCs/>
          <w:sz w:val="16"/>
        </w:rPr>
        <w:t xml:space="preserve">ICLR</w:t>
      </w:r>
      <w:r>
        <w:rPr>
          <w:rFonts w:ascii="Times New Roman" w:hAnsi="Times New Roman"/>
          <w:sz w:val="16"/>
        </w:rPr>
        <w:t xml:space="preserve">, 2023.</w:t>
      </w:r>
    </w:p>
    <w:p>
      <w:pPr>
        <w:widowControl/>
        <w:numPr>
          <w:ilvl w:val="0"/>
          <w:numId w:val="1005"/>
        </w:numPr>
        <w:spacing w:after="40" w:line="240" w:lineRule="auto"/>
      </w:pPr>
      <w:r>
        <w:rPr>
          <w:rFonts w:ascii="Times New Roman" w:hAnsi="Times New Roman"/>
          <w:sz w:val="16"/>
        </w:rPr>
        <w:t xml:space="preserve">Q. Wang, O. Fink, L. Van Gool, D. Dai.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sz w:val="16"/>
        </w:rPr>
        <w:t xml:space="preserve">Continual test-time domain adaptation.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i/>
          <w:iCs/>
          <w:sz w:val="16"/>
        </w:rPr>
        <w:t xml:space="preserve">CVPR</w:t>
      </w:r>
      <w:r>
        <w:rPr>
          <w:rFonts w:ascii="Times New Roman" w:hAnsi="Times New Roman"/>
          <w:sz w:val="16"/>
        </w:rPr>
        <w:t xml:space="preserve">, 2022.</w:t>
      </w:r>
    </w:p>
    <w:p>
      <w:pPr>
        <w:widowControl/>
        <w:numPr>
          <w:ilvl w:val="0"/>
          <w:numId w:val="1005"/>
        </w:numPr>
        <w:spacing w:after="40" w:line="240" w:lineRule="auto"/>
      </w:pPr>
      <w:r>
        <w:rPr>
          <w:rFonts w:ascii="Times New Roman" w:hAnsi="Times New Roman"/>
          <w:sz w:val="16"/>
        </w:rPr>
        <w:t xml:space="preserve">M. Zhang, S. Levine, C. Finn.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sz w:val="16"/>
        </w:rPr>
        <w:t xml:space="preserve">MEMO: Test time robustness via adaptation and augmentation.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i/>
          <w:iCs/>
          <w:sz w:val="16"/>
        </w:rPr>
        <w:t xml:space="preserve">NeurIPS</w:t>
      </w:r>
      <w:r>
        <w:rPr>
          <w:rFonts w:ascii="Times New Roman" w:hAnsi="Times New Roman"/>
          <w:sz w:val="16"/>
        </w:rPr>
        <w:t xml:space="preserve">, 2022.</w:t>
      </w:r>
    </w:p>
    <w:p>
      <w:pPr>
        <w:widowControl/>
        <w:numPr>
          <w:ilvl w:val="0"/>
          <w:numId w:val="1005"/>
        </w:numPr>
        <w:spacing w:after="40" w:line="240" w:lineRule="auto"/>
      </w:pPr>
      <w:r>
        <w:rPr>
          <w:rFonts w:ascii="Times New Roman" w:hAnsi="Times New Roman"/>
          <w:sz w:val="16"/>
        </w:rPr>
        <w:t xml:space="preserve">M. Schirmer, M. Jazbec, C. A. Naesseth, E. Nalisnick.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sz w:val="16"/>
        </w:rPr>
        <w:t xml:space="preserve">Monitoring risks in test-time adaptation.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i/>
          <w:iCs/>
          <w:sz w:val="16"/>
        </w:rPr>
        <w:t xml:space="preserve">NeurIPS</w:t>
      </w:r>
      <w:r>
        <w:rPr>
          <w:rFonts w:ascii="Times New Roman" w:hAnsi="Times New Roman"/>
          <w:sz w:val="16"/>
        </w:rPr>
        <w:t xml:space="preserve">, 2025. arXiv:2507.08721.</w:t>
      </w:r>
    </w:p>
    <w:p>
      <w:pPr>
        <w:widowControl/>
        <w:numPr>
          <w:ilvl w:val="0"/>
          <w:numId w:val="1005"/>
        </w:numPr>
        <w:spacing w:after="40" w:line="240" w:lineRule="auto"/>
      </w:pPr>
      <w:r>
        <w:rPr>
          <w:rFonts w:ascii="Times New Roman" w:hAnsi="Times New Roman"/>
          <w:sz w:val="16"/>
        </w:rPr>
        <w:t xml:space="preserve">O. C. Mutlu, M. Honarmand, P. Azizian, S. Surabhi,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sz w:val="16"/>
        </w:rPr>
        <w:t xml:space="preserve">D. P. Wall. Topology-guided test-time adaptation via persistent homology: From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sz w:val="16"/>
        </w:rPr>
        <w:t xml:space="preserve">affective behavior analysis to autonomous driving.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i/>
          <w:iCs/>
          <w:sz w:val="16"/>
        </w:rPr>
        <w:t xml:space="preserve">CVPR Workshops</w:t>
      </w:r>
      <w:r>
        <w:rPr>
          <w:rFonts w:ascii="Times New Roman" w:hAnsi="Times New Roman"/>
          <w:sz w:val="16"/>
        </w:rPr>
        <w:t xml:space="preserve">,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sz w:val="16"/>
        </w:rPr>
        <w:t xml:space="preserve">pages 5331–5340, 2026.</w:t>
      </w:r>
    </w:p>
    <w:p>
      <w:pPr>
        <w:widowControl/>
        <w:numPr>
          <w:ilvl w:val="0"/>
          <w:numId w:val="1005"/>
        </w:numPr>
        <w:spacing w:after="40" w:line="240" w:lineRule="auto"/>
      </w:pPr>
      <w:r>
        <w:rPr>
          <w:rFonts w:ascii="Times New Roman" w:hAnsi="Times New Roman"/>
          <w:sz w:val="16"/>
        </w:rPr>
        <w:t xml:space="preserve">A. H. Ariq. MMD-balls as credal sets: A PAC-Bayesian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sz w:val="16"/>
        </w:rPr>
        <w:t xml:space="preserve">framework for epistemic uncertainty in test-time adaptation. arXiv:2605.21783,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sz w:val="16"/>
        </w:rPr>
        <w:t xml:space="preserve">2026.</w:t>
      </w:r>
    </w:p>
    <w:p>
      <w:pPr>
        <w:widowControl/>
        <w:numPr>
          <w:ilvl w:val="0"/>
          <w:numId w:val="1005"/>
        </w:numPr>
        <w:spacing w:after="40" w:line="240" w:lineRule="auto"/>
      </w:pPr>
      <w:r>
        <w:rPr>
          <w:rFonts w:ascii="Times New Roman" w:hAnsi="Times New Roman"/>
          <w:sz w:val="16"/>
        </w:rPr>
        <w:t xml:space="preserve">A. Podkopaev, A. Ramdas. Tracking the risk of a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sz w:val="16"/>
        </w:rPr>
        <w:t xml:space="preserve">deployed model and detecting harmful distribution shifts.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i/>
          <w:iCs/>
          <w:sz w:val="16"/>
        </w:rPr>
        <w:t xml:space="preserve">ICLR</w:t>
      </w:r>
      <w:r>
        <w:rPr>
          <w:rFonts w:ascii="Times New Roman" w:hAnsi="Times New Roman"/>
          <w:sz w:val="16"/>
        </w:rPr>
        <w:t xml:space="preserve">, 2022.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sz w:val="16"/>
        </w:rPr>
        <w:t xml:space="preserve">arXiv:2110.06177.</w:t>
      </w:r>
    </w:p>
    <w:p>
      <w:pPr>
        <w:widowControl/>
        <w:numPr>
          <w:ilvl w:val="0"/>
          <w:numId w:val="1005"/>
        </w:numPr>
        <w:spacing w:after="40" w:line="240" w:lineRule="auto"/>
      </w:pPr>
      <w:r>
        <w:rPr>
          <w:rFonts w:ascii="Times New Roman" w:hAnsi="Times New Roman"/>
          <w:sz w:val="16"/>
        </w:rPr>
        <w:t xml:space="preserve">Y. Bar, S. Shaer, Y. Romano. Protected test-time adaptation via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sz w:val="16"/>
        </w:rPr>
        <w:t xml:space="preserve">online entropy matching: A betting approach.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i/>
          <w:iCs/>
          <w:sz w:val="16"/>
        </w:rPr>
        <w:t xml:space="preserve">NeurIPS</w:t>
      </w:r>
      <w:r>
        <w:rPr>
          <w:rFonts w:ascii="Times New Roman" w:hAnsi="Times New Roman"/>
          <w:sz w:val="16"/>
        </w:rPr>
        <w:t xml:space="preserve">, 2024. arXiv:2408.07511.</w:t>
      </w:r>
    </w:p>
    <w:p>
      <w:pPr>
        <w:widowControl/>
        <w:numPr>
          <w:ilvl w:val="0"/>
          <w:numId w:val="1005"/>
        </w:numPr>
        <w:spacing w:after="40" w:line="240" w:lineRule="auto"/>
      </w:pPr>
      <w:r>
        <w:rPr>
          <w:rFonts w:ascii="Times New Roman" w:hAnsi="Times New Roman"/>
          <w:sz w:val="16"/>
        </w:rPr>
        <w:t xml:space="preserve">S. Garg, S. Balakrishnan, Z. Lipton, B. Neyshabur, H. Sedghi.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sz w:val="16"/>
        </w:rPr>
        <w:t xml:space="preserve">Leveraging unlabeled data to predict out-of-distribution performance.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i/>
          <w:iCs/>
          <w:sz w:val="16"/>
        </w:rPr>
        <w:t xml:space="preserve">ICLR</w:t>
      </w:r>
      <w:r>
        <w:rPr>
          <w:rFonts w:ascii="Times New Roman" w:hAnsi="Times New Roman"/>
          <w:sz w:val="16"/>
        </w:rPr>
        <w:t xml:space="preserve">,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sz w:val="16"/>
        </w:rPr>
        <w:t xml:space="preserve">2022. arXiv:2201.04234.</w:t>
      </w:r>
    </w:p>
    <w:p>
      <w:pPr>
        <w:widowControl/>
        <w:numPr>
          <w:ilvl w:val="0"/>
          <w:numId w:val="1005"/>
        </w:numPr>
        <w:spacing w:after="40" w:line="240" w:lineRule="auto"/>
      </w:pPr>
      <w:r>
        <w:rPr>
          <w:rFonts w:ascii="Times New Roman" w:hAnsi="Times New Roman"/>
          <w:sz w:val="16"/>
        </w:rPr>
        <w:t xml:space="preserve">A. T. Kalai, V. Kanade. Towards optimally abstaining from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sz w:val="16"/>
        </w:rPr>
        <w:t xml:space="preserve">prediction with OOD test examples.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i/>
          <w:iCs/>
          <w:sz w:val="16"/>
        </w:rPr>
        <w:t xml:space="preserve">NeurIPS</w:t>
      </w:r>
      <w:r>
        <w:rPr>
          <w:rFonts w:ascii="Times New Roman" w:hAnsi="Times New Roman"/>
          <w:sz w:val="16"/>
        </w:rPr>
        <w:t xml:space="preserve">, 2021. arXiv:2105.14119.</w:t>
      </w:r>
    </w:p>
    <w:p>
      <w:pPr>
        <w:widowControl/>
        <w:numPr>
          <w:ilvl w:val="0"/>
          <w:numId w:val="1005"/>
        </w:numPr>
        <w:spacing w:after="40" w:line="240" w:lineRule="auto"/>
      </w:pPr>
      <w:r>
        <w:rPr>
          <w:rFonts w:ascii="Times New Roman" w:hAnsi="Times New Roman"/>
          <w:sz w:val="16"/>
        </w:rPr>
        <w:t xml:space="preserve">J. Miller, R. Taori, A. Raghunathan, S. Sagawa, P. W. Koh,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sz w:val="16"/>
        </w:rPr>
        <w:t xml:space="preserve">V. Shankar, P. Liang, Y. Carmon, L. Schmidt. Accuracy on the line: On the strong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sz w:val="16"/>
        </w:rPr>
        <w:t xml:space="preserve">correlation between out-of-distribution and in-distribution generalization.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i/>
          <w:iCs/>
          <w:sz w:val="16"/>
        </w:rPr>
        <w:t xml:space="preserve">ICML</w:t>
      </w:r>
      <w:r>
        <w:rPr>
          <w:rFonts w:ascii="Times New Roman" w:hAnsi="Times New Roman"/>
          <w:sz w:val="16"/>
        </w:rPr>
        <w:t xml:space="preserve">, 2021. arXiv:2107.04649.</w:t>
      </w:r>
    </w:p>
    <w:p>
      <w:pPr>
        <w:widowControl/>
        <w:numPr>
          <w:ilvl w:val="0"/>
          <w:numId w:val="1005"/>
        </w:numPr>
        <w:spacing w:after="40" w:line="240" w:lineRule="auto"/>
      </w:pPr>
      <w:r>
        <w:rPr>
          <w:rFonts w:ascii="Times New Roman" w:hAnsi="Times New Roman"/>
          <w:sz w:val="16"/>
        </w:rPr>
        <w:t xml:space="preserve">C. Baek, Y. Jiang, A. Raghunathan, J. Z. Kolter. Agreement-on-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sz w:val="16"/>
        </w:rPr>
        <w:t xml:space="preserve">the-line: Predicting the performance of neural networks under distribution shift.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i/>
          <w:iCs/>
          <w:sz w:val="16"/>
        </w:rPr>
        <w:t xml:space="preserve">NeurIPS</w:t>
      </w:r>
      <w:r>
        <w:rPr>
          <w:rFonts w:ascii="Times New Roman" w:hAnsi="Times New Roman"/>
          <w:sz w:val="16"/>
        </w:rPr>
        <w:t xml:space="preserve">, 2022. arXiv:2206.13089.</w:t>
      </w:r>
    </w:p>
    <w:p>
      <w:pPr>
        <w:widowControl/>
        <w:numPr>
          <w:ilvl w:val="0"/>
          <w:numId w:val="1005"/>
        </w:numPr>
        <w:spacing w:after="40" w:line="240" w:lineRule="auto"/>
      </w:pPr>
      <w:r>
        <w:rPr>
          <w:rFonts w:ascii="Times New Roman" w:hAnsi="Times New Roman"/>
          <w:sz w:val="16"/>
        </w:rPr>
        <w:t xml:space="preserve">T. Lee, S. Chottananurak, T. Gong, S.-J. Lee. AETTA: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sz w:val="16"/>
        </w:rPr>
        <w:t xml:space="preserve">Label-free accuracy estimation for test-time adaptation.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i/>
          <w:iCs/>
          <w:sz w:val="16"/>
        </w:rPr>
        <w:t xml:space="preserve">CVPR</w:t>
      </w:r>
      <w:r>
        <w:rPr>
          <w:rFonts w:ascii="Times New Roman" w:hAnsi="Times New Roman"/>
          <w:sz w:val="16"/>
        </w:rPr>
        <w:t xml:space="preserve">, 2024.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sz w:val="16"/>
        </w:rPr>
        <w:t xml:space="preserve">arXiv:2404.01351.</w:t>
      </w:r>
    </w:p>
    <w:p>
      <w:pPr>
        <w:widowControl/>
        <w:numPr>
          <w:ilvl w:val="0"/>
          <w:numId w:val="1005"/>
        </w:numPr>
        <w:spacing w:after="40" w:line="240" w:lineRule="auto"/>
      </w:pPr>
      <w:r>
        <w:rPr>
          <w:rFonts w:ascii="Times New Roman" w:hAnsi="Times New Roman"/>
          <w:sz w:val="16"/>
        </w:rPr>
        <w:t xml:space="preserve">J. Steinhardt, P. Liang. Unsupervised risk estimation using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sz w:val="16"/>
        </w:rPr>
        <w:t xml:space="preserve">only conditional independence structure.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i/>
          <w:iCs/>
          <w:sz w:val="16"/>
        </w:rPr>
        <w:t xml:space="preserve">NeurIPS</w:t>
      </w:r>
      <w:r>
        <w:rPr>
          <w:rFonts w:ascii="Times New Roman" w:hAnsi="Times New Roman"/>
          <w:sz w:val="16"/>
        </w:rPr>
        <w:t xml:space="preserve">, 2016. arXiv:1606.05313.</w:t>
      </w:r>
    </w:p>
    <w:p>
      <w:pPr>
        <w:widowControl/>
        <w:numPr>
          <w:ilvl w:val="0"/>
          <w:numId w:val="1005"/>
        </w:numPr>
        <w:spacing w:after="40" w:line="240" w:lineRule="auto"/>
      </w:pPr>
      <w:r>
        <w:rPr>
          <w:rFonts w:ascii="Times New Roman" w:hAnsi="Times New Roman"/>
          <w:sz w:val="16"/>
        </w:rPr>
        <w:t xml:space="preserve">S. Ben-David, J. Blitzer, K. Crammer, A. Kulesza,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sz w:val="16"/>
        </w:rPr>
        <w:t xml:space="preserve">F. Pereira, J. Wortman Vaughan. A theory of learning from different domains.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i/>
          <w:iCs/>
          <w:sz w:val="16"/>
        </w:rPr>
        <w:t xml:space="preserve">Machine Learning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sz w:val="16"/>
        </w:rPr>
        <w:t xml:space="preserve">79(1–2):151–175, 2010.</w:t>
      </w:r>
    </w:p>
    <w:p>
      <w:pPr>
        <w:widowControl/>
        <w:numPr>
          <w:ilvl w:val="0"/>
          <w:numId w:val="1005"/>
        </w:numPr>
        <w:spacing w:after="40" w:line="240" w:lineRule="auto"/>
      </w:pPr>
      <w:r>
        <w:rPr>
          <w:rFonts w:ascii="Times New Roman" w:hAnsi="Times New Roman"/>
          <w:sz w:val="16"/>
        </w:rPr>
        <w:t xml:space="preserve">E. Rosenfeld, S. Garg. (Almost) provable error bounds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sz w:val="16"/>
        </w:rPr>
        <w:t xml:space="preserve">under distribution shift via disagreement discrepancy.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i/>
          <w:iCs/>
          <w:sz w:val="16"/>
        </w:rPr>
        <w:t xml:space="preserve">NeurIPS</w:t>
      </w:r>
      <w:r>
        <w:rPr>
          <w:rFonts w:ascii="Times New Roman" w:hAnsi="Times New Roman"/>
          <w:sz w:val="16"/>
        </w:rPr>
        <w:t xml:space="preserve">, 2023.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sz w:val="16"/>
        </w:rPr>
        <w:t xml:space="preserve">arXiv:2306.00312.</w:t>
      </w:r>
    </w:p>
    <w:p>
      <w:pPr>
        <w:widowControl/>
        <w:numPr>
          <w:ilvl w:val="0"/>
          <w:numId w:val="1005"/>
        </w:numPr>
        <w:spacing w:after="40" w:line="240" w:lineRule="auto"/>
      </w:pPr>
      <w:r>
        <w:rPr>
          <w:rFonts w:ascii="Times New Roman" w:hAnsi="Times New Roman"/>
          <w:sz w:val="16"/>
        </w:rPr>
        <w:t xml:space="preserve">Y. Geifman, R. El-Yaniv. Selective classification for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sz w:val="16"/>
        </w:rPr>
        <w:t xml:space="preserve">deep neural networks.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i/>
          <w:iCs/>
          <w:sz w:val="16"/>
        </w:rPr>
        <w:t xml:space="preserve">NeurIPS</w:t>
      </w:r>
      <w:r>
        <w:rPr>
          <w:rFonts w:ascii="Times New Roman" w:hAnsi="Times New Roman"/>
          <w:sz w:val="16"/>
        </w:rPr>
        <w:t xml:space="preserve">, 2017.</w:t>
      </w:r>
    </w:p>
    <w:p>
      <w:pPr>
        <w:widowControl/>
        <w:numPr>
          <w:ilvl w:val="0"/>
          <w:numId w:val="1005"/>
        </w:numPr>
        <w:spacing w:after="40" w:line="240" w:lineRule="auto"/>
      </w:pPr>
      <w:r>
        <w:rPr>
          <w:rFonts w:ascii="Times New Roman" w:hAnsi="Times New Roman"/>
          <w:sz w:val="16"/>
        </w:rPr>
        <w:t xml:space="preserve">J. Deng, W. Dong, R. Socher, L.-J. Li, K. Li, L. Fei-Fei.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sz w:val="16"/>
        </w:rPr>
        <w:t xml:space="preserve">ImageNet: A large-scale hierarchical image database.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i/>
          <w:iCs/>
          <w:sz w:val="16"/>
        </w:rPr>
        <w:t xml:space="preserve">CVPR</w:t>
      </w:r>
      <w:r>
        <w:rPr>
          <w:rFonts w:ascii="Times New Roman" w:hAnsi="Times New Roman"/>
          <w:sz w:val="16"/>
        </w:rPr>
        <w:t xml:space="preserve">, 2009.</w:t>
      </w:r>
    </w:p>
    <w:p>
      <w:pPr>
        <w:widowControl/>
        <w:numPr>
          <w:ilvl w:val="0"/>
          <w:numId w:val="1005"/>
        </w:numPr>
        <w:spacing w:after="40" w:line="240" w:lineRule="auto"/>
      </w:pPr>
      <w:r>
        <w:rPr>
          <w:rFonts w:ascii="Times New Roman" w:hAnsi="Times New Roman"/>
          <w:sz w:val="16"/>
        </w:rPr>
        <w:t xml:space="preserve">D. Hendrycks, T. Dietterich. Benchmarking neural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sz w:val="16"/>
        </w:rPr>
        <w:t xml:space="preserve">network robustness to common corruptions and perturbations.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i/>
          <w:iCs/>
          <w:sz w:val="16"/>
        </w:rPr>
        <w:t xml:space="preserve">ICLR</w:t>
      </w:r>
      <w:r>
        <w:rPr>
          <w:rFonts w:ascii="Times New Roman" w:hAnsi="Times New Roman"/>
          <w:sz w:val="16"/>
        </w:rPr>
        <w:t xml:space="preserve">, 2019.</w:t>
      </w:r>
    </w:p>
    <w:p>
      <w:pPr>
        <w:widowControl/>
        <w:numPr>
          <w:ilvl w:val="0"/>
          <w:numId w:val="1005"/>
        </w:numPr>
        <w:spacing w:after="40" w:line="240" w:lineRule="auto"/>
      </w:pPr>
      <w:r>
        <w:rPr>
          <w:rFonts w:ascii="Times New Roman" w:hAnsi="Times New Roman"/>
          <w:sz w:val="16"/>
        </w:rPr>
        <w:t xml:space="preserve">P. W. Koh, S. Sagawa, H. Marklund, S. M. Xie, M. Zhang,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sz w:val="16"/>
        </w:rPr>
        <w:t xml:space="preserve">A. Balsubramani, W. Hu, M. Yasunaga, et al. WILDS: A benchmark of in-the-wild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sz w:val="16"/>
        </w:rPr>
        <w:t xml:space="preserve">distribution shifts.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i/>
          <w:iCs/>
          <w:sz w:val="16"/>
        </w:rPr>
        <w:t xml:space="preserve">ICML</w:t>
      </w:r>
      <w:r>
        <w:rPr>
          <w:rFonts w:ascii="Times New Roman" w:hAnsi="Times New Roman"/>
          <w:sz w:val="16"/>
        </w:rPr>
        <w:t xml:space="preserve">, 2021.</w:t>
      </w:r>
    </w:p>
    <w:p>
      <w:pPr>
        <w:widowControl/>
        <w:numPr>
          <w:ilvl w:val="0"/>
          <w:numId w:val="1005"/>
        </w:numPr>
        <w:spacing w:after="40" w:line="240" w:lineRule="auto"/>
      </w:pPr>
      <w:r>
        <w:rPr>
          <w:rFonts w:ascii="Times New Roman" w:hAnsi="Times New Roman"/>
          <w:sz w:val="16"/>
        </w:rPr>
        <w:t xml:space="preserve">P. Bándi, O. Geessink, Q. Manson, M. van Dijk,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sz w:val="16"/>
        </w:rPr>
        <w:t xml:space="preserve">M. Balkenhol, M. Hermsen, et al. From detection of individual metastases to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sz w:val="16"/>
        </w:rPr>
        <w:t xml:space="preserve">classification of lymph node status at the patient level: The CAMELYON17 challenge.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i/>
          <w:iCs/>
          <w:sz w:val="16"/>
        </w:rPr>
        <w:t xml:space="preserve">IEEE Trans. Med. Imaging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sz w:val="16"/>
        </w:rPr>
        <w:t xml:space="preserve">38(2):550–560, 2019.</w:t>
      </w:r>
    </w:p>
    <w:p>
      <w:pPr>
        <w:widowControl/>
        <w:numPr>
          <w:ilvl w:val="0"/>
          <w:numId w:val="1005"/>
        </w:numPr>
        <w:spacing w:after="40" w:line="240" w:lineRule="auto"/>
      </w:pPr>
      <w:r>
        <w:rPr>
          <w:rFonts w:ascii="Times New Roman" w:hAnsi="Times New Roman"/>
          <w:sz w:val="16"/>
        </w:rPr>
        <w:t xml:space="preserve">J. Taylor, S. L. Earnshaw, B. M. Mabey, M. Victors,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sz w:val="16"/>
        </w:rPr>
        <w:t xml:space="preserve">M. N. Annis, D. Y. Torigian, et al. The RXRX1 dataset and challenge: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sz w:val="16"/>
        </w:rPr>
        <w:t xml:space="preserve">Unsupervised classification of cellular morphological changes.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i/>
          <w:iCs/>
          <w:sz w:val="16"/>
        </w:rPr>
        <w:t xml:space="preserve">arXiv:1907.04758</w:t>
      </w:r>
      <w:r>
        <w:rPr>
          <w:rFonts w:ascii="Times New Roman" w:hAnsi="Times New Roman"/>
          <w:sz w:val="16"/>
        </w:rPr>
        <w:t xml:space="preserve">, 2019.</w:t>
      </w:r>
    </w:p>
    <w:p>
      <w:pPr>
        <w:widowControl/>
        <w:numPr>
          <w:ilvl w:val="0"/>
          <w:numId w:val="1005"/>
        </w:numPr>
        <w:spacing w:after="40" w:line="240" w:lineRule="auto"/>
      </w:pPr>
      <w:r>
        <w:rPr>
          <w:rFonts w:ascii="Times New Roman" w:hAnsi="Times New Roman"/>
          <w:sz w:val="16"/>
        </w:rPr>
        <w:t xml:space="preserve">H. Venkateswara, J. Eusebio, S. Chakraborty,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sz w:val="16"/>
        </w:rPr>
        <w:t xml:space="preserve">S. Panchanathan. Deep hashing network for unsupervised domain adaptation.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i/>
          <w:iCs/>
          <w:sz w:val="16"/>
        </w:rPr>
        <w:t xml:space="preserve">CVPR</w:t>
      </w:r>
      <w:r>
        <w:rPr>
          <w:rFonts w:ascii="Times New Roman" w:hAnsi="Times New Roman"/>
          <w:sz w:val="16"/>
        </w:rPr>
        <w:t xml:space="preserve">, 2017. (Office-Home dataset release).</w:t>
      </w:r>
    </w:p>
    <w:p>
      <w:pPr>
        <w:widowControl/>
        <w:numPr>
          <w:ilvl w:val="0"/>
          <w:numId w:val="1005"/>
        </w:numPr>
        <w:spacing w:after="40" w:line="240" w:lineRule="auto"/>
      </w:pPr>
      <w:r>
        <w:rPr>
          <w:rFonts w:ascii="Times New Roman" w:hAnsi="Times New Roman"/>
          <w:sz w:val="16"/>
        </w:rPr>
        <w:t xml:space="preserve">I. Gulrajani, D. Lopez-Paz. In search of lost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sz w:val="16"/>
        </w:rPr>
        <w:t xml:space="preserve">domain generalization.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i/>
          <w:iCs/>
          <w:sz w:val="16"/>
        </w:rPr>
        <w:t xml:space="preserve">ICLR</w:t>
      </w:r>
      <w:r>
        <w:rPr>
          <w:rFonts w:ascii="Times New Roman" w:hAnsi="Times New Roman"/>
          <w:sz w:val="16"/>
        </w:rPr>
        <w:t xml:space="preserve">, 2021.</w:t>
      </w:r>
    </w:p>
    <w:p>
      <w:pPr>
        <w:widowControl/>
        <w:numPr>
          <w:ilvl w:val="0"/>
          <w:numId w:val="1005"/>
        </w:numPr>
        <w:spacing w:after="40" w:line="240" w:lineRule="auto"/>
      </w:pPr>
      <w:r>
        <w:rPr>
          <w:rFonts w:ascii="Times New Roman" w:hAnsi="Times New Roman"/>
          <w:sz w:val="16"/>
        </w:rPr>
        <w:t xml:space="preserve">F. Croce, M. Andriushchenko, V. Sehwag,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sz w:val="16"/>
        </w:rPr>
        <w:t xml:space="preserve">E. Debenedetti, N. Flammarion, M. Chiang, P. Mittal, M. Hein.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sz w:val="16"/>
        </w:rPr>
        <w:t xml:space="preserve">RobustBench: A standardized adversarial robustness benchmark.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i/>
          <w:iCs/>
          <w:sz w:val="16"/>
        </w:rPr>
        <w:t xml:space="preserve">NeurIPS Datasets and Benchmarks</w:t>
      </w:r>
      <w:r>
        <w:rPr>
          <w:rFonts w:ascii="Times New Roman" w:hAnsi="Times New Roman"/>
          <w:sz w:val="16"/>
        </w:rPr>
        <w:t xml:space="preserve">, 2021.</w:t>
      </w:r>
    </w:p>
    <w:p>
      <w:pPr>
        <w:widowControl/>
        <w:numPr>
          <w:ilvl w:val="0"/>
          <w:numId w:val="1005"/>
        </w:numPr>
        <w:spacing w:after="40" w:line="240" w:lineRule="auto"/>
      </w:pPr>
      <w:r>
        <w:rPr>
          <w:rFonts w:ascii="Times New Roman" w:hAnsi="Times New Roman"/>
          <w:sz w:val="16"/>
        </w:rPr>
        <w:t xml:space="preserve">B. Recht, R. Roelofs, L. Schmidt, V. Shankar.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sz w:val="16"/>
        </w:rPr>
        <w:t xml:space="preserve">Do CIFAR-10 classifiers generalize to CIFAR-10?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i/>
          <w:iCs/>
          <w:sz w:val="16"/>
        </w:rPr>
        <w:t xml:space="preserve">ICML</w:t>
      </w:r>
      <w:r>
        <w:rPr>
          <w:rFonts w:ascii="Times New Roman" w:hAnsi="Times New Roman"/>
          <w:sz w:val="16"/>
        </w:rPr>
        <w:t xml:space="preserve">, 2019.</w:t>
      </w:r>
    </w:p>
    <w:p>
      <w:pPr>
        <w:widowControl/>
        <w:numPr>
          <w:ilvl w:val="0"/>
          <w:numId w:val="1005"/>
        </w:numPr>
        <w:spacing w:after="40" w:line="240" w:lineRule="auto"/>
      </w:pPr>
      <w:r>
        <w:rPr>
          <w:rFonts w:ascii="Times New Roman" w:hAnsi="Times New Roman"/>
          <w:sz w:val="16"/>
        </w:rPr>
        <w:t xml:space="preserve">A. Paszke, S. Gross, F. Massa, A. Lerer, J. Bradbury,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sz w:val="16"/>
        </w:rPr>
        <w:t xml:space="preserve">G. Chanan, T. Killeen, Z. Lin, N. Gimelshein, L. Antiga, et al.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sz w:val="16"/>
        </w:rPr>
        <w:t xml:space="preserve">PyTorch: An imperative style, high-performance deep learning library.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i/>
          <w:iCs/>
          <w:sz w:val="16"/>
        </w:rPr>
        <w:t xml:space="preserve">NeurIPS</w:t>
      </w:r>
      <w:r>
        <w:rPr>
          <w:rFonts w:ascii="Times New Roman" w:hAnsi="Times New Roman"/>
          <w:sz w:val="16"/>
        </w:rPr>
        <w:t xml:space="preserve">, 2019.</w:t>
      </w:r>
    </w:p>
    <w:p>
      <w:pPr>
        <w:widowControl/>
        <w:numPr>
          <w:ilvl w:val="0"/>
          <w:numId w:val="1005"/>
        </w:numPr>
        <w:spacing w:after="40" w:line="240" w:lineRule="auto"/>
      </w:pPr>
      <w:r>
        <w:rPr>
          <w:rFonts w:ascii="Times New Roman" w:hAnsi="Times New Roman"/>
          <w:sz w:val="16"/>
        </w:rPr>
        <w:t xml:space="preserve">F. Pedregosa, G. Varoquaux, A. Gramfort, V. Michel,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sz w:val="16"/>
        </w:rPr>
        <w:t xml:space="preserve">B. Thirion, O. Grisel, M. Blondel, P. Prettenhofer, R. Weiss, V. Dubourg, et al.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sz w:val="16"/>
        </w:rPr>
        <w:t xml:space="preserve">Scikit-learn: Machine learning in Python.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i/>
          <w:iCs/>
          <w:sz w:val="16"/>
        </w:rPr>
        <w:t xml:space="preserve">JMLR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sz w:val="16"/>
        </w:rPr>
        <w:t xml:space="preserve">12:2825–2830, 2011.</w:t>
      </w:r>
    </w:p>
    <w:p>
      <w:pPr>
        <w:widowControl/>
        <w:numPr>
          <w:ilvl w:val="0"/>
          <w:numId w:val="1005"/>
        </w:numPr>
        <w:spacing w:after="40" w:line="240" w:lineRule="auto"/>
      </w:pPr>
      <w:r>
        <w:rPr>
          <w:rFonts w:ascii="Times New Roman" w:hAnsi="Times New Roman"/>
          <w:sz w:val="16"/>
        </w:rPr>
        <w:t xml:space="preserve">R. Xie, A. Odonnat, V. Feofanov, W. Deng, J. Zhang, B. An.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sz w:val="16"/>
        </w:rPr>
        <w:t xml:space="preserve">MaNo: exploiting matrix norm for unsupervised accuracy estimation under distribution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sz w:val="16"/>
        </w:rPr>
        <w:t xml:space="preserve">shifts.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i/>
          <w:iCs/>
          <w:sz w:val="16"/>
        </w:rPr>
        <w:t xml:space="preserve">NeurIPS</w:t>
      </w:r>
      <w:r>
        <w:rPr>
          <w:rFonts w:ascii="Times New Roman" w:hAnsi="Times New Roman"/>
          <w:sz w:val="16"/>
        </w:rPr>
        <w:t xml:space="preserve">, 2024. arXiv:2405.18979.</w:t>
      </w:r>
    </w:p>
    <w:p>
      <w:pPr>
        <w:widowControl/>
        <w:numPr>
          <w:ilvl w:val="0"/>
          <w:numId w:val="1005"/>
        </w:numPr>
        <w:spacing w:after="40" w:line="240" w:lineRule="auto"/>
      </w:pPr>
      <w:r>
        <w:rPr>
          <w:rFonts w:ascii="Times New Roman" w:hAnsi="Times New Roman"/>
          <w:sz w:val="16"/>
        </w:rPr>
        <w:t xml:space="preserve">W. Deng, Y. Suh, S. Gould, L. Zheng. Confidence and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sz w:val="16"/>
        </w:rPr>
        <w:t xml:space="preserve">dispersity speak: characterizing prediction matrix for unsupervised accuracy estimation.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i/>
          <w:iCs/>
          <w:sz w:val="16"/>
        </w:rPr>
        <w:t xml:space="preserve">ICML</w:t>
      </w:r>
      <w:r>
        <w:rPr>
          <w:rFonts w:ascii="Times New Roman" w:hAnsi="Times New Roman"/>
          <w:sz w:val="16"/>
        </w:rPr>
        <w:t xml:space="preserve">, 2023. arXiv:2302.01094.</w:t>
      </w:r>
    </w:p>
    <w:p>
      <w:pPr>
        <w:widowControl/>
        <w:numPr>
          <w:ilvl w:val="0"/>
          <w:numId w:val="1005"/>
        </w:numPr>
        <w:spacing w:after="40" w:line="240" w:lineRule="auto"/>
      </w:pPr>
      <w:r>
        <w:rPr>
          <w:rFonts w:ascii="Times New Roman" w:hAnsi="Times New Roman"/>
          <w:sz w:val="16"/>
        </w:rPr>
        <w:t xml:space="preserve">J. Liang, R. He, T. Tan. A comprehensive survey on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sz w:val="16"/>
        </w:rPr>
        <w:t xml:space="preserve">test-time adaptation under distribution shifts.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i/>
          <w:iCs/>
          <w:sz w:val="16"/>
        </w:rPr>
        <w:t xml:space="preserve">IJCV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sz w:val="16"/>
        </w:rPr>
        <w:t xml:space="preserve">133(1):31–64, 2025.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sz w:val="16"/>
        </w:rPr>
        <w:t xml:space="preserve">arXiv:2303.15361.</w:t>
      </w:r>
    </w:p>
    <w:p>
      <w:pPr>
        <w:widowControl/>
        <w:numPr>
          <w:ilvl w:val="0"/>
          <w:numId w:val="1005"/>
        </w:numPr>
        <w:spacing w:after="40" w:line="240" w:lineRule="auto"/>
      </w:pPr>
      <w:r>
        <w:rPr>
          <w:rFonts w:ascii="Times New Roman" w:hAnsi="Times New Roman"/>
          <w:sz w:val="16"/>
        </w:rPr>
        <w:t xml:space="preserve">R. J. Tibshirani, R. F. Barber, E. Candès,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sz w:val="16"/>
        </w:rPr>
        <w:t xml:space="preserve">A. Ramdas. Conformal prediction under covariate shift.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i/>
          <w:iCs/>
          <w:sz w:val="16"/>
        </w:rPr>
        <w:t xml:space="preserve">NeurIPS</w:t>
      </w:r>
      <w:r>
        <w:rPr>
          <w:rFonts w:ascii="Times New Roman" w:hAnsi="Times New Roman"/>
          <w:sz w:val="16"/>
        </w:rPr>
        <w:t xml:space="preserve">, 2019.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sz w:val="16"/>
        </w:rPr>
        <w:t xml:space="preserve">arXiv:1904.06019.</w:t>
      </w:r>
    </w:p>
    <w:p>
      <w:pPr>
        <w:widowControl/>
        <w:numPr>
          <w:ilvl w:val="0"/>
          <w:numId w:val="1005"/>
        </w:numPr>
        <w:spacing w:after="40" w:line="240" w:lineRule="auto"/>
      </w:pPr>
      <w:r>
        <w:rPr>
          <w:rFonts w:ascii="Times New Roman" w:hAnsi="Times New Roman"/>
          <w:sz w:val="16"/>
        </w:rPr>
        <w:t xml:space="preserve">R. F. Barber, E. J. Candès, A. Ramdas, R. J. Tibshirani.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sz w:val="16"/>
        </w:rPr>
        <w:t xml:space="preserve">Conformal prediction beyond exchangeability.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i/>
          <w:iCs/>
          <w:sz w:val="16"/>
        </w:rPr>
        <w:t xml:space="preserve">Annals of Statistics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sz w:val="16"/>
        </w:rPr>
        <w:t xml:space="preserve">51(2):816–845, 2023. arXiv:2202.13415.</w:t>
      </w:r>
    </w:p>
    <w:p>
      <w:pPr>
        <w:widowControl/>
        <w:numPr>
          <w:ilvl w:val="0"/>
          <w:numId w:val="1005"/>
        </w:numPr>
        <w:spacing w:after="40" w:line="240" w:lineRule="auto"/>
      </w:pPr>
      <w:r>
        <w:rPr>
          <w:rFonts w:ascii="Times New Roman" w:hAnsi="Times New Roman"/>
          <w:sz w:val="16"/>
        </w:rPr>
        <w:t xml:space="preserve">I. Gibbs, E. Candès. Adaptive conformal inference under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sz w:val="16"/>
        </w:rPr>
        <w:t xml:space="preserve">distribution shift.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i/>
          <w:iCs/>
          <w:sz w:val="16"/>
        </w:rPr>
        <w:t xml:space="preserve">NeurIPS</w:t>
      </w:r>
      <w:r>
        <w:rPr>
          <w:rFonts w:ascii="Times New Roman" w:hAnsi="Times New Roman"/>
          <w:sz w:val="16"/>
        </w:rPr>
        <w:t xml:space="preserve">, 2021. arXiv:2106.00170.</w:t>
      </w:r>
    </w:p>
    <w:p>
      <w:pPr>
        <w:widowControl/>
        <w:numPr>
          <w:ilvl w:val="0"/>
          <w:numId w:val="1005"/>
        </w:numPr>
        <w:spacing w:after="40" w:line="240" w:lineRule="auto"/>
      </w:pPr>
      <w:r>
        <w:rPr>
          <w:rFonts w:ascii="Times New Roman" w:hAnsi="Times New Roman"/>
          <w:sz w:val="16"/>
        </w:rPr>
        <w:t xml:space="preserve">S. Park, E. Dobriban, I. Lee, O. Bastani. PAC prediction sets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sz w:val="16"/>
        </w:rPr>
        <w:t xml:space="preserve">under covariate shift.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i/>
          <w:iCs/>
          <w:sz w:val="16"/>
        </w:rPr>
        <w:t xml:space="preserve">ICLR</w:t>
      </w:r>
      <w:r>
        <w:rPr>
          <w:rFonts w:ascii="Times New Roman" w:hAnsi="Times New Roman"/>
          <w:sz w:val="16"/>
        </w:rPr>
        <w:t xml:space="preserve">, 2022. arXiv:2106.09848.</w:t>
      </w:r>
    </w:p>
    <w:p>
      <w:pPr>
        <w:widowControl/>
        <w:numPr>
          <w:ilvl w:val="0"/>
          <w:numId w:val="1005"/>
        </w:numPr>
        <w:spacing w:after="40" w:line="240" w:lineRule="auto"/>
      </w:pPr>
      <w:r>
        <w:rPr>
          <w:rFonts w:ascii="Times New Roman" w:hAnsi="Times New Roman"/>
          <w:sz w:val="16"/>
        </w:rPr>
        <w:t xml:space="preserve">S. Bates, A. Angelopoulos, L. Lei, J. Malik, M. I. Jordan.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sz w:val="16"/>
        </w:rPr>
        <w:t xml:space="preserve">Distribution-free, risk-controlling prediction sets.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i/>
          <w:iCs/>
          <w:sz w:val="16"/>
        </w:rPr>
        <w:t xml:space="preserve">JACM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sz w:val="16"/>
        </w:rPr>
        <w:t xml:space="preserve">68(6), 2021.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sz w:val="16"/>
        </w:rPr>
        <w:t xml:space="preserve">arXiv:2101.02703.</w:t>
      </w:r>
    </w:p>
    <w:p>
      <w:pPr>
        <w:widowControl/>
        <w:numPr>
          <w:ilvl w:val="0"/>
          <w:numId w:val="1005"/>
        </w:numPr>
        <w:spacing w:after="40" w:line="240" w:lineRule="auto"/>
      </w:pPr>
      <w:r>
        <w:rPr>
          <w:rFonts w:ascii="Times New Roman" w:hAnsi="Times New Roman"/>
          <w:sz w:val="16"/>
        </w:rPr>
        <w:t xml:space="preserve">A. N. Angelopoulos, S. Bates, E. J. Candès,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sz w:val="16"/>
        </w:rPr>
        <w:t xml:space="preserve">M. I. Jordan, L. Lei. Learn then test: calibrating predictive algorithms to achieve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sz w:val="16"/>
        </w:rPr>
        <w:t xml:space="preserve">risk control.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i/>
          <w:iCs/>
          <w:sz w:val="16"/>
        </w:rPr>
        <w:t xml:space="preserve">Annals of Applied Statistics</w:t>
      </w:r>
      <w:r>
        <w:rPr>
          <w:rFonts w:ascii="Times New Roman" w:hAnsi="Times New Roman"/>
          <w:sz w:val="16"/>
        </w:rPr>
        <w:t xml:space="preserve">, 2025. arXiv:2110.01052.</w:t>
      </w:r>
    </w:p>
    <w:p>
      <w:pPr>
        <w:widowControl/>
        <w:numPr>
          <w:ilvl w:val="0"/>
          <w:numId w:val="1005"/>
        </w:numPr>
        <w:spacing w:after="40" w:line="240" w:lineRule="auto"/>
      </w:pPr>
      <w:r>
        <w:rPr>
          <w:rFonts w:ascii="Times New Roman" w:hAnsi="Times New Roman"/>
          <w:sz w:val="16"/>
        </w:rPr>
        <w:t xml:space="preserve">T. Hoang, D. M. Vo, M. N. Do. Persistent test-time adaptation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sz w:val="16"/>
        </w:rPr>
        <w:t xml:space="preserve">in recurring testing scenarios.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i/>
          <w:iCs/>
          <w:sz w:val="16"/>
        </w:rPr>
        <w:t xml:space="preserve">NeurIPS</w:t>
      </w:r>
      <w:r>
        <w:rPr>
          <w:rFonts w:ascii="Times New Roman" w:hAnsi="Times New Roman"/>
          <w:sz w:val="16"/>
        </w:rPr>
        <w:t xml:space="preserve">, 2024. arXiv:2311.18193.</w:t>
      </w:r>
    </w:p>
    <w:p>
      <w:pPr>
        <w:widowControl/>
        <w:numPr>
          <w:ilvl w:val="0"/>
          <w:numId w:val="1005"/>
        </w:numPr>
        <w:spacing w:after="40" w:line="240" w:lineRule="auto"/>
      </w:pPr>
      <w:r>
        <w:rPr>
          <w:rFonts w:ascii="Times New Roman" w:hAnsi="Times New Roman"/>
          <w:sz w:val="16"/>
        </w:rPr>
        <w:t xml:space="preserve">J. Lee, D. Jung, S. Lee, J. Park, J. Shin, U. Hwang, S. Yoon.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sz w:val="16"/>
        </w:rPr>
        <w:t xml:space="preserve">Entropy is not enough for test-time adaptation: from the perspective of disentangled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sz w:val="16"/>
        </w:rPr>
        <w:t xml:space="preserve">factors.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i/>
          <w:iCs/>
          <w:sz w:val="16"/>
        </w:rPr>
        <w:t xml:space="preserve">ICLR</w:t>
      </w:r>
      <w:r>
        <w:rPr>
          <w:rFonts w:ascii="Times New Roman" w:hAnsi="Times New Roman"/>
          <w:sz w:val="16"/>
        </w:rPr>
        <w:t xml:space="preserve">, 2024. arXiv:2403.07366.</w:t>
      </w:r>
    </w:p>
    <w:p>
      <w:pPr>
        <w:widowControl/>
        <w:numPr>
          <w:ilvl w:val="0"/>
          <w:numId w:val="1005"/>
        </w:numPr>
        <w:spacing w:after="40" w:line="240" w:lineRule="auto"/>
      </w:pPr>
      <w:r>
        <w:rPr>
          <w:rFonts w:ascii="Times New Roman" w:hAnsi="Times New Roman"/>
          <w:sz w:val="16"/>
        </w:rPr>
        <w:t xml:space="preserve">T. Lim, J. Hwang, K. Lee. When and where to reset matters for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sz w:val="16"/>
        </w:rPr>
        <w:t xml:space="preserve">long-term test-time adaptation.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i/>
          <w:iCs/>
          <w:sz w:val="16"/>
        </w:rPr>
        <w:t xml:space="preserve">ICLR</w:t>
      </w:r>
      <w:r>
        <w:rPr>
          <w:rFonts w:ascii="Times New Roman" w:hAnsi="Times New Roman"/>
          <w:sz w:val="16"/>
        </w:rPr>
        <w:t xml:space="preserve">, 2026. arXiv:2603.03796.</w:t>
      </w:r>
    </w:p>
    <w:p>
      <w:pPr>
        <w:widowControl/>
        <w:numPr>
          <w:ilvl w:val="0"/>
          <w:numId w:val="1005"/>
        </w:numPr>
        <w:spacing w:after="40" w:line="240" w:lineRule="auto"/>
      </w:pPr>
      <w:r>
        <w:rPr>
          <w:rFonts w:ascii="Times New Roman" w:hAnsi="Times New Roman"/>
          <w:sz w:val="16"/>
        </w:rPr>
        <w:t xml:space="preserve">S. Sonoda, Y. Mizuno, K. Tsukamoto, N. Onda. Lean formalization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sz w:val="16"/>
        </w:rPr>
        <w:t xml:space="preserve">of generalization error bound by Rademacher complexity and Dudley’s entropy integral.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sz w:val="16"/>
        </w:rPr>
        <w:t xml:space="preserve">2025. arXiv:2503.19605.</w:t>
      </w:r>
    </w:p>
    <w:p>
      <w:pPr>
        <w:widowControl/>
        <w:numPr>
          <w:ilvl w:val="0"/>
          <w:numId w:val="1005"/>
        </w:numPr>
        <w:spacing w:after="40" w:line="240" w:lineRule="auto"/>
      </w:pPr>
      <w:r>
        <w:rPr>
          <w:rFonts w:ascii="Times New Roman" w:hAnsi="Times New Roman"/>
          <w:sz w:val="16"/>
        </w:rPr>
        <w:t xml:space="preserve">S. Sreeram, Y. D. Kwon, C. Mascolo.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sz w:val="16"/>
        </w:rPr>
        <w:t xml:space="preserve">Tempora: Characterising the time-contingent utility of online test-time adaptation.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i/>
          <w:iCs/>
          <w:sz w:val="16"/>
        </w:rPr>
        <w:t xml:space="preserve">ICML</w:t>
      </w:r>
      <w:r>
        <w:rPr>
          <w:rFonts w:ascii="Times New Roman" w:hAnsi="Times New Roman"/>
          <w:sz w:val="16"/>
        </w:rPr>
        <w:t xml:space="preserve">, 2026. arXiv:2602.06136.</w:t>
      </w:r>
    </w:p>
    <w:p>
      <w:pPr>
        <w:widowControl/>
        <w:numPr>
          <w:ilvl w:val="0"/>
          <w:numId w:val="1005"/>
        </w:numPr>
        <w:spacing w:after="40" w:line="240" w:lineRule="auto"/>
      </w:pPr>
      <w:r>
        <w:rPr>
          <w:rFonts w:ascii="Times New Roman" w:hAnsi="Times New Roman"/>
          <w:sz w:val="16"/>
        </w:rPr>
        <w:t xml:space="preserve">A. Corrada-Emmanuel. The logic of NTQR evaluations of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sz w:val="16"/>
        </w:rPr>
        <w:t xml:space="preserve">noisy AI agents: Complete postulates and logically consistent error correlations.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sz w:val="16"/>
        </w:rPr>
        <w:t xml:space="preserve">2023. arXiv:2312.05392.</w:t>
      </w:r>
    </w:p>
    <w:p>
      <w:pPr>
        <w:widowControl/>
        <w:numPr>
          <w:ilvl w:val="0"/>
          <w:numId w:val="1005"/>
        </w:numPr>
        <w:spacing w:after="40" w:line="240" w:lineRule="auto"/>
      </w:pPr>
      <w:r>
        <w:rPr>
          <w:rFonts w:ascii="Times New Roman" w:hAnsi="Times New Roman"/>
          <w:sz w:val="16"/>
        </w:rPr>
        <w:t xml:space="preserve">C. Gupta, A. Ramdas. Top-label calibration and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sz w:val="16"/>
        </w:rPr>
        <w:t xml:space="preserve">multiclass-to-binary reductions.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i/>
          <w:iCs/>
          <w:sz w:val="16"/>
        </w:rPr>
        <w:t xml:space="preserve">ICLR</w:t>
      </w:r>
      <w:r>
        <w:rPr>
          <w:rFonts w:ascii="Times New Roman" w:hAnsi="Times New Roman"/>
          <w:sz w:val="16"/>
        </w:rPr>
        <w:t xml:space="preserve">, 2022. arXiv:2107.08353.</w:t>
      </w:r>
    </w:p>
    <w:p>
      <w:pPr>
        <w:widowControl/>
        <w:numPr>
          <w:ilvl w:val="0"/>
          <w:numId w:val="1005"/>
        </w:numPr>
        <w:spacing w:after="40" w:line="240" w:lineRule="auto"/>
      </w:pPr>
      <w:r>
        <w:rPr>
          <w:rFonts w:ascii="Times New Roman" w:hAnsi="Times New Roman"/>
          <w:sz w:val="16"/>
        </w:rPr>
        <w:t xml:space="preserve">S. Ben-David, R. Urner. On the hardness of domain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sz w:val="16"/>
        </w:rPr>
        <w:t xml:space="preserve">adaptation and the utility of unlabeled target samples.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i/>
          <w:iCs/>
          <w:sz w:val="16"/>
        </w:rPr>
        <w:t xml:space="preserve">ALT</w:t>
      </w:r>
      <w:r>
        <w:rPr>
          <w:rFonts w:ascii="Times New Roman" w:hAnsi="Times New Roman"/>
          <w:sz w:val="16"/>
        </w:rPr>
        <w:t xml:space="preserve">, 2012.</w:t>
      </w:r>
    </w:p>
    <w:p>
      <w:pPr>
        <w:widowControl/>
        <w:numPr>
          <w:ilvl w:val="0"/>
          <w:numId w:val="1005"/>
        </w:numPr>
        <w:spacing w:after="40" w:line="240" w:lineRule="auto"/>
      </w:pPr>
      <w:r>
        <w:rPr>
          <w:rFonts w:ascii="Times New Roman" w:hAnsi="Times New Roman"/>
          <w:sz w:val="16"/>
        </w:rPr>
        <w:t xml:space="preserve">Z. C. Lipton, Y.-X. Wang, A. Smola. Detecting and correcting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sz w:val="16"/>
        </w:rPr>
        <w:t xml:space="preserve">for label shift with black box predictors.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i/>
          <w:iCs/>
          <w:sz w:val="16"/>
        </w:rPr>
        <w:t xml:space="preserve">ICML</w:t>
      </w:r>
      <w:r>
        <w:rPr>
          <w:rFonts w:ascii="Times New Roman" w:hAnsi="Times New Roman"/>
          <w:sz w:val="16"/>
        </w:rPr>
        <w:t xml:space="preserve">, 2018.</w:t>
      </w:r>
    </w:p>
    <w:p>
      <w:pPr>
        <w:widowControl/>
        <w:numPr>
          <w:ilvl w:val="0"/>
          <w:numId w:val="1005"/>
        </w:numPr>
        <w:spacing w:after="40" w:line="240" w:lineRule="auto"/>
      </w:pPr>
      <w:r>
        <w:rPr>
          <w:rFonts w:ascii="Times New Roman" w:hAnsi="Times New Roman"/>
          <w:sz w:val="16"/>
        </w:rPr>
        <w:t xml:space="preserve">S. Garg, Y. Wu, S. Balakrishnan, Z. C. Lipton. A unified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sz w:val="16"/>
        </w:rPr>
        <w:t xml:space="preserve">view of label shift estimation.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i/>
          <w:iCs/>
          <w:sz w:val="16"/>
        </w:rPr>
        <w:t xml:space="preserve">NeurIPS</w:t>
      </w:r>
      <w:r>
        <w:rPr>
          <w:rFonts w:ascii="Times New Roman" w:hAnsi="Times New Roman"/>
          <w:sz w:val="16"/>
        </w:rPr>
        <w:t xml:space="preserve">, 2020.</w:t>
      </w:r>
    </w:p>
    <w:p>
      <w:pPr>
        <w:widowControl/>
        <w:numPr>
          <w:ilvl w:val="0"/>
          <w:numId w:val="1005"/>
        </w:numPr>
        <w:spacing w:after="40" w:line="240" w:lineRule="auto"/>
      </w:pPr>
      <w:r>
        <w:rPr>
          <w:rFonts w:ascii="Times New Roman" w:hAnsi="Times New Roman"/>
          <w:sz w:val="16"/>
        </w:rPr>
        <w:t xml:space="preserve">C. K. Chow. On optimum recognition error and reject tradeoff.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i/>
          <w:iCs/>
          <w:sz w:val="16"/>
        </w:rPr>
        <w:t xml:space="preserve">IEEE Trans. Information Theory</w:t>
      </w:r>
      <w:r>
        <w:rPr>
          <w:rFonts w:ascii="Times New Roman" w:hAnsi="Times New Roman"/>
          <w:sz w:val="16"/>
        </w:rPr>
        <w:t xml:space="preserve">, 16(1):41–46, 1970.</w:t>
      </w:r>
    </w:p>
    <w:p>
      <w:pPr>
        <w:widowControl/>
        <w:numPr>
          <w:ilvl w:val="0"/>
          <w:numId w:val="1005"/>
        </w:numPr>
        <w:spacing w:after="40" w:line="240" w:lineRule="auto"/>
      </w:pPr>
      <w:r>
        <w:rPr>
          <w:rFonts w:ascii="Times New Roman" w:hAnsi="Times New Roman"/>
          <w:sz w:val="16"/>
        </w:rPr>
        <w:t xml:space="preserve">C. Cortes, G. DeSalvo, M. Mohri. Learning with rejection.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i/>
          <w:iCs/>
          <w:sz w:val="16"/>
        </w:rPr>
        <w:t xml:space="preserve">ALT</w:t>
      </w:r>
      <w:r>
        <w:rPr>
          <w:rFonts w:ascii="Times New Roman" w:hAnsi="Times New Roman"/>
          <w:sz w:val="16"/>
        </w:rPr>
        <w:t xml:space="preserve">, 2016.</w:t>
      </w:r>
    </w:p>
    <w:p>
      <w:pPr>
        <w:widowControl/>
        <w:numPr>
          <w:ilvl w:val="0"/>
          <w:numId w:val="1005"/>
        </w:numPr>
        <w:spacing w:after="40" w:line="240" w:lineRule="auto"/>
      </w:pPr>
      <w:r>
        <w:rPr>
          <w:rFonts w:ascii="Times New Roman" w:hAnsi="Times New Roman"/>
          <w:sz w:val="16"/>
        </w:rPr>
        <w:t xml:space="preserve">D. Madras, T. Pitassi, R. Zemel. Predict responsibly: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sz w:val="16"/>
        </w:rPr>
        <w:t xml:space="preserve">improving fairness and accuracy by learning to defer.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i/>
          <w:iCs/>
          <w:sz w:val="16"/>
        </w:rPr>
        <w:t xml:space="preserve">NeurIPS</w:t>
      </w:r>
      <w:r>
        <w:rPr>
          <w:rFonts w:ascii="Times New Roman" w:hAnsi="Times New Roman"/>
          <w:sz w:val="16"/>
        </w:rPr>
        <w:t xml:space="preserve">, 2018.</w:t>
      </w:r>
    </w:p>
    <w:p>
      <w:pPr>
        <w:widowControl/>
        <w:numPr>
          <w:ilvl w:val="0"/>
          <w:numId w:val="1005"/>
        </w:numPr>
        <w:spacing w:after="40" w:line="240" w:lineRule="auto"/>
      </w:pPr>
      <w:r>
        <w:rPr>
          <w:rFonts w:ascii="Times New Roman" w:hAnsi="Times New Roman"/>
          <w:sz w:val="16"/>
        </w:rPr>
        <w:t xml:space="preserve">S. Beery, G. Van Horn, and P. Perona,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sz w:val="16"/>
        </w:rPr>
        <w:t xml:space="preserve">“Recognition in Terra Incognita,”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sz w:val="16"/>
        </w:rPr>
        <w:t xml:space="preserve">in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i/>
          <w:iCs/>
          <w:sz w:val="16"/>
        </w:rPr>
        <w:t xml:space="preserve">Proceedings of the European Conference on Computer Vision (ECCV)</w:t>
      </w:r>
      <w:r>
        <w:rPr>
          <w:rFonts w:ascii="Times New Roman" w:hAnsi="Times New Roman"/>
          <w:sz w:val="16"/>
        </w:rPr>
        <w:t xml:space="preserve">,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sz w:val="16"/>
        </w:rPr>
        <w:t xml:space="preserve">2018, pp. 456–473, doi: 10.1007/978-3-030-01270-0_28.</w:t>
      </w:r>
    </w:p>
    <w:bookmarkEnd w:id="143"/>
    <w:sectPr>
      <w:footerReference w:type="default" r:id="rId9"/>
      <w:footnotePr>
        <w:numRestart w:val="eachSect"/>
      </w:footnotePr>
      <w:pgSz w:w="12240" w:h="15840"/>
      <w:pgMar w:top="1037" w:bottom="1037" w:left="1066" w:right="1066" w:header="504" w:foot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Times New Roman" w:hAnsi="Times New Roman"/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before="0" w:after="80" w:line="259" w:lineRule="auto"/>
    </w:pPr>
    <w:rPr>
      <w:rFonts w:ascii="Times New Roman" w:hAnsi="Times New Roman" w:eastAsia="Times New Roman" w:cs="Times New Roman"/>
      <w:color w:val="000000"/>
      <w:sz w:val="19"/>
    </w:rPr>
  </w:style>
  <w:style w:styleId="BodyText" w:type="paragraph">
    <w:name w:val="Body Text"/>
    <w:basedOn w:val="Normal"/>
    <w:link w:val="BodyTextChar"/>
    <w:qFormat/>
    <w:pPr>
      <w:spacing w:after="80" w:before="0" w:line="259" w:lineRule="auto"/>
    </w:pPr>
    <w:rPr>
      <w:rFonts w:ascii="Times New Roman" w:hAnsi="Times New Roman" w:eastAsia="Times New Roman" w:cs="Times New Roman"/>
      <w:color w:val="000000"/>
      <w:sz w:val="19"/>
    </w:rPr>
  </w:style>
  <w:style w:customStyle="1" w:styleId="FirstParagraph" w:type="paragraph">
    <w:name w:val="First Paragraph"/>
    <w:basedOn w:val="BodyText"/>
    <w:next w:val="BodyText"/>
    <w:qFormat/>
    <w:pPr>
      <w:spacing w:before="0" w:after="80" w:line="259" w:lineRule="auto"/>
    </w:pPr>
    <w:rPr>
      <w:rFonts w:ascii="Times New Roman" w:hAnsi="Times New Roman" w:eastAsia="Times New Roman" w:cs="Times New Roman"/>
      <w:color w:val="000000"/>
      <w:sz w:val="19"/>
    </w:rPr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keepNext/>
      <w:spacing w:after="100" w:line="252" w:lineRule="auto" w:before="0"/>
      <w:contextualSpacing/>
      <w:jc w:val="center"/>
    </w:pPr>
    <w:rPr>
      <w:rFonts w:asciiTheme="majorHAnsi" w:cstheme="majorBidi" w:eastAsiaTheme="majorEastAsia" w:hAnsiTheme="majorHAnsi" w:ascii="Times New Roman" w:hAnsi="Times New Roman" w:eastAsia="Times New Roman" w:cs="Times New Roman"/>
      <w:b/>
      <w:i w:val="0"/>
      <w:color w:val="000000"/>
      <w:sz w:val="3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  <w:spacing w:before="0" w:after="140" w:line="252" w:lineRule="auto"/>
      <w:jc w:val="center"/>
    </w:pPr>
    <w:rPr>
      <w:rFonts w:ascii="Times New Roman" w:hAnsi="Times New Roman" w:eastAsia="Times New Roman" w:cs="Times New Roman"/>
      <w:b w:val="0"/>
      <w:i w:val="0"/>
      <w:color w:val="000000"/>
      <w:sz w:val="19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40" w:before="100" w:line="252" w:lineRule="auto"/>
      <w:jc w:val="center"/>
    </w:pPr>
    <w:rPr>
      <w:rFonts w:ascii="Times New Roman" w:hAnsi="Times New Roman" w:eastAsia="Times New Roman" w:cs="Times New Roman"/>
      <w:b/>
      <w:i w:val="0"/>
      <w:color w:val="000000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120" w:before="0" w:line="252" w:lineRule="auto"/>
      <w:jc w:val="both"/>
    </w:pPr>
    <w:rPr>
      <w:rFonts w:ascii="Times New Roman" w:hAnsi="Times New Roman" w:eastAsia="Times New Roman" w:cs="Times New Roman"/>
      <w:b w:val="0"/>
      <w:i w:val="0"/>
      <w:color w:val="000000"/>
      <w:sz w:val="18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220" w:line="252" w:lineRule="auto"/>
      <w:outlineLvl w:val="0"/>
    </w:pPr>
    <w:rPr>
      <w:rFonts w:asciiTheme="majorHAnsi" w:cstheme="majorBidi" w:eastAsiaTheme="majorEastAsia" w:hAnsiTheme="majorHAnsi" w:ascii="Times New Roman" w:hAnsi="Times New Roman" w:eastAsia="Times New Roman" w:cs="Times New Roman"/>
      <w:b/>
      <w:i w:val="0"/>
      <w:color w:val="000000"/>
      <w:sz w:val="2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60" w:before="180" w:line="252" w:lineRule="auto"/>
      <w:outlineLvl w:val="1"/>
    </w:pPr>
    <w:rPr>
      <w:rFonts w:asciiTheme="majorHAnsi" w:cstheme="majorBidi" w:eastAsiaTheme="majorEastAsia" w:hAnsiTheme="majorHAnsi" w:ascii="Times New Roman" w:hAnsi="Times New Roman" w:eastAsia="Times New Roman" w:cs="Times New Roman"/>
      <w:b/>
      <w:i w:val="0"/>
      <w:color w:val="000000"/>
      <w:sz w:val="2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40" w:line="252" w:lineRule="auto"/>
      <w:outlineLvl w:val="2"/>
    </w:pPr>
    <w:rPr>
      <w:rFonts w:cstheme="majorBidi" w:eastAsiaTheme="majorEastAsia" w:ascii="Times New Roman" w:hAnsi="Times New Roman" w:eastAsia="Times New Roman" w:cs="Times New Roman"/>
      <w:b/>
      <w:i w:val="0"/>
      <w:color w:val="000000"/>
      <w:sz w:val="20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20" w:before="100" w:line="252" w:lineRule="auto"/>
      <w:outlineLvl w:val="3"/>
    </w:pPr>
    <w:rPr>
      <w:rFonts w:cstheme="majorBidi" w:eastAsiaTheme="majorEastAsia" w:ascii="Times New Roman" w:hAnsi="Times New Roman" w:eastAsia="Times New Roman" w:cs="Times New Roman"/>
      <w:b/>
      <w:i w:val="0"/>
      <w:iCs/>
      <w:color w:val="000000"/>
      <w:sz w:val="19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  <w:spacing w:before="100" w:after="60" w:line="240" w:lineRule="auto"/>
      <w:jc w:val="center"/>
    </w:pPr>
    <w:rPr>
      <w:rFonts w:ascii="Times New Roman" w:hAnsi="Times New Roman" w:eastAsia="Times New Roman" w:cs="Times New Roman"/>
      <w:b w:val="0"/>
      <w:i/>
      <w:color w:val="000000"/>
      <w:sz w:val="16"/>
    </w:rPr>
  </w:style>
  <w:style w:customStyle="1" w:styleId="ImageCaption" w:type="paragraph">
    <w:name w:val="Image Caption"/>
    <w:basedOn w:val="Caption"/>
    <w:pPr>
      <w:spacing w:before="40" w:after="120" w:line="240" w:lineRule="auto"/>
      <w:jc w:val="center"/>
    </w:pPr>
    <w:rPr>
      <w:rFonts w:ascii="Times New Roman" w:hAnsi="Times New Roman" w:eastAsia="Times New Roman" w:cs="Times New Roman"/>
      <w:b w:val="0"/>
      <w:i/>
      <w:color w:val="000000"/>
      <w:sz w:val="16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pacing w:before="40" w:after="80" w:line="240" w:lineRule="auto"/>
    </w:pPr>
    <w:rPr>
      <w:rFonts w:ascii="Courier New" w:hAnsi="Courier New" w:eastAsia="Courier New" w:cs="Courier New"/>
      <w:b w:val="0"/>
      <w:i w:val="0"/>
      <w:color w:val="000000"/>
      <w:sz w:val="16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image" Target="media/rId49.png"/><Relationship Id="rId10" Type="http://schemas.openxmlformats.org/officeDocument/2006/relationships/image" Target="media/rId10.png"/><Relationship Id="rId36" Type="http://schemas.openxmlformats.org/officeDocument/2006/relationships/image" Target="media/rId36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K-Bound: When Is Label-Free Adaptation Knowable?</dc:title>
  <dc:creator>Pratik Niroula</dc:creator>
  <cp:keywords>test-time adaptation, distribution shift, K-Bound, KGA</cp:keywords>
  <dcterms:created xsi:type="dcterms:W3CDTF">2026-08-29T01:19:20Z</dcterms:created>
  <dcterms:modified xsi:type="dcterms:W3CDTF">2026-08-29T01:19:20Z</dcterms:modified>
  <dc:subject>Editable Word version of the final compact K-Bound manuscript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Test-time adaptation updates a deployed model without target labels, but an update can help or harm. K-Bound asks the decision that comes first: when does label-free evidence justify replacing a frozen model with an adapted candidate? It allows three actions—ADAPT, FREEZE, and ABSTAIN—for the benefit \Delta=R_T(f_0)-R_T(f_a). In a binary disagreement model, \Delta=2\mu_T(D)(M+\gamma) separates an observable margin M from hidden calibration drift \gamma. If the declared class satisfies |\gamma|\le\beta, a strict population action is uniformly supportable exactly when |M|&gt;\beta. Throughout the closed band |M|\le\beta, the same label-free evidence does not uniformly support either strict action. Without added labels or a stated coupling, the same label-free evidence cannot shrink the unresolved drift budget. The practical method, Knowability-Guided Adaptation (KGA), is separate: it predicts \Delta and acts only when \widehat\Delta\pm\varepsilon excludes zero. Here \varepsilon is an empirical uncertainty radius, not an estimate of \beta. On controlled CIFAR-10-C, reconciled results give point gains for Tent and EATA. Tent also has positive ordinary intervals over six corruption families, but its preregistered six-comparison Holm values are 0.09375, so we make no confirmatory win claim. On the locked CCT-20 camera-location shift, 5 checkpoints across 9 locations produced 45 cells. KGA made 44 FREEZE, 1 ABSTAIN, and 0 ADAPT decisions. It matched always freeze, and its mean accuracy was 0.18190227 higher than always adapt. It did not support the predeclared stronger claim. This is a safe-utility result, not evidence of selective natural-shift routing. K-Bound is a validity and rollback layer, not a universal accuracy booster.</vt:lpwstr>
  </property>
  <property fmtid="{D5CDD505-2E9C-101B-9397-08002B2CF9AE}" pid="3" name="date">
    <vt:lpwstr/>
  </property>
</Properties>
</file>