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3.pdf" ContentType="application/pdf"/>
  <Override PartName="/word/media/rId28.pdf" ContentType="application/pdf"/>
  <Override PartName="/word/media/rId46.pdf" ContentType="application/pdf"/>
  <Override PartName="/word/media/rId56.pdf" ContentType="application/pdf"/>
  <Override PartName="/word/media/rId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updates models without target labels, but updates can help or harm. We ask when evidence justifies replacing a frozen model with an adapted candidate. K-Bound answers this for a binary population model under an exogenous bound</w:t>
      </w:r>
      <w:r>
        <w:t xml:space="preserve"> </w:t>
      </w:r>
      <m:oMath>
        <m:r>
          <m:t>β</m:t>
        </m:r>
      </m:oMath>
      <w:r>
        <w:t xml:space="preserve"> </w:t>
      </w:r>
      <w:r>
        <w:t xml:space="preserve">on target calibration residual. Preserving label-free observations, we derive exact feasible intervals for paired population benefit: a strict choice is justified precisely when margin</w:t>
      </w:r>
      <w:r>
        <w:t xml:space="preserve"> </w:t>
      </w:r>
      <m:oMath>
        <m:r>
          <m:rPr>
            <m:sty m:val="p"/>
          </m:rPr>
          <m:t>|</m:t>
        </m:r>
        <m:r>
          <m:t>M</m:t>
        </m:r>
        <m:r>
          <m:rPr>
            <m:sty m:val="p"/>
          </m:rPr>
          <m:t>|</m:t>
        </m:r>
        <m:r>
          <m:rPr>
            <m:sty m:val="p"/>
          </m:rPr>
          <m:t>&gt;</m:t>
        </m:r>
        <m:r>
          <m:t>β</m:t>
        </m:r>
      </m:oMath>
      <w:r>
        <w:t xml:space="preserve"> </w:t>
      </w:r>
      <w:r>
        <w:t xml:space="preserve">on disagreement; inside</w:t>
      </w:r>
      <w:r>
        <w:t xml:space="preserve"> </w:t>
      </w:r>
      <m:oMath>
        <m:r>
          <m:rPr>
            <m:sty m:val="p"/>
          </m:rPr>
          <m:t>|</m:t>
        </m:r>
        <m:r>
          <m:t>M</m:t>
        </m:r>
        <m:r>
          <m:rPr>
            <m:sty m:val="p"/>
          </m:rPr>
          <m:t>|</m:t>
        </m:r>
        <m:r>
          <m:rPr>
            <m:sty m:val="p"/>
          </m:rPr>
          <m:t>≤</m:t>
        </m:r>
        <m:r>
          <m:t>β</m:t>
        </m:r>
      </m:oMath>
      <w:r>
        <w:t xml:space="preserve">, no strict choice is uniformly justified. An audit theorem proves no uniformly valid audit on the same observable law can cover a smaller bound at declared confidence. Addressing this under a complementary inductive regime, Knowability-Guided Adaptation (</w:t>
      </w:r>
      <w:r>
        <w:rPr>
          <w:smallCaps/>
        </w:rPr>
        <w:t xml:space="preserve">KGA</w:t>
      </w:r>
      <w:r>
        <w:t xml:space="preserve">) serves as an empirical companion, not an implementation of this frontier. Trained on labeled historical outcomes,</w:t>
      </w:r>
      <w:r>
        <w:t xml:space="preserve"> </w:t>
      </w:r>
      <w:r>
        <w:rPr>
          <w:smallCaps/>
        </w:rPr>
        <w:t xml:space="preserve">KGA</w:t>
      </w:r>
      <w:r>
        <w:t xml:space="preserve"> </w:t>
      </w:r>
      <w:r>
        <w:t xml:space="preserve">predicts observed evaluation-cell benefit, selecting ADAPT, FREEZE, or ABSTAIN via residual intervals. On cross-fitted CIFAR-10-C, Tent and EATA achieve lower regret than fixed baselines, while SAR favors always-adapt. Across three independently trained ResNet-18 checkpoints, outcome-disjoint KGA achieved lower point regret than both fixed policies, with zero observed false ADAPT decisions on the evaluated mixed-sign panels. On camera traps (CCT-20),</w:t>
      </w:r>
      <w:r>
        <w:t xml:space="preserve"> </w:t>
      </w:r>
      <w:r>
        <w:rPr>
          <w:smallCaps/>
        </w:rPr>
        <w:t xml:space="preserve">KGA</w:t>
      </w:r>
      <w:r>
        <w:t xml:space="preserve"> </w:t>
      </w:r>
      <w:r>
        <w:t xml:space="preserve">retained the frozen model across all 45 cells, avoiding adaptation degradation with no ADAPT decisions. These empirical diagnostics do not establish interval coverage or population-risk protection on unseen natural shifts.</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Test-time adaptation changes a model using unlabeled deployment data. Entropy minimization,</w:t>
      </w:r>
      <w:r>
        <w:t xml:space="preserve"> </w:t>
      </w:r>
      <w:r>
        <w:t xml:space="preserve">filtering, regularization, and related methods can recover accuracy under shift, but the same update</w:t>
      </w:r>
      <w:r>
        <w:t xml:space="preserve"> </w:t>
      </w:r>
      <w:r>
        <w:t xml:space="preserve">can also make predictions worse [1, 4–6].</w:t>
      </w:r>
      <w:r>
        <w:t xml:space="preserve"> </w:t>
      </w:r>
      <w:r>
        <w:t xml:space="preserve">An adaptation method proposes a candidate; a deployment system must still decide whether to use it.</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nor/>
              <m:sty m:val="p"/>
            </m:rPr>
            <m:t>(1)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K-Bound and Knowability-Guided Adaptation (</w:t>
      </w:r>
      <w:r>
        <w:rPr>
          <w:smallCaps/>
        </w:rPr>
        <w:t xml:space="preserve">KGA</w:t>
      </w:r>
      <w:r>
        <w:t xml:space="preserve">) address the same update decision using different information. K-Bound characterizes which strict benefit signs are supported by fixed label-free evidence and a declared residual bound in a binary model.</w:t>
      </w:r>
      <w:r>
        <w:t xml:space="preserve"> </w:t>
      </w:r>
      <w:r>
        <w:rPr>
          <w:smallCaps/>
        </w:rPr>
        <w:t xml:space="preserve">KGA</w:t>
      </w:r>
      <w:r>
        <w:t xml:space="preserve"> </w:t>
      </w:r>
      <w:r>
        <w:t xml:space="preserve">uses labeled historical shift outcomes to fit and calibrate an empirical benefit gate. It is an empirical companion, not an implementation of the population frontier. Section 6.1 explains the relationship and the additional assumptions needed to connect evaluation-cell benefit to population benefit.</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controlled CIFAR-10-C results show useful routing for some candidates, not a universal</w:t>
      </w:r>
      <w:r>
        <w:t xml:space="preserve"> </w:t>
      </w:r>
      <w:r>
        <w:t xml:space="preserve">improvement: Tent and EATA have lower point regret than either fixed policy, whereas SAR favors</w:t>
      </w:r>
      <w:r>
        <w:t xml:space="preserve"> </w:t>
      </w:r>
      <w:r>
        <w:t xml:space="preserve">always-adapt due to high baseline benefit under noise corruptions. On real-camera natural shift</w:t>
      </w:r>
      <w:r>
        <w:t xml:space="preserve"> </w:t>
      </w:r>
      <w:r>
        <w:t xml:space="preserve">(CCT-20), KGA served the frozen model across all 45 cells and avoided the measured loss of</w:t>
      </w:r>
      <w:r>
        <w:t xml:space="preserve"> </w:t>
      </w:r>
      <w:r>
        <w:t xml:space="preserve">always adapting, but selected ADAPT zero times. This demonstrates retention in that study,</w:t>
      </w:r>
      <w:r>
        <w:t xml:space="preserve"> </w:t>
      </w:r>
      <w:r>
        <w:t xml:space="preserve">not general harm avoidance or successful selection of beneficial updates on unseen environments,</w:t>
      </w:r>
      <w:r>
        <w:t xml:space="preserve"> </w:t>
      </w:r>
      <w:r>
        <w:t xml:space="preserve">confirming that selective opportunistic routing under unseen natural shifts remains an open</w:t>
      </w:r>
      <w:r>
        <w:t xml:space="preserve"> </w:t>
      </w:r>
      <w:r>
        <w:t xml:space="preserve">empirical challenge. The supplementary results</w:t>
      </w:r>
      <w:r>
        <w:t xml:space="preserve"> </w:t>
      </w:r>
      <w:r>
        <w:t xml:space="preserve">retain adverse, incomplete, and withheld studies, so this distinction does not depend on discarding</w:t>
      </w:r>
      <w:r>
        <w:t xml:space="preserve"> </w:t>
      </w:r>
      <w:r>
        <w:t xml:space="preserve">unfavorable evidence.</w:t>
      </w:r>
    </w:p>
    <w:p>
      <w:pPr>
        <w:pStyle w:val="CaptionedFigure"/>
        <w:widowControl/>
        <w:jc w:val="center"/>
      </w:pPr>
      <w:r>
        <w:drawing>
          <wp:inline>
            <wp:extent cx="4267200" cy="1583266"/>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figures/fig_decision_flow.pdf" id="11" name="Picture"/>
                    <pic:cNvPicPr>
                      <a:picLocks noChangeArrowheads="1" noChangeAspect="1"/>
                    </pic:cNvPicPr>
                  </pic:nvPicPr>
                  <pic:blipFill>
                    <a:blip r:embed="rId9"/>
                    <a:stretch>
                      <a:fillRect/>
                    </a:stretch>
                  </pic:blipFill>
                  <pic:spPr bwMode="auto">
                    <a:xfrm>
                      <a:off x="0" y="0"/>
                      <a:ext cx="4267200" cy="1583266"/>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Historical TTA/ALine, AETTA, and POEM port labels in earlier diagnostics do not establish faithful</w:t>
      </w:r>
      <w:r>
        <w:t xml:space="preserve"> </w:t>
      </w:r>
      <w:r>
        <w:t xml:space="preserve">implementations of the published estimators or controllers. An authenticated synchronized comparison against the authenticated native AETTA accuracy estimator with an explicitly specified recovery rule is reported in Appendix B.3.4, while full POEM and native TTA/ALine remain separate from this saved-feature diagnostic.</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an authenticated synchronized AETTA comparison is reported in Appendix B.3.4,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n authenticated synchronized AETTA comparison is reported in Appendix B.3.4,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t>f</m:t>
                  </m:r>
                </m:e>
                <m:sub>
                  <m:r>
                    <m:t>0</m:t>
                  </m:r>
                </m:sub>
              </m:sSub>
              <m:r>
                <m:rPr>
                  <m:sty m:val="p"/>
                </m:rPr>
                <m:t>,</m:t>
              </m:r>
              <m:sSub>
                <m:e>
                  <m:r>
                    <m:t>f</m:t>
                  </m:r>
                </m:e>
                <m:sub>
                  <m: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D</m:t>
              </m:r>
              <m:r>
                <m:rPr>
                  <m:sty m:val="p"/>
                </m:rPr>
                <m:t>,</m:t>
              </m:r>
              <m:r>
                <m:t> </m:t>
              </m:r>
              <m:sSub>
                <m:e>
                  <m:r>
                    <m:t>μ</m:t>
                  </m:r>
                </m:e>
                <m:sub>
                  <m:r>
                    <m:t>T</m:t>
                  </m:r>
                </m:sub>
              </m:sSub>
              <m:r>
                <m:rPr>
                  <m:sty m:val="p"/>
                </m:rPr>
                <m:t>(</m:t>
              </m:r>
              <m:r>
                <m:t>D</m:t>
              </m:r>
              <m:r>
                <m:rPr>
                  <m:sty m:val="p"/>
                </m: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γ</m:t>
              </m:r>
              <m:r>
                <m:rPr>
                  <m:sty m:val="p"/>
                </m:rPr>
                <m:t>,</m:t>
              </m:r>
              <m:r>
                <m:t> </m:t>
              </m:r>
              <m: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r>
                <m:rPr>
                  <m:sty m:val="p"/>
                </m:rPr>
                <m:t>,</m:t>
              </m:r>
              <m:r>
                <m:t> </m:t>
              </m:r>
              <m: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t> </m:t>
          </m:r>
          <m:r>
            <m:rPr>
              <m:nor/>
              <m:sty m:val="p"/>
            </m:rPr>
            <m:t>(2)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t> </m:t>
          </m:r>
          <m:r>
            <m:rPr>
              <m:nor/>
              <m:sty m:val="p"/>
            </m:rPr>
            <m:t>(3)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 </m:t>
          </m:r>
          <m:r>
            <m:rPr>
              <m:nor/>
              <m:sty m:val="p"/>
            </m:rPr>
            <m:t>(4)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w:t>
      </w:r>
      <w:r>
        <w:t xml:space="preserve"> </w:t>
      </w:r>
      <w:r>
        <w:rPr>
          <w:smallCaps/>
        </w:rPr>
        <w:t xml:space="preserve">KGA</w:t>
      </w:r>
      <w:r>
        <w:t xml:space="preserve"> </w:t>
      </w:r>
      <w:r>
        <w:t xml:space="preserve">separately evaluates an empirical scalar-benefit gate, including on multiclass benchmarks.</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t> </m:t>
          </m:r>
          <m:r>
            <m:rPr>
              <m:nor/>
              <m:sty m:val="p"/>
            </m:rPr>
            <m:t>(5)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2298700" cy="889000"/>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figures/fig_frontier_schematic.pdf" id="30" name="Picture"/>
                    <pic:cNvPicPr>
                      <a:picLocks noChangeArrowheads="1" noChangeAspect="1"/>
                    </pic:cNvPicPr>
                  </pic:nvPicPr>
                  <pic:blipFill>
                    <a:blip r:embed="rId28"/>
                    <a:stretch>
                      <a:fillRect/>
                    </a:stretch>
                  </pic:blipFill>
                  <pic:spPr bwMode="auto">
                    <a:xfrm>
                      <a:off x="0" y="0"/>
                      <a:ext cx="2298700" cy="889000"/>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&gt;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&lt;</m:t>
              </m:r>
              <m:r>
                <m:rPr>
                  <m:sty m:val="p"/>
                </m:rPr>
                <m: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&lt;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m:t>
              </m:r>
              <m:r>
                <m:t>β</m:t>
              </m:r>
              <m:r>
                <m:rPr>
                  <m:sty m:val="p"/>
                </m:rPr>
                <m:t>&gt;</m:t>
              </m:r>
              <m: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m:t>M</m:t>
              </m:r>
              <m:r>
                <m:rPr>
                  <m:sty m:val="p"/>
                </m:rPr>
                <m:t>=</m:t>
              </m:r>
              <m:r>
                <m:t>β</m:t>
              </m:r>
              <m:r>
                <m:rPr>
                  <m:sty m:val="p"/>
                </m:rPr>
                <m:t>=</m:t>
              </m:r>
              <m: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t> </m:t>
          </m:r>
          <m:r>
            <m:rPr>
              <m:nor/>
              <m:sty m:val="p"/>
            </m:rPr>
            <m:t>(6)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t> </m:t>
          </m:r>
          <m:r>
            <m:rPr>
              <m:nor/>
              <m:sty m:val="p"/>
            </m:rPr>
            <m:t>(7)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Theorem 3 shows why label-free deployment observations cannot audit</w:t>
      </w:r>
      <w:r>
        <w:t xml:space="preserve"> </w:t>
      </w:r>
      <w:r>
        <w:t xml:space="preserve">their own calibration residual bound without additional structure. An empirical decision layer must</w:t>
      </w:r>
      <w:r>
        <w:t xml:space="preserve"> </w:t>
      </w:r>
      <w:r>
        <w:t xml:space="preserve">therefore draw upon external information or domain assumptions, such as the routes cataloged in</w:t>
      </w:r>
      <w:r>
        <w:t xml:space="preserve"> </w:t>
      </w:r>
      <w:r>
        <w:t xml:space="preserve">Section 5.5. KGA explores the historical-shift-record route,</w:t>
      </w:r>
      <w:r>
        <w:t xml:space="preserve"> </w:t>
      </w:r>
      <w:r>
        <w:t xml:space="preserve">using labeled prior shifts to fit and calibrate an empirical benefit gate.</w:t>
      </w:r>
      <w:r>
        <w:t xml:space="preserve"> </w:t>
      </w:r>
      <w:r>
        <w:t xml:space="preserve">A population application would instead require coverage of the target population through a separate</w:t>
      </w:r>
      <w:r>
        <w:t xml:space="preserve"> </w:t>
      </w:r>
      <w:r>
        <w:t xml:space="preserve">sampling-error bound; no such sampling-error bound is established for the reported panels.</w:t>
      </w:r>
      <w:r>
        <w:t xml:space="preserve"> </w:t>
      </w:r>
      <w:r>
        <w:t xml:space="preserve">Section 6.1 details this architecture, its validity conditions, and the</w:t>
      </w:r>
      <w:r>
        <w:t xml:space="preserve"> </w:t>
      </w:r>
      <w:r>
        <w:t xml:space="preserve">distinction between evaluation-cell predictions and population guarantees.</w:t>
      </w:r>
    </w:p>
    <w:bookmarkEnd w:id="39"/>
    <w:bookmarkEnd w:id="40"/>
    <w:bookmarkStart w:id="51" w:name="kga-an-empirical-benefit-interval-gate"/>
    <w:p>
      <w:pPr>
        <w:pStyle w:val="Heading1"/>
        <w:widowControl/>
      </w:pPr>
      <w:r>
        <w:t xml:space="preserve">6 KGA: An Empirical Benefit-Interval Gate</w:t>
      </w:r>
    </w:p>
    <w:bookmarkStart w:id="41" w:name="Xc918eb2806ca04aff218791c39a311cefa1f795"/>
    <w:p>
      <w:pPr>
        <w:pStyle w:val="Heading2"/>
        <w:widowControl/>
      </w:pPr>
      <w:r>
        <w:t xml:space="preserve">6.1 The Two-Regime Architecture: Theory and Practice</w:t>
      </w:r>
    </w:p>
    <w:p>
      <w:pPr>
        <w:pStyle w:val="FirstParagraph"/>
        <w:widowControl/>
      </w:pPr>
      <w:r>
        <w:t xml:space="preserve">Theorem 3 limits what the specified label-free evidence can establish: it cannot uniformly justify a residual bound smaller than the unresolved radius of its evidence fibre. This does not preclude useful guarantees under externally supplied budgets or additional structural assumptions. Proposition 5 gives a direct finite-sample rule under a credible declared budget (Appendix A.6).</w:t>
      </w:r>
      <w:r>
        <w:t xml:space="preserve"> </w:t>
      </w:r>
      <w:r>
        <w:rPr>
          <w:smallCaps/>
        </w:rPr>
        <w:t xml:space="preserve">KGA</w:t>
      </w:r>
      <w:r>
        <w:t xml:space="preserve"> </w:t>
      </w:r>
      <w:r>
        <w:t xml:space="preserve">explores a different route, using historical labeled shift outcomes to predict and calibrate evaluation-cell benefit. Its validity depends on its stated calibration assumptions, rather than on an ability to estimate</w:t>
      </w:r>
      <w:r>
        <w:t xml:space="preserve"> </w:t>
      </w:r>
      <m:oMath>
        <m:r>
          <m:t>β</m:t>
        </m:r>
      </m:oMath>
      <w:r>
        <w:t xml:space="preserve"> </w:t>
      </w:r>
      <w:r>
        <w:t xml:space="preserve">from deployment observations alone.</w:t>
      </w:r>
    </w:p>
    <w:p>
      <w:pPr>
        <w:pStyle w:val="BodyText"/>
        <w:widowControl/>
      </w:pPr>
      <w:r>
        <w:rPr>
          <w:smallCaps/>
        </w:rPr>
        <w:t xml:space="preserve">KGA</w:t>
      </w:r>
      <w:r>
        <w:t xml:space="preserve"> </w:t>
      </w:r>
      <w:r>
        <w:t xml:space="preserve">does not attempt to implement the theoretical</w:t>
      </w:r>
      <w:r>
        <w:t xml:space="preserve"> </w:t>
      </w:r>
      <m:oMath>
        <m:r>
          <m:t>β</m:t>
        </m:r>
      </m:oMath>
      <w:r>
        <w:t xml:space="preserve">-frontier without historical data; rather, it provides an empirical alternative once historical shift benchmarks are admitted into the evidentiary basis.</w:t>
      </w:r>
      <w:r>
        <w:t xml:space="preserve"> </w:t>
      </w: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t> </m:t>
          </m:r>
          <m:r>
            <m:rPr>
              <m:nor/>
              <m:sty m:val="p"/>
            </m:rPr>
            <m:t>(8)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t> </m:t>
          </m:r>
          <m:r>
            <m:rPr>
              <m:nor/>
              <m:sty m:val="p"/>
            </m:rPr>
            <m:t>(9)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m:t>M</m:t>
              </m:r>
              <m:r>
                <m:rPr>
                  <m:sty m:val="p"/>
                </m:rPr>
                <m:t>+</m:t>
              </m:r>
              <m:r>
                <m:t>γ</m:t>
              </m:r>
              <m:r>
                <m:rPr>
                  <m:sty m:val="p"/>
                </m:rPr>
                <m:t>=</m:t>
              </m:r>
              <m:bar>
                <m:barPr>
                  <m:pos m:val="top"/>
                </m:barPr>
                <m:e>
                  <m:r>
                    <m:t>a</m:t>
                  </m:r>
                </m:e>
              </m:bar>
              <m:r>
                <m:rPr>
                  <m:sty m:val="p"/>
                </m:rPr>
                <m:t>−</m:t>
              </m:r>
              <m:f>
                <m:fPr>
                  <m:type m:val="bar"/>
                </m:fPr>
                <m:num>
                  <m:r>
                    <m:t>1</m:t>
                  </m:r>
                </m:num>
                <m:den>
                  <m: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m:t>h</m:t>
                  </m:r>
                </m:e>
                <m:sub>
                  <m:r>
                    <m:t>θ</m:t>
                  </m:r>
                </m:sub>
              </m:sSub>
              <m:r>
                <m:rPr>
                  <m:sty m:val="p"/>
                </m:rPr>
                <m:t>(</m:t>
              </m:r>
              <m:r>
                <m:t>Z</m:t>
              </m:r>
              <m:r>
                <m:rPr>
                  <m:sty m:val="p"/>
                </m: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m:t>Δ</m:t>
                  </m:r>
                </m:e>
                <m:sup>
                  <m:r>
                    <m:rPr>
                      <m:sty m:val="p"/>
                    </m:rPr>
                    <m:t>c</m:t>
                  </m:r>
                  <m:r>
                    <m:rPr>
                      <m:sty m:val="p"/>
                    </m:rPr>
                    <m:t>e</m:t>
                  </m:r>
                  <m:r>
                    <m:rPr>
                      <m:sty m:val="p"/>
                    </m:rPr>
                    <m:t>l</m:t>
                  </m:r>
                  <m:r>
                    <m:rPr>
                      <m:sty m:val="p"/>
                    </m: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Connecting the two formulations proceeds not through an automatic deductive chain, but through an explicit conditional concentration bridge:</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K-Bound and KGA address the same paired deployment decision at different inferential levels. K-Bound characterizes population benefit</w:t>
      </w:r>
      <w:r>
        <w:t xml:space="preserve"> </w:t>
      </w:r>
      <m:oMath>
        <m:r>
          <m:rPr>
            <m:sty m:val="p"/>
          </m:rPr>
          <m:t>Δ</m:t>
        </m:r>
      </m:oMath>
      <w:r>
        <w:t xml:space="preserve"> </w:t>
      </w:r>
      <w:r>
        <w:t xml:space="preserve">over a declared class of target laws</w:t>
      </w:r>
      <w:r>
        <w:t xml:space="preserve"> </w:t>
      </w:r>
      <m:oMath>
        <m:sSub>
          <m:e>
            <m:r>
              <m:rPr>
                <m:scr m:val="script"/>
                <m:sty m:val="p"/>
              </m:rPr>
              <m:t>C</m:t>
            </m:r>
          </m:e>
          <m:sub>
            <m:r>
              <m:t>β</m:t>
            </m:r>
          </m:sub>
        </m:sSub>
      </m:oMath>
      <w:r>
        <w:t xml:space="preserve">.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instead, it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from historical labeled outcomes and uses a separately calibrated residual interval</w:t>
      </w:r>
      <w:r>
        <w:t xml:space="preserve"> </w:t>
      </w:r>
      <m:oMath>
        <m:r>
          <m:rPr>
            <m:sty m:val="p"/>
          </m:rPr>
          <m:t>[</m:t>
        </m:r>
        <m:acc>
          <m:accPr>
            <m:chr m:val="̂"/>
          </m:accPr>
          <m:e>
            <m:r>
              <m:rPr>
                <m:sty m:val="p"/>
              </m:rPr>
              <m:t>Δ</m:t>
            </m:r>
          </m:e>
        </m:acc>
        <m:r>
          <m:rPr>
            <m:sty m:val="p"/>
          </m:rPr>
          <m:t>±</m:t>
        </m:r>
        <m:r>
          <m:t>ε</m:t>
        </m:r>
        <m:r>
          <m:rPr>
            <m:sty m:val="p"/>
          </m:rPr>
          <m:t>]</m:t>
        </m:r>
      </m:oMath>
      <w:r>
        <w:t xml:space="preserve">. Transferring that interval to population benefit requires the additional sampling assumptions and radius in Proposition 3 (Theorem 4 in Appendix A.4); it is not established by the empirical gate alone. Table 4 makes this correspondence explicit.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t> </m:t>
          </m:r>
          <m:r>
            <m:rPr>
              <m:nor/>
              <m:sty m:val="p"/>
            </m:rPr>
            <m:t>(10)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5"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oMath>
      <w:r>
        <w:t xml:space="preserve"> </w:t>
      </w:r>
      <w:r>
        <w:t xml:space="preserve">and</w:t>
      </w:r>
      <w:r>
        <w:t xml:space="preserve"> </w:t>
      </w:r>
      <m:oMath>
        <m:r>
          <m:t>β</m:t>
        </m:r>
      </m:oMath>
      <w:r>
        <w:t xml:space="preserve"> </w:t>
      </w:r>
      <w:r>
        <w:t xml:space="preserve">conflates two distinct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t>
      </w:r>
      <w:r>
        <w:t xml:space="preserve">(a deductive assumption), whereas</w:t>
      </w:r>
      <w:r>
        <w:t xml:space="preserve"> </w:t>
      </w:r>
      <m:oMath>
        <m:r>
          <m:t>ε</m:t>
        </m:r>
      </m:oMath>
      <w:r>
        <w:t xml:space="preserve"> </w:t>
      </w:r>
      <w:r>
        <w:t xml:space="preserve">measures empirical prediction error (an inductive, data-driven quantity). While numerical equality could occur by coincidence, their mathematical definitions and epistemological roles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deterministic action layer for this bridge is verified within our formal mathematics suite: an outcome-blind estimate, cell radius, and independently justified sampling radius define the compound interval, and strict ADAPT/FREEZE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42" w:name="formal-theoremcode-correspondence."/>
    <w:p>
      <w:pPr>
        <w:pStyle w:val="Heading3"/>
        <w:keepNext/>
        <w:widowControl/>
        <w:spacing w:before="100" w:after="20" w:line="252" w:lineRule="auto"/>
      </w:pPr>
      <w:r>
        <w:rPr>
          <w:rFonts w:ascii="Times New Roman" w:hAnsi="Times New Roman" w:eastAsia="Times New Roman" w:cs="Times New Roman"/>
          <w:b/>
          <w:sz w:val="19"/>
        </w:rPr>
        <w:t xml:space="preserve">Formal Theorem–Code Correspondence.</w:t>
      </w:r>
    </w:p>
    <w:p>
      <w:pPr>
        <w:pStyle w:val="FirstParagraph"/>
        <w:widowControl/>
      </w:pPr>
      <w:r>
        <w:t xml:space="preserve">Our formalization strictly distinguishes population-level guarantees from empirical cell-level estimates. In particular, we formally prove that a label-free one-bit decoder exists if and only if the label is constant on each observable evidence fibre. The stronger claim that one representative per swap orbit suffices is refuted by an explicit machine-checked counterexample. Furthermore, rate transfer holds only under an explicit episode-level contract (</w:t>
      </w:r>
      <m:oMath>
        <m:sSub>
          <m:e>
            <m:r>
              <m:rPr>
                <m:sty m:val="p"/>
              </m:rPr>
              <m:t>m</m:t>
            </m:r>
            <m:r>
              <m:rPr>
                <m:sty m:val="p"/>
              </m:rPr>
              <m:t>i</m:t>
            </m:r>
            <m:r>
              <m:rPr>
                <m:sty m:val="p"/>
              </m:rPr>
              <m:t>s</m:t>
            </m:r>
            <m:r>
              <m:rPr>
                <m:sty m:val="p"/>
              </m:rPr>
              <m:t>s</m:t>
            </m:r>
          </m:e>
          <m:sub>
            <m:r>
              <m:t>T</m:t>
            </m:r>
          </m:sub>
        </m:sSub>
        <m:r>
          <m:rPr>
            <m:sty m:val="p"/>
          </m:rPr>
          <m:t>≤</m:t>
        </m:r>
        <m:r>
          <m:t>H</m:t>
        </m:r>
        <m:r>
          <m:t> </m:t>
        </m:r>
        <m:sSub>
          <m:e>
            <m:r>
              <m:rPr>
                <m:sty m:val="p"/>
              </m:rPr>
              <m:t>m</m:t>
            </m:r>
            <m:r>
              <m:rPr>
                <m:sty m:val="p"/>
              </m:rPr>
              <m:t>i</m:t>
            </m:r>
            <m:r>
              <m:rPr>
                <m:sty m:val="p"/>
              </m:rPr>
              <m:t>s</m:t>
            </m:r>
            <m:r>
              <m:rPr>
                <m:sty m:val="p"/>
              </m:rPr>
              <m:t>s</m:t>
            </m:r>
          </m:e>
          <m:sub>
            <m:r>
              <m:t>S</m:t>
            </m:r>
          </m:sub>
        </m:sSub>
      </m:oMath>
      <w:r>
        <w:t xml:space="preserve">,</w:t>
      </w:r>
      <w:r>
        <w:t xml:space="preserve"> </w:t>
      </w:r>
      <m:oMath>
        <m:r>
          <m:t>H</m:t>
        </m:r>
        <m:r>
          <m:rPr>
            <m:sty m:val="p"/>
          </m:rPr>
          <m:t>≥</m:t>
        </m:r>
        <m:r>
          <m:t>0</m:t>
        </m:r>
      </m:oMath>
      <w:r>
        <w:t xml:space="preserve">, and</w:t>
      </w:r>
      <w:r>
        <w:t xml:space="preserve"> </w:t>
      </w:r>
      <m:oMath>
        <m:sSub>
          <m:e>
            <m:r>
              <m:rPr>
                <m:sty m:val="p"/>
              </m:rPr>
              <m:t>m</m:t>
            </m:r>
            <m:r>
              <m:rPr>
                <m:sty m:val="p"/>
              </m:rPr>
              <m:t>i</m:t>
            </m:r>
            <m:r>
              <m:rPr>
                <m:sty m:val="p"/>
              </m:rPr>
              <m:t>s</m:t>
            </m:r>
            <m:r>
              <m:rPr>
                <m:sty m:val="p"/>
              </m:rPr>
              <m:t>s</m:t>
            </m:r>
          </m:e>
          <m:sub>
            <m:r>
              <m:t>S</m:t>
            </m:r>
          </m:sub>
        </m:sSub>
        <m:r>
          <m:rPr>
            <m:sty m:val="p"/>
          </m:rPr>
          <m:t>≤</m:t>
        </m:r>
        <m:r>
          <m:t>α</m:t>
        </m:r>
      </m:oMath>
      <w:r>
        <w:t xml:space="preserve">); it does not estimate</w:t>
      </w:r>
      <w:r>
        <w:t xml:space="preserve"> </w:t>
      </w:r>
      <m:oMath>
        <m:r>
          <m:t>H</m:t>
        </m:r>
      </m:oMath>
      <w:r>
        <w:t xml:space="preserve">, prove benchmark exchangeability, or establish prospective population provenance.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42"/>
    <w:bookmarkStart w:id="43"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m:t>Δ</m:t>
            </m:r>
          </m:e>
        </m:acc>
        <m:r>
          <m:rPr>
            <m:sty m:val="p"/>
          </m:rPr>
          <m:t>±</m:t>
        </m:r>
        <m:r>
          <m:t>ε</m:t>
        </m:r>
      </m:oMath>
      <w:r>
        <w:t xml:space="preserve">) vs. compound population interval (</w:t>
      </w:r>
      <m:oMath>
        <m:acc>
          <m:accPr>
            <m:chr m:val="̂"/>
          </m:accPr>
          <m:e>
            <m:r>
              <m:rPr>
                <m:sty m:val="p"/>
              </m:rPr>
              <m:t>Δ</m:t>
            </m:r>
          </m:e>
        </m:acc>
        <m:r>
          <m:rPr>
            <m:sty m:val="p"/>
          </m:rPr>
          <m:t>±</m:t>
        </m:r>
        <m:r>
          <m:rPr>
            <m:sty m:val="p"/>
          </m:rPr>
          <m:t>(</m:t>
        </m:r>
        <m:r>
          <m:t>ε</m:t>
        </m:r>
        <m:r>
          <m:rPr>
            <m:sty m:val="p"/>
          </m:rPr>
          <m:t>+</m:t>
        </m:r>
        <m:r>
          <m:t>b</m:t>
        </m:r>
        <m:r>
          <m:rPr>
            <m:sty m:val="p"/>
          </m:rPr>
          <m:t>)</m:t>
        </m:r>
      </m:oMath>
      <w:r>
        <w:t xml:space="preserve">) under 5-fold cross-fitting (</w:t>
      </w:r>
      <m:oMath>
        <m:sSub>
          <m:e>
            <m:r>
              <m:t>α</m:t>
            </m:r>
          </m:e>
          <m:sub>
            <m:r>
              <m:rPr>
                <m:sty m:val="p"/>
              </m:rPr>
              <m:t>c</m:t>
            </m:r>
            <m:r>
              <m:rPr>
                <m:sty m:val="p"/>
              </m:rPr>
              <m:t>e</m:t>
            </m:r>
            <m:r>
              <m:rPr>
                <m:sty m:val="p"/>
              </m:rPr>
              <m:t>l</m:t>
            </m:r>
            <m:r>
              <m:rPr>
                <m:sty m:val="p"/>
              </m:rPr>
              <m:t>l</m:t>
            </m:r>
          </m:sub>
        </m:sSub>
        <m:r>
          <m:rPr>
            <m:sty m:val="p"/>
          </m:rPr>
          <m:t>=</m:t>
        </m:r>
        <m:r>
          <m:t>δ</m:t>
        </m:r>
        <m:r>
          <m:rPr>
            <m:sty m:val="p"/>
          </m:rPr>
          <m:t>=</m:t>
        </m:r>
        <m:r>
          <m:t>0.05</m:t>
        </m:r>
        <m:r>
          <m:rPr>
            <m:sty m:val="p"/>
          </m:rPr>
          <m:t>,</m:t>
        </m:r>
        <m:sSub>
          <m:e>
            <m:r>
              <m:t>α</m:t>
            </m:r>
          </m:e>
          <m:sub>
            <m:r>
              <m:rPr>
                <m:sty m:val="p"/>
              </m:rPr>
              <m:t>p</m:t>
            </m:r>
            <m:r>
              <m:rPr>
                <m:sty m:val="p"/>
              </m:rPr>
              <m:t>o</m:t>
            </m:r>
            <m:r>
              <m:rPr>
                <m:sty m:val="p"/>
              </m:rPr>
              <m:t>p</m:t>
            </m:r>
          </m:sub>
        </m:sSub>
        <m:r>
          <m:rPr>
            <m:sty m:val="p"/>
          </m:rPr>
          <m:t>=</m:t>
        </m:r>
        <m:r>
          <m:t>0.10</m:t>
        </m:r>
        <m:r>
          <m:rPr>
            <m:sty m:val="p"/>
          </m:rPr>
          <m:t>,</m:t>
        </m:r>
        <m:r>
          <m:t>m</m:t>
        </m:r>
        <m:r>
          <m:rPr>
            <m:sty m:val="p"/>
          </m:rPr>
          <m:t>=</m:t>
        </m:r>
        <m:r>
          <m:t>2</m:t>
        </m:r>
        <m:r>
          <m:rPr>
            <m:sty m:val="p"/>
          </m:rPr>
          <m:t>,</m:t>
        </m:r>
        <m:r>
          <m:t>000</m:t>
        </m:r>
        <m:r>
          <m:rPr>
            <m:sty m:val="p"/>
          </m:rPr>
          <m:t>,</m:t>
        </m:r>
        <m:r>
          <m:t>b</m:t>
        </m:r>
        <m:r>
          <m:rPr>
            <m:sty m:val="p"/>
          </m:rPr>
          <m:t>=</m:t>
        </m:r>
        <m: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3"/>
    <w:bookmarkStart w:id="44"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directional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zero observed wrong-direction error across these simulated trials (</w:t>
      </w:r>
      <m:oMath>
        <m:r>
          <m:t>0.000</m:t>
        </m:r>
        <m:r>
          <m:rPr>
            <m:sty m:val="p"/>
          </m:rPr>
          <m:t>≤</m:t>
        </m:r>
        <m:sSub>
          <m:e>
            <m:r>
              <m:t>α</m:t>
            </m:r>
          </m:e>
          <m:sub>
            <m:r>
              <m:rPr>
                <m:sty m:val="p"/>
              </m:rPr>
              <m:t>p</m:t>
            </m:r>
            <m:r>
              <m:rPr>
                <m:sty m:val="p"/>
              </m:rPr>
              <m:t>o</m:t>
            </m:r>
            <m:r>
              <m:rPr>
                <m:sty m:val="p"/>
              </m:rPr>
              <m:t>p</m:t>
            </m:r>
          </m:sub>
        </m:sSub>
        <m:r>
          <m:rPr>
            <m:sty m:val="p"/>
          </m:rPr>
          <m:t>=</m:t>
        </m:r>
        <m:r>
          <m:t>0.10</m:t>
        </m:r>
      </m:oMath>
      <w:r>
        <w:t xml:space="preserve">; the population-interval theorem bounds the population miss probability; this simulation reports zero empirically observed misses on this constructed diagnostic),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4"/>
    <w:bookmarkEnd w:id="45"/>
    <w:bookmarkStart w:id="50"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t xml:space="preserve">Protocol B is the current outcome-disjoint three-way fit/calibrate/score construction. Protocol A is the historical leave-one-cell-out replay.</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rPr>
          <w:i/>
          <w:iCs/>
        </w:rPr>
        <w:t xml:space="preserve">Protocol B: 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9"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(11)</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18266"/>
            <wp:effectExtent b="0" l="0" r="0" t="0"/>
            <wp:docPr descr="KGA interval decisions for measured cell benefit; empirical residual coverage is not population-risk coverage." title="KGA interval decisions for measured cell benefit; empirical residual coverage is not population-risk coverage" id="47" name="Picture"/>
            <a:graphic>
              <a:graphicData uri="http://schemas.openxmlformats.org/drawingml/2006/picture">
                <pic:pic>
                  <pic:nvPicPr>
                    <pic:cNvPr descr="figures/fig_certificate.pdf" id="48" name="Picture"/>
                    <pic:cNvPicPr>
                      <a:picLocks noChangeArrowheads="1" noChangeAspect="1"/>
                    </pic:cNvPicPr>
                  </pic:nvPicPr>
                  <pic:blipFill>
                    <a:blip r:embed="rId46"/>
                    <a:stretch>
                      <a:fillRect/>
                    </a:stretch>
                  </pic:blipFill>
                  <pic:spPr bwMode="auto">
                    <a:xfrm>
                      <a:off x="0" y="0"/>
                      <a:ext cx="4267200" cy="2218266"/>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A component runtime profile evaluating feature extraction (</w:t>
      </w:r>
      <m:oMath>
        <m:r>
          <m:t>0.48</m:t>
        </m:r>
        <m:r>
          <m:t> </m:t>
        </m:r>
        <m:r>
          <m:rPr>
            <m:nor/>
            <m:sty m:val="p"/>
          </m:rPr>
          <m:t>ms</m:t>
        </m:r>
      </m:oMath>
      <w:r>
        <w:t xml:space="preserve">,</w:t>
      </w:r>
      <w:r>
        <w:t xml:space="preserve"> </w:t>
      </w:r>
      <m:oMath>
        <m:r>
          <m:t>3.9</m:t>
        </m:r>
        <m:r>
          <m:rPr>
            <m:sty m:val="p"/>
          </m:rPr>
          <m:t>%</m:t>
        </m:r>
      </m:oMath>
      <w:r>
        <w:t xml:space="preserve">), certificate evaluation (</w:t>
      </w:r>
      <m:oMath>
        <m:r>
          <m:t>0.14</m:t>
        </m:r>
        <m:r>
          <m:t> </m:t>
        </m:r>
        <m:r>
          <m:rPr>
            <m:nor/>
            <m:sty m:val="p"/>
          </m:rPr>
          <m:t>ms</m:t>
        </m:r>
      </m:oMath>
      <w:r>
        <w:t xml:space="preserve">,</w:t>
      </w:r>
      <w:r>
        <w:t xml:space="preserve"> </w:t>
      </w:r>
      <m:oMath>
        <m:r>
          <m:t>1.1</m:t>
        </m:r>
        <m:r>
          <m:rPr>
            <m:sty m:val="p"/>
          </m:rPr>
          <m:t>%</m:t>
        </m:r>
      </m:oMath>
      <w:r>
        <w:t xml:space="preserve">), and combined feature-extraction and certificate-evaluation overhead (</w:t>
      </w:r>
      <m:oMath>
        <m:r>
          <m:t>0.62</m:t>
        </m:r>
        <m:r>
          <m:t> </m:t>
        </m:r>
        <m:r>
          <m:rPr>
            <m:nor/>
            <m:sty m:val="p"/>
          </m:rPr>
          <m:t>ms</m:t>
        </m:r>
      </m:oMath>
      <w:r>
        <w:t xml:space="preserve">,</w:t>
      </w:r>
      <w:r>
        <w:t xml:space="preserve"> </w:t>
      </w:r>
      <m:oMath>
        <m:r>
          <m:t>5.0</m:t>
        </m:r>
        <m:r>
          <m:rPr>
            <m:sty m:val="p"/>
          </m:rPr>
          <m:t>%</m:t>
        </m:r>
      </m:oMath>
      <w:r>
        <w:t xml:space="preserve"> </w:t>
      </w:r>
      <w:r>
        <w:t xml:space="preserve">of base forward pass) on Apple Silicon MPS is reported in Table 45; comparable end-to-end deployment latencies across all historical benchmark tracks are not claimed.</w:t>
      </w:r>
    </w:p>
    <w:bookmarkEnd w:id="49"/>
    <w:bookmarkEnd w:id="50"/>
    <w:bookmarkEnd w:id="51"/>
    <w:bookmarkStart w:id="55" w:name="primary-experimental-protocols"/>
    <w:p>
      <w:pPr>
        <w:pStyle w:val="Heading1"/>
        <w:widowControl/>
      </w:pPr>
      <w:r>
        <w:t xml:space="preserve">7 Primary Experimental Protocols</w:t>
      </w:r>
    </w:p>
    <w:bookmarkStart w:id="52"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48"/>
        <w:gridCol w:w="3506"/>
        <w:gridCol w:w="3506"/>
      </w:tblGrid>
      <w:tr>
        <w:trPr>
          <w:tblHeader w:val="true"/>
          <w:cantSplit w:val="true"/>
        </w:trPr>
        <w:tc>
          <w:tcPr>
            <w:tcW w:w="29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safe-utility rule</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development feasibility stopped; no target access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a candidate met the pre-target eligibility checks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2"/>
    <w:bookmarkStart w:id="53" w:name="cct-20-design-and-safe-utility"/>
    <w:p>
      <w:pPr>
        <w:pStyle w:val="Heading2"/>
        <w:widowControl/>
      </w:pPr>
      <w:r>
        <w:t xml:space="preserve">7.2 CCT-20 Design and Safe Utility</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safe-utility</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t> </m:t>
          </m:r>
          <m:r>
            <m:rPr>
              <m:nor/>
              <m:sty m:val="p"/>
            </m:rPr>
            <m:t>(12)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3"/>
    <w:bookmarkStart w:id="54"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t> </m:t>
          </m:r>
          <m:r>
            <m:rPr>
              <m:nor/>
              <m:sty m:val="p"/>
            </m:rPr>
            <m:t>(13)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4"/>
    <w:bookmarkEnd w:id="55"/>
    <w:bookmarkStart w:id="65" w:name="primary-results"/>
    <w:p>
      <w:pPr>
        <w:pStyle w:val="Heading1"/>
        <w:widowControl/>
      </w:pPr>
      <w:r>
        <w:t xml:space="preserve">8 Primary Results</w:t>
      </w:r>
    </w:p>
    <w:bookmarkStart w:id="59"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m:t>(</m:t>
        </m:r>
        <m:r>
          <m:t>A</m:t>
        </m:r>
        <m:r>
          <m:rPr>
            <m:sty m:val="p"/>
          </m:rPr>
          <m:t>+</m:t>
        </m:r>
        <m:r>
          <m:t>F</m:t>
        </m:r>
        <m:r>
          <m:rPr>
            <m:sty m:val="p"/>
          </m:rPr>
          <m:t>)</m:t>
        </m:r>
        <m:r>
          <m:rPr>
            <m:sty m:val="p"/>
          </m:rPr>
          <m:t>/</m:t>
        </m:r>
        <m: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this regret-minimization behavior across deployment streams with varying harmful fraction</w:t>
      </w:r>
      <w:r>
        <w:t xml:space="preserve"> </w:t>
      </w:r>
      <m:oMath>
        <m:r>
          <m:t>p</m:t>
        </m:r>
      </m:oMath>
      <w:r>
        <w:t xml:space="preserve">: while unconstrained always-adapt degrades linearly as harmful mass increases, KGA tracks the lower mixture-regret envelope, maintaining lower empirical regret across the constructed mixture than the fixed policies over most mixture proportions.</w:t>
      </w:r>
    </w:p>
    <w:p>
      <w:pPr>
        <w:pStyle w:val="CaptionedFigure"/>
        <w:widowControl/>
        <w:jc w:val="center"/>
      </w:pPr>
      <w:r>
        <w:drawing>
          <wp:inline>
            <wp:extent cx="4267200" cy="2801509"/>
            <wp:effectExtent b="0" l="0" r="0" t="0"/>
            <wp:docPr descr="CIFAR-10-C stress grid mixing-ratio Pareto front comparing mean regret vs harmful fraction for Tent." title="CIFAR-10-C stress grid mixing-ratio Pareto front comparing mean regret vs harmful fraction for Tent" id="57" name="Picture"/>
            <a:graphic>
              <a:graphicData uri="http://schemas.openxmlformats.org/drawingml/2006/picture">
                <pic:pic>
                  <pic:nvPicPr>
                    <pic:cNvPr descr="figures/fig_decisive_pareto_cifar10c.pdf" id="58" name="Picture"/>
                    <pic:cNvPicPr>
                      <a:picLocks noChangeArrowheads="1" noChangeAspect="1"/>
                    </pic:cNvPicPr>
                  </pic:nvPicPr>
                  <pic:blipFill>
                    <a:blip r:embed="rId56"/>
                    <a:stretch>
                      <a:fillRect/>
                    </a:stretch>
                  </pic:blipFill>
                  <pic:spPr bwMode="auto">
                    <a:xfrm>
                      <a:off x="0" y="0"/>
                      <a:ext cx="4267200" cy="2801509"/>
                    </a:xfrm>
                    <a:prstGeom prst="rect">
                      <a:avLst/>
                    </a:prstGeom>
                    <a:noFill/>
                    <a:ln w="9525">
                      <a:noFill/>
                      <a:headEnd/>
                      <a:tailEnd/>
                    </a:ln>
                  </pic:spPr>
                </pic:pic>
              </a:graphicData>
            </a:graphic>
          </wp:inline>
        </w:drawing>
      </w:r>
    </w:p>
    <w:p>
      <w:pPr>
        <w:pStyle w:val="ImageCaption"/>
        <w:widowControl/>
      </w:pPr>
      <w:r>
        <w:t xml:space="preserve">Figure 4. CIFAR-10-C stress grid mixing-ratio regret envelope: mean regret vs. the harmful fraction</w:t>
      </w:r>
      <w:r>
        <w:t xml:space="preserve"> </w:t>
      </w:r>
      <m:oMath>
        <m:r>
          <m:t>p</m:t>
        </m:r>
      </m:oMath>
      <w:r>
        <w:t xml:space="preserve"> </w:t>
      </w:r>
      <w:r>
        <w:t xml:space="preserve">of the deployment stream for Tent, comparing always-adapt, always-freeze, and KGA. While unconstrained always-adapt degrades sharply as the harmful fraction increases and always-freeze stalls on helpful distributions, KGA tracks the lower mixture-regret envelope, maintaining lower empirical regret across the constructed mixture than the fixed policies over most mixture proportions.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0.0058</m:t>
        </m:r>
        <m:r>
          <m:rPr>
            <m:sty m:val="p"/>
          </m:rPr>
          <m:t>,</m:t>
        </m:r>
        <m:r>
          <m:rPr>
            <m:sty m:val="p"/>
          </m:rPr>
          <m:t>+</m:t>
        </m:r>
        <m:r>
          <m:t>0.0065</m:t>
        </m:r>
        <m:r>
          <m:rPr>
            <m:sty m:val="p"/>
          </m:rPr>
          <m:t>,</m:t>
        </m:r>
        <m:r>
          <m:rPr>
            <m:sty m:val="p"/>
          </m:rPr>
          <m:t>+</m:t>
        </m:r>
        <m:r>
          <m:t>0.0061</m:t>
        </m:r>
        <m:r>
          <m:rPr>
            <m:sty m:val="p"/>
          </m:rPr>
          <m:t>,</m:t>
        </m:r>
        <m:r>
          <m:rPr>
            <m:sty m:val="p"/>
          </m:rPr>
          <m:t>+</m:t>
        </m:r>
        <m:r>
          <m:t>0.0072</m:t>
        </m:r>
        <m:r>
          <m:rPr>
            <m:sty m:val="p"/>
          </m:rPr>
          <m:t>,</m:t>
        </m:r>
        <m:r>
          <m:rPr>
            <m:sty m:val="p"/>
          </m:rPr>
          <m:t>+</m:t>
        </m:r>
        <m:r>
          <m:t>0.0054</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9"/>
    <w:bookmarkStart w:id="60"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m:t>1</m:t>
        </m:r>
        <m:r>
          <m:rPr>
            <m:sty m:val="p"/>
          </m:rPr>
          <m:t>−</m:t>
        </m:r>
        <m:r>
          <m:t>α</m:t>
        </m:r>
        <m:r>
          <m:rPr>
            <m:sty m:val="p"/>
          </m:rPr>
          <m:t>=</m:t>
        </m:r>
        <m:r>
          <m:t>0.90</m:t>
        </m:r>
      </m:oMath>
      <w:r>
        <w:t xml:space="preserve">. Observed inclusion concerns</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r>
                <m:rPr>
                  <m:sty m:val="p"/>
                </m:rPr>
                <m:t>/</m:t>
              </m:r>
              <m:sSub>
                <m:e>
                  <m:r>
                    <m:rPr>
                      <m:sty m:val="p"/>
                    </m:rPr>
                    <m:t>F</m:t>
                  </m:r>
                  <m:r>
                    <m:rPr>
                      <m:sty m:val="p"/>
                    </m:rPr>
                    <m:t>A</m:t>
                  </m:r>
                </m:e>
                <m:sub>
                  <m: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r>
                <m:rPr>
                  <m:sty m:val="p"/>
                </m:rPr>
                <m:t>/</m:t>
              </m:r>
              <m:sSub>
                <m:e>
                  <m:r>
                    <m:rPr>
                      <m:sty m:val="p"/>
                    </m:rPr>
                    <m:t>F</m:t>
                  </m:r>
                  <m:r>
                    <m:rPr>
                      <m:sty m:val="p"/>
                    </m:rPr>
                    <m:t>F</m:t>
                  </m:r>
                </m:e>
                <m:sub>
                  <m: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This retrospective diagnostic is rank-constrained and is not independent validation of interval coverage under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60"/>
    <w:bookmarkStart w:id="61"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generated from one authenticated paired-score authority.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m:t>F</m:t>
            </m:r>
            <m:r>
              <m:rPr>
                <m:sty m:val="p"/>
              </m:rPr>
              <m:t>A</m:t>
            </m:r>
          </m:e>
          <m:sub>
            <m:r>
              <m:rPr>
                <m:sty m:val="p"/>
              </m:rPr>
              <m:t>u</m:t>
            </m:r>
          </m:sub>
        </m:sSub>
      </m:oMath>
      <w:r>
        <w:t xml:space="preserve"> </w:t>
      </w:r>
      <w:r>
        <w:t xml:space="preserve">is the fraction of all rows</w:t>
      </w:r>
      <w:r>
        <w:t xml:space="preserve"> </w:t>
      </w:r>
      <w:r>
        <w:t xml:space="preserve">with ADAPT and</w:t>
      </w:r>
      <w:r>
        <w:t xml:space="preserve"> </w:t>
      </w:r>
      <m:oMath>
        <m:r>
          <m:t>B</m:t>
        </m:r>
        <m:r>
          <m:rPr>
            <m:sty m:val="p"/>
          </m:rPr>
          <m:t>≤</m:t>
        </m:r>
        <m:r>
          <m:t>0</m:t>
        </m:r>
      </m:oMath>
      <w:r>
        <w:t xml:space="preserve">; commitment is</w:t>
      </w:r>
      <w:r>
        <w:t xml:space="preserve"> </w:t>
      </w:r>
      <m:oMath>
        <m:r>
          <m:rPr>
            <m:sty m:val="p"/>
          </m:rPr>
          <m:t>(</m:t>
        </m:r>
        <m:r>
          <m:t>A</m:t>
        </m:r>
        <m:r>
          <m:rPr>
            <m:sty m:val="p"/>
          </m:rPr>
          <m:t>+</m:t>
        </m:r>
        <m:r>
          <m:t>F</m:t>
        </m:r>
        <m:r>
          <m:rPr>
            <m:sty m:val="p"/>
          </m:rPr>
          <m:t>)</m:t>
        </m:r>
        <m:r>
          <m:rPr>
            <m:sty m:val="p"/>
          </m:rPr>
          <m:t>/</m:t>
        </m:r>
        <m: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generated from one authenticated paired-score authority.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however, this unhedged stance causes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withholding commitment on 732 ambiguous cells,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 Detailed exact-replay receipts are indexed in Appendix N.</w:t>
      </w:r>
    </w:p>
    <w:bookmarkEnd w:id="61"/>
    <w:bookmarkStart w:id="62"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safe-utility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safe-utility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m:t>L</m:t>
              </m:r>
              <m:r>
                <m:rPr>
                  <m:sty m:val="p"/>
                </m:rPr>
                <m:t>&gt;</m:t>
              </m:r>
              <m: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m:t>L</m:t>
              </m:r>
              <m:r>
                <m:rPr>
                  <m:sty m:val="p"/>
                </m:rPr>
                <m:t>&gt;</m:t>
              </m:r>
              <m:r>
                <m:rPr>
                  <m:sty m:val="p"/>
                </m:rPr>
                <m:t>−</m:t>
              </m:r>
              <m:r>
                <m:t>0.0050</m:t>
              </m:r>
            </m:oMath>
          </w:p>
        </w:tc>
      </w:tr>
    </w:tbl>
    <w:p>
      <w:pPr>
        <w:pStyle w:val="BodyText"/>
        <w:widowControl/>
      </w:pPr>
      <w:r>
        <w:t xml:space="preserve">KGA matched always-freeze exactly and avoided the measured degradation of always-adapt.</w:t>
      </w:r>
      <w:r>
        <w:t xml:space="preserve"> </w:t>
      </w:r>
      <w:r>
        <w:t xml:space="preserve">The unchanged locked rule therefore returns pass on the stored cells, with generated flag</w:t>
      </w:r>
      <w:r>
        <w:t xml:space="preserve"> </w:t>
      </w:r>
      <w:r>
        <w:t xml:space="preserve">yes</w:t>
      </w:r>
      <w:r>
        <w:t xml:space="preserve">.</w:t>
      </w:r>
      <w:r>
        <w:t xml:space="preserve"> </w:t>
      </w:r>
      <w:r>
        <w:t xml:space="preserve">The recorded verdict remains</w:t>
      </w:r>
      <w:r>
        <w:t xml:space="preserve"> </w:t>
      </w:r>
      <w:r>
        <w:t xml:space="preserve">SAFE UTILITY ONLY</w:t>
      </w:r>
      <w:r>
        <w:t xml:space="preserve">: a scoped safe-utility result, not a finite-sample population-safety guarantee.</w:t>
      </w:r>
      <w:r>
        <w:t xml:space="preserve"> </w:t>
      </w:r>
      <w:r>
        <w:t xml:space="preserve">However, the stronger opportunistic routing criterion was not met:</w:t>
      </w:r>
      <w:r>
        <w:t xml:space="preserve"> </w:t>
      </w:r>
      <w:r>
        <w:t xml:space="preserve">the candidate was helpful in 1 cell, tied in 0, and harmful in 44.</w:t>
      </w:r>
      <w:r>
        <w:t xml:space="preserve"> </w:t>
      </w:r>
      <w:r>
        <w:t xml:space="preserve">Among the 44 harmful updates, the gate strictly rejected 43 (issuing FREEZE) and issued ABSTAIN</w:t>
      </w:r>
      <w:r>
        <w:t xml:space="preserve"> </w:t>
      </w:r>
      <w:r>
        <w:t xml:space="preserve">on the remaining 1 (which defaults to serving the frozen model), while also issuing FREEZE on the single helpful candidate.</w:t>
      </w:r>
      <w:r>
        <w:t xml:space="preserve"> </w:t>
      </w:r>
      <w:r>
        <w:t xml:space="preserve">All recorded development cells for Tent had negative measured benefit. On the evaluated CCT-20 panel, KGA issued no ADAPT decisions. This result demonstrates frozen-model retention, not successful selection of beneficial updates.</w:t>
      </w:r>
    </w:p>
    <w:bookmarkEnd w:id="62"/>
    <w:bookmarkStart w:id="63" w:name="X11f3a107a07ce58173a54feac1b802ddd83c657"/>
    <w:p>
      <w:pPr>
        <w:pStyle w:val="Heading2"/>
        <w:widowControl/>
      </w:pPr>
      <w:r>
        <w:t xml:space="preserve">8.5 Development Stops and Adverse Diagnostics</w:t>
      </w:r>
    </w:p>
    <w:p>
      <w:pPr>
        <w:pStyle w:val="FirstParagraph"/>
        <w:widowControl/>
      </w:pPr>
      <w:r>
        <w:t xml:space="preserve">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whereas the opened Camelyon17 OOD panel adapts throughout.</w:t>
      </w:r>
      <w:r>
        <w:t xml:space="preserve"> </w:t>
      </w:r>
      <w:r>
        <w:t xml:space="preserve">The opened one-sided Camelyon17 panel adapts throughout because all 18 cells are helpful.</w:t>
      </w:r>
      <w:r>
        <w:t xml:space="preserve"> </w:t>
      </w:r>
      <w:r>
        <w:t xml:space="preserve">On the observed CCT-20 cells, KGA retains the frozen model across all 45 cells.</w:t>
      </w:r>
      <w:r>
        <w:t xml:space="preserve"> </w:t>
      </w: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(alongside an exploratory 31-ADAPT post-hoc sensitivity partition reported in Appendix B.5). KGA made no ADAPT decisions on CCT-20, RxRx1, or the 72-condition Camelyon17 diagnostic. These results evaluate conservative retention and do not establish prospective selective routing on unseen natural shifts.</w:t>
      </w:r>
    </w:p>
    <w:bookmarkEnd w:id="63"/>
    <w:bookmarkStart w:id="64" w:name="Xd1fe0aab8509a6f02c54f27f6bdf495deecbcfd"/>
    <w:p>
      <w:pPr>
        <w:pStyle w:val="Heading2"/>
        <w:widowControl/>
      </w:pPr>
      <w:r>
        <w:t xml:space="preserve">8.6 Cross-Architecture and Parameter-Restricted Adaptation Probes</w:t>
      </w:r>
    </w:p>
    <w:p>
      <w:pPr>
        <w:pStyle w:val="FirstParagraph"/>
        <w:widowControl/>
      </w:pPr>
      <w:r>
        <w:t xml:space="preserve">As a preliminary diagnostic probe into whether certificate scale varies across model topologies, we inspected four distinct architectures under systematic covariate shift: ResNet-18 (standard residual), ResNet-50 (bottleneck residual), ViT-B/16 (vision transformer), and ConvNeXt-Tiny (depthwise convolutional; Table 11).</w:t>
      </w:r>
    </w:p>
    <w:p>
      <w:pPr>
        <w:pStyle w:val="TableCaption"/>
        <w:widowControl/>
      </w:pPr>
      <w:r>
        <w:t xml:space="preserve">Table 11. Preliminary cross-architecture diagnostic probe across four model topologies under synthetic covariate shift. Disagreement measure</w:t>
      </w:r>
      <w:r>
        <w:t xml:space="preserve"> </w:t>
      </w:r>
      <m:oMath>
        <m:r>
          <m:t>μ</m:t>
        </m:r>
        <m:r>
          <m:rPr>
            <m:sty m:val="p"/>
          </m:rPr>
          <m:t>(</m:t>
        </m:r>
        <m:r>
          <m:t>D</m:t>
        </m:r>
        <m:r>
          <m:rPr>
            <m:sty m:val="p"/>
          </m:rPr>
          <m:t>)</m:t>
        </m:r>
      </m:oMath>
      <w:r>
        <w:t xml:space="preserve">, conformal radius</w:t>
      </w:r>
      <w:r>
        <w:t xml:space="preserve"> </w:t>
      </w:r>
      <m:oMath>
        <m:r>
          <m:t>r</m:t>
        </m:r>
      </m:oMath>
      <w:r>
        <w:t xml:space="preserve">, break-even margin</w:t>
      </w:r>
      <w:r>
        <w:t xml:space="preserve"> </w:t>
      </w:r>
      <m:oMath>
        <m:sSup>
          <m:e>
            <m:r>
              <m:t>β</m:t>
            </m:r>
          </m:e>
          <m:sup>
            <m:r>
              <m:rPr>
                <m:sty m:val="p"/>
              </m:rPr>
              <m:t>*</m:t>
            </m:r>
          </m:sup>
        </m:sSup>
      </m:oMath>
      <w:r>
        <w:t xml:space="preserve">, and action distributions are diagnostic summaries; similar radii do not establish empirical coverage or cross-topology transfer.</w:t>
      </w:r>
    </w:p>
    <w:tbl>
      <w:tblPr>
        <w:tblStyle w:val="Table"/>
        <w:tblW w:type="dxa" w:w="9960"/>
        <w:jc w:val="left"/>
        <w:tblLayout w:type="fixed"/>
        <w:tblLook w:firstRow="1" w:lastRow="0" w:firstColumn="0" w:lastColumn="0" w:noHBand="0" w:noVBand="0" w:val="0020"/>
        <w:tblCaption w:val="Table 11. Preliminary cross-architecture diagnostic probe across four model topologies under synthetic covariate shift. Disagreement measure \mu(D), conformal radius r, break-even margin \beta^*, and action distributions are diagnostic summaries; similar radii do not establish empirical coverage or cross-topology transf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77"/>
        <w:gridCol w:w="1986"/>
        <w:gridCol w:w="793"/>
        <w:gridCol w:w="1023"/>
        <w:gridCol w:w="793"/>
        <w:gridCol w:w="1252"/>
        <w:gridCol w:w="793"/>
        <w:gridCol w:w="2043"/>
      </w:tblGrid>
      <w:tr>
        <w:trPr>
          <w:tblHeader w:val="true"/>
          <w:cantSplit w:val="true"/>
        </w:trPr>
        <w:tc>
          <w:tcPr>
            <w:tcW w:w="127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9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0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m:t>μ</m:t>
              </m:r>
              <m:r>
                <m:rPr>
                  <m:sty m:val="p"/>
                </m:rPr>
                <m:t>(</m:t>
              </m:r>
              <m:r>
                <m:t>D</m:t>
              </m:r>
              <m:r>
                <m:rPr>
                  <m:sty m:val="p"/>
                </m:rPr>
                <m:t>)</m:t>
              </m:r>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m:t>r</m:t>
              </m:r>
            </m:oMath>
          </w:p>
        </w:tc>
        <w:tc>
          <w:tcPr>
            <w:tcW w:w="12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m:t>β</m:t>
                  </m:r>
                </m:e>
                <m:sup>
                  <m:r>
                    <m:rPr>
                      <m:sty m:val="p"/>
                    </m:rPr>
                    <m:t>*</m:t>
                  </m:r>
                </m:sup>
              </m:sSup>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0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Standard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0.1806</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Bottleneck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0.1757</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0.1023</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0.1782</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98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Modern Depthwise CNN</w:t>
            </w:r>
          </w:p>
        </w:tc>
        <w:tc>
          <w:tcPr>
            <w:tcW w:w="7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0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0.1727</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ABSTAIN / FREEZE</w:t>
            </w:r>
          </w:p>
        </w:tc>
      </w:tr>
    </w:tbl>
    <w:p>
      <w:pPr>
        <w:pStyle w:val="BodyText"/>
        <w:widowControl/>
      </w:pPr>
      <w:r>
        <w:t xml:space="preserve">Across the four topologies, the disagreement region measure</w:t>
      </w:r>
      <w:r>
        <w:t xml:space="preserve"> </w:t>
      </w:r>
      <m:oMath>
        <m:r>
          <m:t>μ</m:t>
        </m:r>
        <m:r>
          <m:rPr>
            <m:sty m:val="p"/>
          </m:rPr>
          <m:t>(</m:t>
        </m:r>
        <m:r>
          <m:t>D</m:t>
        </m:r>
        <m:r>
          <m:rPr>
            <m:sty m:val="p"/>
          </m:rPr>
          <m:t>)</m:t>
        </m:r>
      </m:oMath>
      <w:r>
        <w:t xml:space="preserve"> </w:t>
      </w:r>
      <w:r>
        <w:t xml:space="preserve">(</w:t>
      </w:r>
      <m:oMath>
        <m:r>
          <m:t>0.1727</m:t>
        </m:r>
      </m:oMath>
      <w:r>
        <w:t xml:space="preserve">–</w:t>
      </w:r>
      <m:oMath>
        <m:r>
          <m:t>0.1806</m:t>
        </m:r>
      </m:oMath>
      <w:r>
        <w:t xml:space="preserve">) and the calibrated certificate radius</w:t>
      </w:r>
      <w:r>
        <w:t xml:space="preserve"> </w:t>
      </w:r>
      <m:oMath>
        <m:r>
          <m:t>r</m:t>
        </m:r>
        <m:r>
          <m:rPr>
            <m:sty m:val="p"/>
          </m:rPr>
          <m:t>=</m:t>
        </m:r>
        <m:r>
          <m:t>ε</m:t>
        </m:r>
        <m:r>
          <m:rPr>
            <m:sty m:val="p"/>
          </m:rPr>
          <m:t>+</m:t>
        </m:r>
        <m:r>
          <m:t>b</m:t>
        </m:r>
      </m:oMath>
      <w:r>
        <w:t xml:space="preserve"> </w:t>
      </w:r>
      <w:r>
        <w:t xml:space="preserve">(</w:t>
      </w:r>
      <m:oMath>
        <m:r>
          <m:t>0.1023</m:t>
        </m:r>
      </m:oMath>
      <w:r>
        <w:t xml:space="preserve">–</w:t>
      </w:r>
      <m:oMath>
        <m:r>
          <m:t>0.1026</m:t>
        </m:r>
      </m:oMath>
      <w:r>
        <w:t xml:space="preserve">) exhibit comparable scale on these evaluation batches. However, similar radii do not establish empirical coverage, which requires held-out inclusion testing. In this probe, KGA issued only FREEZE or ABSTAIN decisions and therefore retained the frozen predictor throughout. The zero observed false-ADAPT rate reflects the absence of ADAPT decisions, not successful selection of beneficial updates.</w:t>
      </w:r>
    </w:p>
    <w:p>
      <w:pPr>
        <w:pStyle w:val="BodyText"/>
        <w:widowControl/>
      </w:pPr>
      <w:r>
        <w:t xml:space="preserve">Furthermore, we explored parameter-restricted adaptation hierarchies as an exploratory development ablation to understand the conservative retention observed on camera-trap shifts (Table 12).</w:t>
      </w:r>
    </w:p>
    <w:p>
      <w:pPr>
        <w:pStyle w:val="TableCaption"/>
        <w:widowControl/>
      </w:pPr>
      <w:r>
        <w:t xml:space="preserve">Table 12. Exploratory parameter-restricted adaptation probe on CCT-20 camera-trap deployments. Frozen-model retention denominator is 45/45 evaluated cells (9 target locations</w:t>
      </w:r>
      <w:r>
        <w:t xml:space="preserve"> </w:t>
      </w:r>
      <m:oMath>
        <m:r>
          <m:rPr>
            <m:sty m:val="p"/>
          </m:rPr>
          <m:t>×</m:t>
        </m:r>
      </m:oMath>
      <w:r>
        <w:t xml:space="preserve"> </w:t>
      </w:r>
      <w:r>
        <w:t xml:space="preserve">5 checkpoints) serving the frozen baseline. The break-even margin</w:t>
      </w:r>
      <w:r>
        <w:t xml:space="preserve"> </w:t>
      </w:r>
      <m:oMath>
        <m:sSup>
          <m:e>
            <m:r>
              <m:t>β</m:t>
            </m:r>
          </m:e>
          <m:sup>
            <m:r>
              <m:rPr>
                <m:sty m:val="p"/>
              </m:rPr>
              <m:t>*</m:t>
            </m:r>
          </m:sup>
        </m:sSup>
      </m:oMath>
      <w:r>
        <w:t xml:space="preserve"> </w:t>
      </w:r>
      <w:r>
        <w:t xml:space="preserve">indicates the local empirical tolerance for overturning the decision, not population truth.</w:t>
      </w:r>
    </w:p>
    <w:tbl>
      <w:tblPr>
        <w:tblStyle w:val="Table"/>
        <w:tblW w:type="dxa" w:w="9960"/>
        <w:jc w:val="left"/>
        <w:tblLayout w:type="fixed"/>
        <w:tblLook w:firstRow="1" w:lastRow="0" w:firstColumn="0" w:lastColumn="0" w:noHBand="0" w:noVBand="0" w:val="0020"/>
        <w:tblCaption w:val="Table 12. Exploratory parameter-restricted adaptation probe on CCT-20 camera-trap deployments. Frozen-model retention denominator is 45/45 evaluated cells (9 target locations \times 5 checkpoints) serving the frozen baseline. The break-even margin \beta^* indicates the local empirical tolerance for overturning the decision, not population truth."/>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43"/>
        <w:gridCol w:w="2484"/>
        <w:gridCol w:w="599"/>
        <w:gridCol w:w="599"/>
        <w:gridCol w:w="2204"/>
        <w:gridCol w:w="2531"/>
      </w:tblGrid>
      <w:tr>
        <w:trPr>
          <w:tblHeader w:val="true"/>
          <w:cantSplit w:val="true"/>
        </w:trPr>
        <w:tc>
          <w:tcPr>
            <w:tcW w:w="15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4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m:t>β</m:t>
                  </m:r>
                </m:e>
                <m:sup>
                  <m:r>
                    <m:rPr>
                      <m:sty m:val="p"/>
                    </m:rPr>
                    <m:t>*</m:t>
                  </m:r>
                </m:sup>
              </m:sSup>
            </m:oMath>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20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Frozen Retention (45/45)</w:t>
            </w:r>
          </w:p>
        </w:tc>
        <w:tc>
          <w:tcPr>
            <w:tcW w:w="253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Mechanism</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 (Tent/SAR)</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All affine weights &amp; biases</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Avoids measured adaptation degradation</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Running mean &amp; var calibration</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Dampens feature drift</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Final classification layer only</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Preserves representations</w:t>
            </w:r>
          </w:p>
        </w:tc>
      </w:tr>
      <w:tr>
        <w:trPr>
          <w:cantSplit w:val="true"/>
        </w:trPr>
        <w:tc>
          <w:tcPr>
            <w:tcW w:w="15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4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High-confidence units (probe)</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Exploratory development probe</w:t>
            </w:r>
          </w:p>
        </w:tc>
      </w:tr>
    </w:tbl>
    <w:p>
      <w:pPr>
        <w:pStyle w:val="BodyText"/>
        <w:widowControl/>
      </w:pPr>
      <w:r>
        <w:t xml:space="preserve">On the 45 CCT-20 evaluation cells, unconstrained full adaptation harms accuracy on 44 of 45 cells. KGA served the frozen model across all 45 cells (100% frozen-model retention: 44 FREEZE, 1 ABSTAIN, 0 ADAPT), avoiding the measured adaptation degradation. In exploratory development probes restricting updates to normalization statistics or prediction heads, drift is dampened (</w:t>
      </w:r>
      <m:oMath>
        <m:sSup>
          <m:e>
            <m:r>
              <m:t>β</m:t>
            </m:r>
          </m:e>
          <m:sup>
            <m:r>
              <m:rPr>
                <m:sty m:val="p"/>
              </m:rPr>
              <m:t>*</m:t>
            </m:r>
          </m:sup>
        </m:sSup>
        <m:r>
          <m:rPr>
            <m:sty m:val="p"/>
          </m:rPr>
          <m:t>=</m:t>
        </m:r>
        <m:r>
          <m:t>0.013</m:t>
        </m:r>
      </m:oMath>
      <w:r>
        <w:t xml:space="preserve">–</w:t>
      </w:r>
      <m:oMath>
        <m:r>
          <m:t>0.022</m:t>
        </m:r>
      </m:oMath>
      <w:r>
        <w:t xml:space="preserve">, where</w:t>
      </w:r>
      <w:r>
        <w:t xml:space="preserve"> </w:t>
      </w:r>
      <m:oMath>
        <m:sSup>
          <m:e>
            <m:r>
              <m:t>β</m:t>
            </m:r>
          </m:e>
          <m:sup>
            <m:r>
              <m:rPr>
                <m:sty m:val="p"/>
              </m:rPr>
              <m:t>*</m:t>
            </m:r>
          </m:sup>
        </m:sSup>
      </m:oMath>
      <w:r>
        <w:t xml:space="preserve"> </w:t>
      </w:r>
      <w:r>
        <w:t xml:space="preserve">denotes the local empirical break-even margin), though within the maintained benchmark, all 45 cells consistently retain the frozen baseline.</w:t>
      </w:r>
    </w:p>
    <w:bookmarkEnd w:id="64"/>
    <w:bookmarkEnd w:id="65"/>
    <w:bookmarkStart w:id="71" w:name="limitations-and-broader-impact"/>
    <w:p>
      <w:pPr>
        <w:pStyle w:val="Heading1"/>
        <w:widowControl/>
      </w:pPr>
      <w:r>
        <w:t xml:space="preserve">9 Limitations and Broader Impact</w:t>
      </w:r>
    </w:p>
    <w:bookmarkStart w:id="68"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6" w:name="ablation-empirical-surrogate-for-beta."/>
    <w:p>
      <w:pPr>
        <w:pStyle w:val="Heading3"/>
        <w:keepNext/>
        <w:widowControl/>
        <w:spacing w:before="100" w:after="20" w:line="252" w:lineRule="auto"/>
      </w:pPr>
      <w:r>
        <w:rPr>
          <w:rFonts w:ascii="Times New Roman" w:hAnsi="Times New Roman" w:eastAsia="Times New Roman" w:cs="Times New Roman"/>
          <w:b/>
          <w:sz w:val="19"/>
        </w:rPr>
        <w:t xml:space="preserve">Ablation: Empirical surrogate for</w:t>
      </w:r>
      <w:r>
        <w:rPr>
          <w:rFonts w:ascii="Times New Roman" w:hAnsi="Times New Roman" w:eastAsia="Times New Roman" w:cs="Times New Roman"/>
          <w:b/>
          <w:sz w:val="19"/>
        </w:rPr>
        <w:t xml:space="preserve"> </w:t>
      </w:r>
      <m:oMath>
        <m:r>
          <m:t>β</m:t>
        </m:r>
      </m:oMath>
      <w:r>
        <w:rPr>
          <w:rFonts w:ascii="Times New Roman" w:hAnsi="Times New Roman" w:eastAsia="Times New Roman" w:cs="Times New Roman"/>
          <w:b/>
          <w:sz w:val="19"/>
        </w:rPr>
        <w:t xml:space="preserve">.</w:t>
      </w:r>
    </w:p>
    <w:p>
      <w:pPr>
        <w:pStyle w:val="FirstParagraph"/>
        <w:widowControl/>
      </w:pPr>
      <w:r>
        <w:t xml:space="preserve">We evaluated whether an empirical benefit-scale proxy computed from development shifts could serve</w:t>
      </w:r>
      <w:r>
        <w:t xml:space="preserve"> </w:t>
      </w:r>
      <w:r>
        <w:t xml:space="preserve">as an operational surrogate for</w:t>
      </w:r>
      <w:r>
        <w:t xml:space="preserve"> </w:t>
      </w:r>
      <m:oMath>
        <m:r>
          <m:t>β</m:t>
        </m:r>
      </m:oMath>
      <w:r>
        <w:t xml:space="preserve">. On CIFAR-10-C, this heuristic surrogate proved</w:t>
      </w:r>
      <w:r>
        <w:t xml:space="preserve"> </w:t>
      </w:r>
      <m:oMath>
        <m:r>
          <m:t>1.4</m:t>
        </m:r>
      </m:oMath>
      <w:r>
        <w:t xml:space="preserve">–</w:t>
      </w:r>
      <m:oMath>
        <m:r>
          <m:t>50</m:t>
        </m:r>
        <m:r>
          <m:rPr>
            <m:sty m:val="p"/>
          </m:rPr>
          <m:t>×</m:t>
        </m:r>
      </m:oMath>
      <w:r>
        <w:t xml:space="preserve"> </w:t>
      </w:r>
      <w:r>
        <w:t xml:space="preserve">too small for operational soundness: 24–73% of evaluation cells produced measured outcomes outside</w:t>
      </w:r>
      <w:r>
        <w:t xml:space="preserve"> </w:t>
      </w:r>
      <w:r>
        <w:t xml:space="preserve">the proxy-declared interval, and commit error reached 0.4–16.6%. On ImageNet-C, the heuristic returned</w:t>
      </w:r>
      <w:r>
        <w:t xml:space="preserve"> </w:t>
      </w:r>
      <w:r>
        <w:t xml:space="preserve">zero commitments across all 405 evaluation cells in 5 of 10 configurations.</w:t>
      </w:r>
      <w:r>
        <w:t xml:space="preserve"> </w:t>
      </w:r>
      <w:r>
        <w:t xml:space="preserve">This operational failure directly corroborates Theorem 3: processing unchanged evidence</w:t>
      </w:r>
      <w:r>
        <w:t xml:space="preserve"> </w:t>
      </w:r>
      <w:r>
        <w:t xml:space="preserve">cannot replace a justified structural assumption.</w:t>
      </w:r>
      <w:r>
        <w:t xml:space="preserve"> </w:t>
      </w:r>
      <w:r>
        <w:t xml:space="preserve">The theorem does not attribute this failure to any single cause. Rather,</w:t>
      </w:r>
      <w:r>
        <w:t xml:space="preserve"> </w:t>
      </w:r>
      <w:r>
        <w:t xml:space="preserve">Theorem 3 proves that</w:t>
      </w:r>
      <w:r>
        <w:t xml:space="preserve"> </w:t>
      </w:r>
      <m:oMath>
        <m:r>
          <m:t>β</m:t>
        </m:r>
      </m:oMath>
      <w:r>
        <w:t xml:space="preserve"> </w:t>
      </w:r>
      <w:r>
        <w:t xml:space="preserve">cannot be audited from label-free target</w:t>
      </w:r>
      <w:r>
        <w:t xml:space="preserve"> </w:t>
      </w:r>
      <w:r>
        <w:t xml:space="preserve">data alone within this rich kernel class. Consequently, population guarantees within this framework without coupled target labels</w:t>
      </w:r>
      <w:r>
        <w:t xml:space="preserve"> </w:t>
      </w:r>
      <w:r>
        <w:t xml:space="preserve">or alternative structural assumptions (such as those discussed in Section 5.5) require</w:t>
      </w:r>
      <w:r>
        <w:t xml:space="preserve"> </w:t>
      </w:r>
      <w:r>
        <w:t xml:space="preserve">treating</w:t>
      </w:r>
      <w:r>
        <w:t xml:space="preserve"> </w:t>
      </w:r>
      <m:oMath>
        <m:r>
          <m:t>β</m:t>
        </m:r>
      </m:oMath>
      <w:r>
        <w:t xml:space="preserve"> </w:t>
      </w:r>
      <w:r>
        <w:t xml:space="preserve">as an externally declared sensitivity parameter (analogous to Rosenbaum sensitivity bounds in causal inference), whereas</w:t>
      </w:r>
      <w:r>
        <w:t xml:space="preserve"> </w:t>
      </w:r>
      <w:r>
        <w:t xml:space="preserve">KGA pursues empirical evaluation-cell interval coverage using historical shift benchmarks.</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p>
    <w:bookmarkEnd w:id="66"/>
    <w:bookmarkStart w:id="67"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67"/>
    <w:bookmarkEnd w:id="68"/>
    <w:bookmarkStart w:id="69" w:name="X2ccc22d7cc2d719c74eaaee90fe23681cc21526"/>
    <w:p>
      <w:pPr>
        <w:pStyle w:val="Heading2"/>
        <w:widowControl/>
      </w:pPr>
      <w:r>
        <w:t xml:space="preserve">9.2 Core Empirical Delimitations and Open Frontiers</w:t>
      </w:r>
    </w:p>
    <w:p>
      <w:pPr>
        <w:pStyle w:val="FirstParagraph"/>
        <w:widowControl/>
      </w:pPr>
      <w:r>
        <w:t xml:space="preserve">We consolidate the essential empirical boundaries of the current evidence into four concrete delimitations:</w:t>
      </w:r>
    </w:p>
    <w:p>
      <w:pPr>
        <w:widowControl/>
        <w:numPr>
          <w:ilvl w:val="0"/>
          <w:numId w:val="1008"/>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authenticated outcome-blind execution).</w:t>
      </w:r>
    </w:p>
    <w:p>
      <w:pPr>
        <w:widowControl/>
        <w:numPr>
          <w:ilvl w:val="0"/>
          <w:numId w:val="1008"/>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Protocol B cross-fitting.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8"/>
        </w:numPr>
      </w:pPr>
      <w:r>
        <w:rPr>
          <w:b/>
          <w:bCs/>
        </w:rPr>
        <w:t xml:space="preserve">Independent-Checkpoint Replication:</w:t>
      </w:r>
      <w:r>
        <w:t xml:space="preserve"> </w:t>
      </w:r>
      <w:r>
        <w:t xml:space="preserve">The original 2,160-cell CIFAR-10-C panel reused one source checkpoint. We subsequently trained two independent ResNet-18 checkpoints and evaluated both helpful-only and mixed-sign 36-condition panels (Appendix B.3.3). On the mixed-sign panel, 39–42% of conditions were harmful, and KGA had lower point oracle regret than both fixed policies on all three source models. This addresses model-initialization replication within ResNet-18. A retrospective cross-architecture diagnostic is reported in Appendix B.8.2, while prospective architecture-level transfer to unseen model families and environments remains untested.</w:t>
      </w:r>
    </w:p>
    <w:p>
      <w:pPr>
        <w:widowControl/>
        <w:numPr>
          <w:ilvl w:val="0"/>
          <w:numId w:val="1008"/>
        </w:numPr>
      </w:pPr>
      <w:r>
        <w:rPr>
          <w:b/>
          <w:bCs/>
        </w:rPr>
        <w:t xml:space="preserve">Hardware and External Baseline Dependencies:</w:t>
      </w:r>
      <w:r>
        <w:t xml:space="preserve"> </w:t>
      </w: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An authenticated head-to-head comparison with the authenticated native AETTA accuracy estimator with an explicitly specified recovery rule is reported on the multi-model mixed-sign panel in Appendix B.3.4. However, official implementations for certain external baselines (e.g., Kim et al.’s TTA/ALine [51], Baek et al.’s ALine [17], and original POEM pipelines) were deprecated, partially incomplete, or incompatible with our standardized multi-platform evaluation harness. We therefore evaluate them via our faithfully reconstructed component ports on common feature representations.</w:t>
      </w:r>
    </w:p>
    <w:p>
      <w:pPr>
        <w:pStyle w:val="FirstParagraph"/>
        <w:widowControl/>
      </w:pPr>
      <w:r>
        <w:t xml:space="preserve">Together, these delimitations define the exact scope of our empirical findings: 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69"/>
    <w:bookmarkStart w:id="70"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In safety-critical deployments (e.g., automated diagnostics or autonomous navigation), a FREEZE or ABSTAIN action should not be assumed to guarantee safety; rather, it should function as an automated fallback trigger, preserving the frozen baseline while routing ambiguous cases to human clinical review or secondary fail-safe systems.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The maintained software distinguishes an unavailable assessment from a supported negative interval.</w:t>
      </w:r>
      <w:r>
        <w:t xml:space="preserve"> </w:t>
      </w:r>
      <w:r>
        <w:t xml:space="preserve">Its tests and proof artifacts document a scoped validity, commitment-control, and rollback layer;</w:t>
      </w:r>
      <w:r>
        <w:t xml:space="preserve"> </w:t>
      </w:r>
      <w:r>
        <w:t xml:space="preserve">they do not certify every data pipeline or production system. Reproduction instructions, formal</w:t>
      </w:r>
      <w:r>
        <w:t xml:space="preserve"> </w:t>
      </w:r>
      <w:r>
        <w:t xml:space="preserve">scope, excluded historical extensions, and release checks are provided in the supplement.</w:t>
      </w:r>
    </w:p>
    <w:bookmarkEnd w:id="70"/>
    <w:bookmarkEnd w:id="71"/>
    <w:bookmarkStart w:id="72" w:name="conclusion"/>
    <w:p>
      <w:pPr>
        <w:pStyle w:val="Heading1"/>
        <w:widowControl/>
      </w:pPr>
      <w:r>
        <w:t xml:space="preserve">10 Conclusion</w:t>
      </w:r>
    </w:p>
    <w:p>
      <w:pPr>
        <w:pStyle w:val="FirstParagraph"/>
        <w:widowControl/>
      </w:pPr>
      <w:r>
        <w:t xml:space="preserve">K-Bound separates information that is absent from uncertainty that can be estimated.</w:t>
      </w:r>
      <w:r>
        <w:t xml:space="preserve"> </w:t>
      </w:r>
      <w:r>
        <w:t xml:space="preserve">For a fixed model pair in the declared binary class, the feasible population benefit set determines</w:t>
      </w:r>
      <w:r>
        <w:t xml:space="preserve"> </w:t>
      </w:r>
      <w:r>
        <w:t xml:space="preserve">when a strict direction is supported. The evidence-fibre audit result shows why the same unlabeled</w:t>
      </w:r>
      <w:r>
        <w:t xml:space="preserve"> </w:t>
      </w:r>
      <w:r>
        <w:t xml:space="preserve">observations cannot remove the unresolved residual bound.</w:t>
      </w:r>
    </w:p>
    <w:p>
      <w:pPr>
        <w:pStyle w:val="BodyText"/>
        <w:widowControl/>
      </w:pPr>
      <w:r>
        <w:t xml:space="preserve">KGA is an empirical companion: it predicts a measured cell benefit and uses an interval to accept,</w:t>
      </w:r>
      <w:r>
        <w:t xml:space="preserve"> </w:t>
      </w:r>
      <w:r>
        <w:t xml:space="preserve">reject, or defer an update. The controlled results show candidate-specific routing value.</w:t>
      </w:r>
      <w:r>
        <w:t xml:space="preserve"> </w:t>
      </w:r>
      <w:r>
        <w:t xml:space="preserve">The CCT-20 result shows conservative retention, while the So2Sat development stop exposes a transfer</w:t>
      </w:r>
      <w:r>
        <w:t xml:space="preserve"> </w:t>
      </w:r>
      <w:r>
        <w:t xml:space="preserve">limit. Together they motivate evidence-aware commitment, with the validity of each conclusion tied</w:t>
      </w:r>
      <w:r>
        <w:t xml:space="preserve"> </w:t>
      </w:r>
      <w:r>
        <w:t xml:space="preserve">to its stated target and assumptions. Stronger natural-shift routing and independent coverage</w:t>
      </w:r>
      <w:r>
        <w:t xml:space="preserve"> </w:t>
      </w:r>
      <w:r>
        <w:t xml:space="preserve">validation remain open empirical questions.</w:t>
      </w:r>
      <w:r>
        <w:t xml:space="preserve"> </w:t>
      </w:r>
      <w:r>
        <w:t xml:space="preserve">Empirically, we find that enforcing rigorous finite-sample safety bounds frequently results in conservative retention of the frozen model. This</w:t>
      </w:r>
      <w:r>
        <w:t xml:space="preserve"> </w:t>
      </w:r>
      <w:r>
        <w:t xml:space="preserve">“price of rigor”</w:t>
      </w:r>
      <w:r>
        <w:t xml:space="preserve"> </w:t>
      </w:r>
      <w:r>
        <w:t xml:space="preserve">highlights a fundamental tension in test-time adaptation: opportunistic routing on unseen domains is inherently risky, and mathematical safety naturally suppresses adaptation at standard batch sizes.</w:t>
      </w:r>
    </w:p>
    <w:bookmarkEnd w:id="72"/>
    <w:bookmarkStart w:id="76" w:name="references"/>
    <w:p>
      <w:pPr>
        <w:pStyle w:val="Heading1"/>
        <w:widowControl/>
      </w:pPr>
      <w:r>
        <w:t xml:space="preserve">References</w:t>
      </w:r>
    </w:p>
    <w:p>
      <w:pPr>
        <w:widowControl/>
        <w:numPr>
          <w:ilvl w:val="0"/>
          <w:numId w:val="1009"/>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9"/>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9"/>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9"/>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3">
        <w:r>
          <w:rPr>
            <w:rStyle w:val="Hyperlink"/>
          </w:rPr>
          <w:t xml:space="preserve">https://proceedings.mlr.press/v267/chen25ch.html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9"/>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9"/>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9"/>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9"/>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9"/>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9"/>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9"/>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9"/>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9"/>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9"/>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9"/>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9"/>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9"/>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9"/>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9"/>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9"/>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9"/>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9"/>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9"/>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9"/>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9"/>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9"/>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9"/>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9"/>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9"/>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9"/>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9"/>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9"/>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9"/>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9"/>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9"/>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9"/>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9"/>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9"/>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4">
        <w:r>
          <w:rPr>
            <w:rStyle w:val="Hyperlink"/>
          </w:rPr>
          <w:t xml:space="preserve">https://proceedings.mlr.press/v9/david10a.html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9"/>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5">
        <w:r>
          <w:rPr>
            <w:rStyle w:val="Hyperlink"/>
          </w:rPr>
          <w:t xml:space="preserve">10.52202/079017-3820</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9"/>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9"/>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09"/>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bookmarkEnd w:id="76"/>
    <w:bookmarkStart w:id="91"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77" w:name="Xe11dd173be517322748247f51b7fafd5b9327dd"/>
    <w:p>
      <w:pPr>
        <w:pStyle w:val="Heading2"/>
        <w:widowControl/>
      </w:pPr>
      <w:r>
        <w:t xml:space="preserve">A.1 Scale and Structural Differences Between Deductive and Inductive Bounds</w:t>
      </w:r>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t> </m:t>
          </m:r>
          <m:r>
            <m:rPr>
              <m:nor/>
              <m:sty m:val="p"/>
            </m:rPr>
            <m:t>(14)</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t> </m:t>
          </m:r>
          <m:r>
            <m:rPr>
              <m:nor/>
              <m:sty m:val="p"/>
            </m:rPr>
            <m:t>(15)</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t> </m:t>
          </m:r>
          <m:r>
            <m:rPr>
              <m:nor/>
              <m:sty m:val="p"/>
            </m:rPr>
            <m:t>(16)</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fundamentally different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 Because Theorem 3 proves</w:t>
      </w:r>
      <w:r>
        <w:t xml:space="preserve"> </w:t>
      </w:r>
      <m:oMath>
        <m:r>
          <m:t>β</m:t>
        </m:r>
      </m:oMath>
      <w:r>
        <w:t xml:space="preserve"> </w:t>
      </w:r>
      <w:r>
        <w:t xml:space="preserve">cannot be audited</w:t>
      </w:r>
      <w:r>
        <w:t xml:space="preserve"> </w:t>
      </w:r>
      <w:r>
        <w:t xml:space="preserve">from label-free data alone,</w:t>
      </w:r>
      <w:r>
        <w:t xml:space="preserve"> </w:t>
      </w:r>
      <w:r>
        <w:rPr>
          <w:smallCaps/>
        </w:rPr>
        <w:t xml:space="preserve">KGA</w:t>
      </w:r>
      <w:r>
        <w:t xml:space="preserve"> </w:t>
      </w:r>
      <w:r>
        <w:t xml:space="preserve">purposefully departs from the deductive parameter</w:t>
      </w:r>
      <w:r>
        <w:t xml:space="preserve"> </w:t>
      </w:r>
      <m:oMath>
        <m:r>
          <m:t>β</m:t>
        </m:r>
      </m:oMath>
      <w:r>
        <w:t xml:space="preserve"> </w:t>
      </w:r>
      <w:r>
        <w:t xml:space="preserve">in favor of the inductive</w:t>
      </w:r>
      <w:r>
        <w:t xml:space="preserve"> </w:t>
      </w:r>
      <w:r>
        <w:t xml:space="preserve">empirical radius</w:t>
      </w:r>
      <w:r>
        <w:t xml:space="preserve"> </w:t>
      </w:r>
      <m:oMath>
        <m:r>
          <m:t>ε</m:t>
        </m:r>
      </m:oMath>
      <w:r>
        <w:t xml:space="preserve">.</w:t>
      </w:r>
    </w:p>
    <w:bookmarkEnd w:id="77"/>
    <w:bookmarkStart w:id="78"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78"/>
    <w:bookmarkStart w:id="79"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0"/>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0"/>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0"/>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0"/>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0"/>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79"/>
    <w:bookmarkStart w:id="84"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(17)</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t> </m:t>
          </m:r>
          <m:r>
            <m:rPr>
              <m:nor/>
              <m:sty m:val="p"/>
            </m:rPr>
            <m:t>(18)</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(19)</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t> </m:t>
          </m:r>
          <m:r>
            <m:rPr>
              <m:nor/>
              <m:sty m:val="p"/>
            </m:rPr>
            <m:t>(20)</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(21)</m:t>
          </m:r>
        </m:oMath>
      </m:oMathPara>
    </w:p>
    <w:p>
      <w:pPr>
        <w:pStyle w:val="FirstParagraph"/>
        <w:widowControl/>
      </w:pPr>
      <w:r>
        <w:rPr>
          <w:i/>
          <w:iCs/>
        </w:rPr>
        <w:t xml:space="preserve">Proof.</w:t>
      </w:r>
      <w:r>
        <w:t xml:space="preserve"> </w:t>
      </w:r>
      <w:r>
        <w:t xml:space="preserve">The proof proceeds in four discrete steps:</w:t>
      </w:r>
    </w:p>
    <w:bookmarkStart w:id="80"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0"/>
    <w:bookmarkStart w:id="81"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1"/>
    <w:bookmarkStart w:id="82"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2"/>
    <w:bookmarkStart w:id="83"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3"/>
    <w:bookmarkEnd w:id="84"/>
    <w:bookmarkStart w:id="85" w:name="X9103471d99c25e047733712edddfb610e21cce4"/>
    <w:p>
      <w:pPr>
        <w:pStyle w:val="Heading2"/>
        <w:widowControl/>
      </w:pPr>
      <w:r>
        <w:t xml:space="preserve">A.5 The Price of Rigor: Sample Size vs. Abstention Analysis</w:t>
      </w:r>
    </w:p>
    <w:p>
      <w:pPr>
        <w:pStyle w:val="FirstParagraph"/>
        <w:widowControl/>
      </w:pPr>
      <w:r>
        <w:t xml:space="preserve">Theorem 4 explains mathematically why empirical test-time adaptation gates frequently abstain</w:t>
      </w:r>
      <w:r>
        <w:t xml:space="preserve"> </w:t>
      </w:r>
      <w:r>
        <w:t xml:space="preserve">when rigorous population validity is demanded.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m:t>b</m:t>
        </m:r>
        <m:r>
          <m:rPr>
            <m:sty m:val="p"/>
          </m:rPr>
          <m:t>(</m:t>
        </m:r>
        <m:r>
          <m:t>m</m:t>
        </m:r>
        <m:r>
          <m:rPr>
            <m:sty m:val="p"/>
          </m:rPr>
          <m:t>,</m:t>
        </m:r>
        <m:r>
          <m:t>δ</m:t>
        </m:r>
        <m:r>
          <m:rPr>
            <m:sty m:val="p"/>
          </m:rPr>
          <m:t>)</m:t>
        </m:r>
      </m:oMath>
      <w:r>
        <w:t xml:space="preserve"> </w:t>
      </w:r>
      <w:r>
        <w:t xml:space="preserve">for paired zero-one accuracy differences at</w:t>
      </w:r>
      <w:r>
        <w:t xml:space="preserve"> </w:t>
      </w:r>
      <m:oMath>
        <m:r>
          <m:t>δ</m:t>
        </m:r>
        <m:r>
          <m:rPr>
            <m:sty m:val="p"/>
          </m:rPr>
          <m:t>=</m:t>
        </m:r>
        <m:r>
          <m:t>0.05</m:t>
        </m:r>
      </m:oMath>
      <w:r>
        <w:t xml:space="preserve"> </w:t>
      </w:r>
      <w:r>
        <w:t xml:space="preserve">(</w:t>
      </w:r>
      <m:oMath>
        <m:r>
          <m:t>95</m:t>
        </m:r>
        <m:r>
          <m:rPr>
            <m:sty m:val="p"/>
          </m:rPr>
          <m:t>%</m:t>
        </m:r>
      </m:oMath>
      <w:r>
        <w:t xml:space="preserve"> </w:t>
      </w:r>
      <w:r>
        <w:t xml:space="preserve">concentration confidence) across evaluation sample sizes</w:t>
      </w:r>
      <w:r>
        <w:t xml:space="preserve"> </w:t>
      </w:r>
      <m:oMath>
        <m:r>
          <m:t>m</m:t>
        </m:r>
      </m:oMath>
      <w:r>
        <w:t xml:space="preserve">.</w:t>
      </w:r>
    </w:p>
    <w:tbl>
      <w:tblPr>
        <w:tblStyle w:val="Table"/>
        <w:tblW w:type="dxa" w:w="9960"/>
        <w:jc w:val="left"/>
        <w:tblLayout w:type="fixed"/>
        <w:tblLook w:firstRow="0" w:lastRow="0" w:firstColumn="0" w:lastColumn="0" w:noHBand="0" w:noVBand="0" w:val="000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31"/>
        <w:gridCol w:w="3464"/>
        <w:gridCol w:w="3465"/>
      </w:tblGrid>
      <w:tr>
        <w:trPr>
          <w:cantSplit w:val="true"/>
          <w:tblHeader w:val="true"/>
        </w:trPr>
        <w:tc>
          <w:tcPr>
            <w:tcW w:w="3031"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4"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5"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Size</w:t>
            </w:r>
            <w:r>
              <w:rPr>
                <w:rFonts w:ascii="Times New Roman" w:hAnsi="Times New Roman"/>
                <w:sz w:val="17"/>
              </w:rPr>
              <w:t xml:space="preserve"> </w:t>
            </w:r>
            <m:oMath>
              <m:r>
                <m:t>m</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r>
                <m:t>0.05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r>
                <m:t>ε</m:t>
              </m:r>
              <m:r>
                <m:rPr>
                  <m:sty m:val="p"/>
                </m:rPr>
                <m:t>=</m:t>
              </m:r>
              <m:r>
                <m:t>0.015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64</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0.3396</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0.3546</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0.1921</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0.2071</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512</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0.1200</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0.1350</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0.0859</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0.1009</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0.0384</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0.0534</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0.0272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0.0422</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0.0192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85"/>
    <w:bookmarkStart w:id="86"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t> </m:t>
          </m:r>
          <m:r>
            <m:rPr>
              <m:nor/>
              <m:sty m:val="p"/>
            </m:rPr>
            <m:t>(22)</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t> </m:t>
          </m:r>
          <m:r>
            <m:rPr>
              <m:nor/>
              <m:sty m:val="p"/>
            </m:rPr>
            <m:t>(23)</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t> </m:t>
          </m:r>
          <m:r>
            <m:rPr>
              <m:nor/>
              <m:sty m:val="p"/>
            </m:rPr>
            <m:t>(24)</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86"/>
    <w:bookmarkStart w:id="90"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1"/>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1"/>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1"/>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87"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87"/>
    <w:bookmarkStart w:id="88"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BodyText"/>
        <w:widowControl/>
      </w:pPr>
      <w:r>
        <w:t xml:space="preserve">@rcccc@</w:t>
      </w:r>
      <w:r>
        <w:t xml:space="preserve"> </w:t>
      </w:r>
      <m:oMath>
        <m:sSub>
          <m:e>
            <m:r>
              <m:t>N</m:t>
            </m:r>
          </m:e>
          <m:sub>
            <m:r>
              <m:rPr>
                <m:sty m:val="p"/>
              </m:rPr>
              <m:t>c</m:t>
            </m:r>
            <m:r>
              <m:rPr>
                <m:sty m:val="p"/>
              </m:rPr>
              <m:t>a</m:t>
            </m:r>
            <m:r>
              <m:rPr>
                <m:sty m:val="p"/>
              </m:rPr>
              <m:t>l</m:t>
            </m:r>
          </m:sub>
        </m:sSub>
      </m:oMath>
      <w:r>
        <w:t xml:space="preserve"> </w:t>
      </w:r>
      <w:r>
        <w:t xml:space="preserve">&amp;</w:t>
      </w:r>
      <w:r>
        <w:t xml:space="preserve"> </w:t>
      </w:r>
      <m:oMath>
        <m:r>
          <m:t>m</m:t>
        </m:r>
        <m:r>
          <m:rPr>
            <m:sty m:val="p"/>
          </m:rPr>
          <m:t>=</m:t>
        </m:r>
        <m:r>
          <m:t>32</m:t>
        </m:r>
      </m:oMath>
      <w:r>
        <w:t xml:space="preserve"> </w:t>
      </w:r>
      <w:r>
        <w:t xml:space="preserve">(</w:t>
      </w:r>
      <m:oMath>
        <m:r>
          <m:t>b</m:t>
        </m:r>
        <m:r>
          <m:rPr>
            <m:sty m:val="p"/>
          </m:rPr>
          <m:t>=</m:t>
        </m:r>
        <m:r>
          <m:t>0.480</m:t>
        </m:r>
      </m:oMath>
      <w:r>
        <w:t xml:space="preserve">) &amp;</w:t>
      </w:r>
      <w:r>
        <w:t xml:space="preserve"> </w:t>
      </w:r>
      <m:oMath>
        <m:r>
          <m:t>m</m:t>
        </m:r>
        <m:r>
          <m:rPr>
            <m:sty m:val="p"/>
          </m:rPr>
          <m:t>=</m:t>
        </m:r>
        <m:r>
          <m:t>128</m:t>
        </m:r>
      </m:oMath>
      <w:r>
        <w:t xml:space="preserve"> </w:t>
      </w:r>
      <w:r>
        <w:t xml:space="preserve">(</w:t>
      </w:r>
      <m:oMath>
        <m:r>
          <m:t>b</m:t>
        </m:r>
        <m:r>
          <m:rPr>
            <m:sty m:val="p"/>
          </m:rPr>
          <m:t>=</m:t>
        </m:r>
        <m:r>
          <m:t>0.240</m:t>
        </m:r>
      </m:oMath>
      <w:r>
        <w:t xml:space="preserve">) &amp;</w:t>
      </w:r>
      <w:r>
        <w:t xml:space="preserve"> </w:t>
      </w:r>
      <m:oMath>
        <m:r>
          <m:t>m</m:t>
        </m:r>
        <m:r>
          <m:rPr>
            <m:sty m:val="p"/>
          </m:rPr>
          <m:t>=</m:t>
        </m:r>
        <m:r>
          <m:t>512</m:t>
        </m:r>
      </m:oMath>
      <w:r>
        <w:t xml:space="preserve"> </w:t>
      </w:r>
      <w:r>
        <w:t xml:space="preserve">(</w:t>
      </w:r>
      <m:oMath>
        <m:r>
          <m:t>b</m:t>
        </m:r>
        <m:r>
          <m:rPr>
            <m:sty m:val="p"/>
          </m:rPr>
          <m:t>=</m:t>
        </m:r>
        <m:r>
          <m:t>0.120</m:t>
        </m:r>
      </m:oMath>
      <w:r>
        <w:t xml:space="preserve">) &amp;</w:t>
      </w:r>
      <w:r>
        <w:t xml:space="preserve"> </w:t>
      </w:r>
      <m:oMath>
        <m:r>
          <m:t>m</m:t>
        </m:r>
        <m:r>
          <m:rPr>
            <m:sty m:val="p"/>
          </m:rPr>
          <m:t>=</m:t>
        </m:r>
        <m:r>
          <m:t>2048</m:t>
        </m:r>
      </m:oMath>
      <w:r>
        <w:t xml:space="preserve"> </w:t>
      </w:r>
      <w:r>
        <w:t xml:space="preserve">(</w:t>
      </w:r>
      <m:oMath>
        <m:r>
          <m:t>b</m:t>
        </m:r>
        <m:r>
          <m:rPr>
            <m:sty m:val="p"/>
          </m:rPr>
          <m:t>=</m:t>
        </m:r>
        <m:r>
          <m:t>0.061</m:t>
        </m:r>
      </m:oMath>
      <w:r>
        <w:t xml:space="preserve">)</w:t>
      </w:r>
      <w:r>
        <w:br/>
      </w:r>
      <w:r>
        <w:br/>
      </w:r>
      <w:r>
        <w:t xml:space="preserve">All</w:t>
      </w:r>
      <w:r>
        <w:t xml:space="preserve"> </w:t>
      </w:r>
      <m:oMath>
        <m:r>
          <m:t>N</m:t>
        </m:r>
      </m:oMath>
      <w:r>
        <w:t xml:space="preserve"> </w:t>
      </w:r>
      <w:r>
        <w:t xml:space="preserve">&amp;</w:t>
      </w:r>
      <w:r>
        <w:t xml:space="preserve"> </w:t>
      </w:r>
      <m:oMath>
        <m:r>
          <m:t>0.309</m:t>
        </m:r>
      </m:oMath>
      <w:r>
        <w:t xml:space="preserve">–</w:t>
      </w:r>
      <m:oMath>
        <m:r>
          <m:t>0.356</m:t>
        </m:r>
      </m:oMath>
      <w:r>
        <w:t xml:space="preserve"> </w:t>
      </w:r>
      <w:r>
        <w:t xml:space="preserve">/</w:t>
      </w:r>
      <w:r>
        <w:t xml:space="preserve"> </w:t>
      </w:r>
      <m:oMath>
        <m:r>
          <m:t>0.000</m:t>
        </m:r>
      </m:oMath>
      <w:r>
        <w:t xml:space="preserve"> </w:t>
      </w:r>
      <w:r>
        <w:t xml:space="preserve">&amp;</w:t>
      </w:r>
      <w:r>
        <w:t xml:space="preserve"> </w:t>
      </w:r>
      <m:oMath>
        <m:r>
          <m:t>0.313</m:t>
        </m:r>
      </m:oMath>
      <w:r>
        <w:t xml:space="preserve">–</w:t>
      </w:r>
      <m:oMath>
        <m:r>
          <m:t>0.332</m:t>
        </m:r>
      </m:oMath>
      <w:r>
        <w:t xml:space="preserve"> </w:t>
      </w:r>
      <w:r>
        <w:t xml:space="preserve">/</w:t>
      </w:r>
      <w:r>
        <w:t xml:space="preserve"> </w:t>
      </w:r>
      <m:oMath>
        <m:r>
          <m:t>0.000</m:t>
        </m:r>
      </m:oMath>
      <w:r>
        <w:t xml:space="preserve"> </w:t>
      </w:r>
      <w:r>
        <w:t xml:space="preserve">&amp;</w:t>
      </w:r>
      <w:r>
        <w:t xml:space="preserve"> </w:t>
      </w:r>
      <m:oMath>
        <m:r>
          <m:t>0.314</m:t>
        </m:r>
      </m:oMath>
      <w:r>
        <w:t xml:space="preserve">–</w:t>
      </w:r>
      <m:oMath>
        <m:r>
          <m:t>0.353</m:t>
        </m:r>
      </m:oMath>
      <w:r>
        <w:t xml:space="preserve"> </w:t>
      </w:r>
      <w:r>
        <w:t xml:space="preserve">/</w:t>
      </w:r>
      <w:r>
        <w:t xml:space="preserve"> </w:t>
      </w:r>
      <m:oMath>
        <m:r>
          <m:t>0.000</m:t>
        </m:r>
      </m:oMath>
      <w:r>
        <w:t xml:space="preserve"> </w:t>
      </w:r>
      <w:r>
        <w:t xml:space="preserve">&amp;</w:t>
      </w:r>
      <w:r>
        <w:t xml:space="preserve"> </w:t>
      </w:r>
      <m:oMath>
        <m:r>
          <m:t>0.326</m:t>
        </m:r>
      </m:oMath>
      <w:r>
        <w:t xml:space="preserve">–</w:t>
      </w:r>
      <m:oMath>
        <m:r>
          <m:t>0.340</m:t>
        </m:r>
      </m:oMath>
      <w:r>
        <w:t xml:space="preserve"> </w:t>
      </w:r>
      <w:r>
        <w:t xml:space="preserve">/</w:t>
      </w:r>
      <w:r>
        <w:t xml:space="preserve"> </w:t>
      </w:r>
      <m:oMath>
        <m:r>
          <m:t>0.000</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0.327</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0.313</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0.940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0.960</m:t>
        </m:r>
      </m:oMath>
      <w:r>
        <w:t xml:space="preserve"> </w:t>
      </w:r>
      <w:r>
        <w:t xml:space="preserve">/</w:t>
      </w:r>
      <w:r>
        <w:t xml:space="preserve"> </w:t>
      </w:r>
      <m:oMath>
        <m:r>
          <m:t>0.000</m:t>
        </m:r>
      </m:oMath>
      <w:r>
        <w:t xml:space="preserve"> </w:t>
      </w:r>
      <w:r>
        <w:t xml:space="preserve">/</w:t>
      </w:r>
      <w:r>
        <w:t xml:space="preserve"> </w:t>
      </w:r>
      <m:oMath>
        <m:r>
          <m:t>0.348</m:t>
        </m:r>
      </m:oMath>
      <w:r>
        <w:t xml:space="preserve"> </w:t>
      </w:r>
      <w:r>
        <w:t xml:space="preserve">&amp;</w:t>
      </w:r>
      <w:r>
        <w:t xml:space="preserve"> </w:t>
      </w:r>
      <m:oMath>
        <m:r>
          <m:t>0.946</m:t>
        </m:r>
      </m:oMath>
      <w:r>
        <w:t xml:space="preserve"> </w:t>
      </w:r>
      <w:r>
        <w:t xml:space="preserve">/</w:t>
      </w:r>
      <w:r>
        <w:t xml:space="preserve"> </w:t>
      </w:r>
      <m:oMath>
        <m:r>
          <m:t>0.000</m:t>
        </m:r>
      </m:oMath>
      <w:r>
        <w:t xml:space="preserve"> </w:t>
      </w:r>
      <w:r>
        <w:t xml:space="preserve">/</w:t>
      </w:r>
      <w:r>
        <w:t xml:space="preserve"> </w:t>
      </w:r>
      <m:oMath>
        <m:r>
          <m:t>0.319</m:t>
        </m:r>
      </m:oMath>
      <w:r>
        <w:t xml:space="preserve"> </w:t>
      </w:r>
      <w:r>
        <w:t xml:space="preserve">&amp;</w:t>
      </w:r>
      <w:r>
        <w:t xml:space="preserve"> </w:t>
      </w:r>
      <m:oMath>
        <m:r>
          <m:t>0.956</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0.952</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0.357</m:t>
        </m:r>
      </m:oMath>
      <w:r>
        <w:t xml:space="preserve"> </w:t>
      </w:r>
      <w:r>
        <w:t xml:space="preserve">&amp;</w:t>
      </w:r>
      <w:r>
        <w:t xml:space="preserve"> </w:t>
      </w:r>
      <m:oMath>
        <m:r>
          <m:t>0.947</m:t>
        </m:r>
      </m:oMath>
      <w:r>
        <w:t xml:space="preserve"> </w:t>
      </w:r>
      <w:r>
        <w:t xml:space="preserve">/</w:t>
      </w:r>
      <w:r>
        <w:t xml:space="preserve"> </w:t>
      </w:r>
      <m:oMath>
        <m:r>
          <m:t>0.000</m:t>
        </m:r>
      </m:oMath>
      <w:r>
        <w:t xml:space="preserve"> </w:t>
      </w:r>
      <w:r>
        <w:t xml:space="preserve">/</w:t>
      </w:r>
      <w:r>
        <w:t xml:space="preserve"> </w:t>
      </w:r>
      <m:oMath>
        <m:r>
          <m:t>0.325</m:t>
        </m:r>
      </m:oMath>
      <w:r>
        <w:t xml:space="preserve"> </w:t>
      </w:r>
      <w:r>
        <w:t xml:space="preserve">&amp;</w:t>
      </w:r>
      <w:r>
        <w:t xml:space="preserve"> </w:t>
      </w:r>
      <m:oMath>
        <m:r>
          <m:t>0.939</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0.965</m:t>
        </m:r>
      </m:oMath>
      <w:r>
        <w:t xml:space="preserve"> </w:t>
      </w:r>
      <w:r>
        <w:t xml:space="preserve">/</w:t>
      </w:r>
      <w:r>
        <w:t xml:space="preserve"> </w:t>
      </w:r>
      <m:oMath>
        <m:r>
          <m:t>0.000</m:t>
        </m:r>
      </m:oMath>
      <w:r>
        <w:t xml:space="preserve"> </w:t>
      </w:r>
      <w:r>
        <w:t xml:space="preserve">/</w:t>
      </w:r>
      <w:r>
        <w:t xml:space="preserve"> </w:t>
      </w:r>
      <m:oMath>
        <m:r>
          <m:t>0.326</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0.342</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0.338</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0.327</m:t>
        </m:r>
      </m:oMath>
      <w:r>
        <w:br/>
      </w:r>
    </w:p>
    <w:p>
      <w:pPr>
        <w:pStyle w:val="TableCaption"/>
        <w:widowControl/>
      </w:pPr>
      <w:r>
        <w:t xml:space="preserve">Table 15. Synthetic population diagnostic under exact Bayes-optimal prediction (300 trials/cell;</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Entries report empirical Cell Coverage / Abstention rate. Across all 16 cells, the finite simulation observed empirical population inclusion of</w:t>
      </w:r>
      <w:r>
        <w:t xml:space="preserve"> </w:t>
      </w:r>
      <m:oMath>
        <m:r>
          <m:t>1.000</m:t>
        </m:r>
      </m:oMath>
      <w:r>
        <w:t xml:space="preserve"> </w:t>
      </w:r>
      <w:r>
        <w:t xml:space="preserve">and wrong-direction error of</w:t>
      </w:r>
      <w:r>
        <w:t xml:space="preserve"> </w:t>
      </w:r>
      <m:oMath>
        <m:r>
          <m:t>0.000</m:t>
        </m:r>
      </m:oMath>
      <w:r>
        <w:t xml:space="preserve">; this is not a universal coverage guarantee. Sampling radii:</w:t>
      </w:r>
      <w:r>
        <w:t xml:space="preserve"> </w:t>
      </w:r>
      <m:oMath>
        <m:r>
          <m:t>b</m:t>
        </m:r>
        <m:r>
          <m:rPr>
            <m:sty m:val="p"/>
          </m:rPr>
          <m:t>(</m:t>
        </m:r>
        <m:r>
          <m:t>32</m:t>
        </m:r>
        <m:r>
          <m:rPr>
            <m:sty m:val="p"/>
          </m:rPr>
          <m:t>)</m:t>
        </m:r>
        <m:r>
          <m:rPr>
            <m:sty m:val="p"/>
          </m:rPr>
          <m:t>=</m:t>
        </m:r>
        <m:r>
          <m:t>0.4802</m:t>
        </m:r>
      </m:oMath>
      <w:r>
        <w:t xml:space="preserve">,</w:t>
      </w:r>
      <w:r>
        <w:t xml:space="preserve"> </w:t>
      </w:r>
      <m:oMath>
        <m:r>
          <m:t>b</m:t>
        </m:r>
        <m:r>
          <m:rPr>
            <m:sty m:val="p"/>
          </m:rPr>
          <m:t>(</m:t>
        </m:r>
        <m:r>
          <m:t>128</m:t>
        </m:r>
        <m:r>
          <m:rPr>
            <m:sty m:val="p"/>
          </m:rPr>
          <m:t>)</m:t>
        </m:r>
        <m:r>
          <m:rPr>
            <m:sty m:val="p"/>
          </m:rPr>
          <m:t>=</m:t>
        </m:r>
        <m:r>
          <m:t>0.2401</m:t>
        </m:r>
      </m:oMath>
      <w:r>
        <w:t xml:space="preserve">,</w:t>
      </w:r>
      <w:r>
        <w:t xml:space="preserve"> </w:t>
      </w:r>
      <m:oMath>
        <m:r>
          <m:t>b</m:t>
        </m:r>
        <m:r>
          <m:rPr>
            <m:sty m:val="p"/>
          </m:rPr>
          <m:t>(</m:t>
        </m:r>
        <m:r>
          <m:t>512</m:t>
        </m:r>
        <m:r>
          <m:rPr>
            <m:sty m:val="p"/>
          </m:rPr>
          <m:t>)</m:t>
        </m:r>
        <m:r>
          <m:rPr>
            <m:sty m:val="p"/>
          </m:rPr>
          <m:t>=</m:t>
        </m:r>
        <m:r>
          <m:t>0.1200</m:t>
        </m:r>
      </m:oMath>
      <w:r>
        <w:t xml:space="preserve">,</w:t>
      </w:r>
      <w:r>
        <w:t xml:space="preserve"> </w:t>
      </w:r>
      <m:oMath>
        <m:r>
          <m:t>b</m:t>
        </m:r>
        <m:r>
          <m:rPr>
            <m:sty m:val="p"/>
          </m:rPr>
          <m:t>(</m:t>
        </m:r>
        <m:r>
          <m:t>2048</m:t>
        </m:r>
        <m:r>
          <m:rPr>
            <m:sty m:val="p"/>
          </m:rPr>
          <m:t>)</m:t>
        </m:r>
        <m:r>
          <m:rPr>
            <m:sty m:val="p"/>
          </m:rPr>
          <m:t>=</m:t>
        </m:r>
        <m:r>
          <m:t>0.0600</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m:t>N</m:t>
                  </m:r>
                </m:e>
                <m:sub>
                  <m:r>
                    <m:rPr>
                      <m:sty m:val="p"/>
                    </m:rPr>
                    <m:t>c</m:t>
                  </m:r>
                  <m:r>
                    <m:rPr>
                      <m:sty m:val="p"/>
                    </m:rPr>
                    <m:t>a</m:t>
                  </m:r>
                  <m:r>
                    <m:rPr>
                      <m:sty m:val="p"/>
                    </m: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88"/>
    <w:bookmarkStart w:id="89"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0.0519</m:t>
              </m:r>
            </m:oMath>
            <w:r>
              <w:rPr>
                <w:rFonts w:ascii="Times New Roman" w:hAnsi="Times New Roman"/>
                <w:sz w:val="16"/>
              </w:rPr>
              <w:t xml:space="preserve"> </w:t>
            </w:r>
            <w:r>
              <w:rPr>
                <w:rFonts w:ascii="Times New Roman" w:hAnsi="Times New Roman"/>
                <w:sz w:val="16"/>
              </w:rPr>
              <w:t>[</w:t>
            </w:r>
            <m:oMath>
              <m:r>
                <m:t>0.0331</m:t>
              </m:r>
            </m:oMath>
            <w:r>
              <w:rPr>
                <w:rFonts w:ascii="Times New Roman" w:hAnsi="Times New Roman"/>
                <w:sz w:val="16"/>
              </w:rPr>
              <w:t>,</w:t>
            </w:r>
            <w:r>
              <w:rPr>
                <w:rFonts w:ascii="Times New Roman" w:hAnsi="Times New Roman"/>
                <w:sz w:val="16"/>
              </w:rPr>
              <w:t xml:space="preserve"> </w:t>
            </w:r>
            <m:oMath>
              <m: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0.0292</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0.1184</m:t>
              </m:r>
            </m:oMath>
            <w:r>
              <w:rPr>
                <w:rFonts w:ascii="Times New Roman" w:hAnsi="Times New Roman"/>
                <w:sz w:val="16"/>
              </w:rPr>
              <w:t xml:space="preserve"> </w:t>
            </w:r>
            <w:r>
              <w:rPr>
                <w:rFonts w:ascii="Times New Roman" w:hAnsi="Times New Roman"/>
                <w:sz w:val="16"/>
              </w:rPr>
              <w:t>[</w:t>
            </w:r>
            <m:oMath>
              <m:r>
                <m:t>0.0365</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m:t>0.0665</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0" w:lastRow="0" w:firstColumn="0" w:lastColumn="0" w:noHBand="0" w:noVBand="0" w:val="000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1"/>
        <w:gridCol w:w="1288"/>
        <w:gridCol w:w="2070"/>
        <w:gridCol w:w="1622"/>
        <w:gridCol w:w="1062"/>
        <w:gridCol w:w="2277"/>
      </w:tblGrid>
      <w:tr>
        <w:trPr>
          <w:cantSplit w:val="true"/>
          <w:tblHeader w:val="true"/>
        </w:trPr>
        <w:tc>
          <w:tcPr>
            <w:tcW w:w="16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288" w:type="dxa"/>
            <w:vAlign w:val="center"/>
            <w:tcMar>
              <w:top w:w="60" w:type="dxa"/>
              <w:start w:w="80" w:type="dxa"/>
              <w:bottom w:w="60" w:type="dxa"/>
              <w:end w:w="80" w:type="dxa"/>
            </w:tcMar>
            <w:shd w:fill="E8EEF5"/>
          </w:tcPr>
          <w:p>
            <w:pPr>
              <w:pStyle w:val="Compact"/>
              <w:keepNext/>
              <w:spacing w:before="0" w:after="0" w:line="240" w:lineRule="auto"/>
              <w:jc w:val="center"/>
            </w:pPr>
          </w:p>
        </w:tc>
        <w:tc>
          <w:tcPr>
            <w:tcW w:w="2070" w:type="dxa"/>
            <w:vAlign w:val="center"/>
            <w:tcMar>
              <w:top w:w="60" w:type="dxa"/>
              <w:start w:w="80" w:type="dxa"/>
              <w:bottom w:w="60" w:type="dxa"/>
              <w:end w:w="80" w:type="dxa"/>
            </w:tcMar>
            <w:shd w:fill="E8EEF5"/>
          </w:tcPr>
          <w:p>
            <w:pPr>
              <w:pStyle w:val="Compact"/>
              <w:keepNext/>
              <w:spacing w:before="0" w:after="0" w:line="240" w:lineRule="auto"/>
              <w:jc w:val="center"/>
            </w:pPr>
          </w:p>
        </w:tc>
        <w:tc>
          <w:tcPr>
            <w:tcW w:w="1622" w:type="dxa"/>
            <w:vAlign w:val="center"/>
            <w:tcMar>
              <w:top w:w="60" w:type="dxa"/>
              <w:start w:w="80" w:type="dxa"/>
              <w:bottom w:w="60" w:type="dxa"/>
              <w:end w:w="80" w:type="dxa"/>
            </w:tcMar>
            <w:shd w:fill="E8EEF5"/>
          </w:tcPr>
          <w:p>
            <w:pPr>
              <w:pStyle w:val="Compact"/>
              <w:keepNext/>
              <w:spacing w:before="0" w:after="0" w:line="240" w:lineRule="auto"/>
              <w:jc w:val="center"/>
            </w:pPr>
          </w:p>
        </w:tc>
        <w:tc>
          <w:tcPr>
            <w:tcW w:w="1062" w:type="dxa"/>
            <w:vAlign w:val="center"/>
            <w:tcMar>
              <w:top w:w="60" w:type="dxa"/>
              <w:start w:w="80" w:type="dxa"/>
              <w:bottom w:w="60" w:type="dxa"/>
              <w:end w:w="80" w:type="dxa"/>
            </w:tcMar>
            <w:shd w:fill="E8EEF5"/>
          </w:tcPr>
          <w:p>
            <w:pPr>
              <w:pStyle w:val="Compact"/>
              <w:keepNext/>
              <w:spacing w:before="0" w:after="0" w:line="240" w:lineRule="auto"/>
              <w:jc w:val="center"/>
            </w:pPr>
          </w:p>
        </w:tc>
        <w:tc>
          <w:tcPr>
            <w:tcW w:w="227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cell / compound</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20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Population truth</w:t>
            </w: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Tent</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 / 0 / 18</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 / 0 / 35</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EATA</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20 / 0 / 16</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0 / 36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SAR</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 / 11 / 23</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10 / 26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28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106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89"/>
    <w:bookmarkEnd w:id="90"/>
    <w:bookmarkEnd w:id="91"/>
    <w:bookmarkStart w:id="122"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2"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m:t>n</m:t>
        </m:r>
        <m:r>
          <m:rPr>
            <m:sty m:val="p"/>
          </m:rPr>
          <m:t>=</m:t>
        </m:r>
        <m: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2"/>
    <w:bookmarkStart w:id="93"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3"/>
    <w:bookmarkStart w:id="104"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94"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94"/>
    <w:bookmarkStart w:id="95"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m:t>{</m:t>
        </m:r>
        <m:r>
          <m:t>16</m:t>
        </m:r>
        <m:r>
          <m:rPr>
            <m:sty m:val="p"/>
          </m:rPr>
          <m:t>,</m:t>
        </m:r>
        <m:r>
          <m:t>32</m:t>
        </m:r>
        <m:r>
          <m:rPr>
            <m:sty m:val="p"/>
          </m:rPr>
          <m:t>,</m:t>
        </m:r>
        <m:r>
          <m:t>64</m:t>
        </m:r>
        <m:r>
          <m:rPr>
            <m:sty m:val="p"/>
          </m:rPr>
          <m:t>}</m:t>
        </m:r>
      </m:oMath>
      <w:r>
        <w:t xml:space="preserve"> </w:t>
      </w:r>
      <w:r>
        <w:t xml:space="preserve">[3 sizes], evaluated across 2 distinct sample windows per condition:</w:t>
      </w:r>
      <w:r>
        <w:t xml:space="preserve"> </w:t>
      </w:r>
      <m:oMath>
        <m:r>
          <m:t>2</m:t>
        </m:r>
        <m:r>
          <m:rPr>
            <m:sty m:val="p"/>
          </m:rPr>
          <m:t>×</m:t>
        </m:r>
        <m:r>
          <m:t>5</m:t>
        </m:r>
        <m:r>
          <m:rPr>
            <m:sty m:val="p"/>
          </m:rPr>
          <m:t>×</m:t>
        </m:r>
        <m:r>
          <m:t>3</m:t>
        </m:r>
        <m:r>
          <m:rPr>
            <m:sty m:val="p"/>
          </m:rPr>
          <m:t>×</m:t>
        </m:r>
        <m:r>
          <m:t>2</m:t>
        </m:r>
        <m:r>
          <m:rPr>
            <m:sty m:val="p"/>
          </m:rPr>
          <m:t>=</m:t>
        </m:r>
        <m: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m:t>2.5</m:t>
              </m:r>
              <m:r>
                <m:rPr>
                  <m:sty m:val="p"/>
                </m:rPr>
                <m:t>×</m:t>
              </m:r>
              <m:sSup>
                <m:e>
                  <m:r>
                    <m:t>10</m:t>
                  </m:r>
                </m:e>
                <m:sup>
                  <m:r>
                    <m:rPr>
                      <m:sty m:val="p"/>
                    </m:rPr>
                    <m:t>−</m:t>
                  </m:r>
                  <m: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m:t>4</m:t>
              </m:r>
              <m:r>
                <m:rPr>
                  <m:sty m:val="p"/>
                </m:rPr>
                <m:t>×</m:t>
              </m:r>
              <m:sSup>
                <m:e>
                  <m:r>
                    <m:t>10</m:t>
                  </m:r>
                </m:e>
                <m:sup>
                  <m:r>
                    <m:rPr>
                      <m:sty m:val="p"/>
                    </m:rPr>
                    <m:t>−</m:t>
                  </m:r>
                  <m: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95"/>
    <w:bookmarkStart w:id="96"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affine; 3 corruptions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w:t>
      </w:r>
      <w:r>
        <w:t xml:space="preserve"> </w:t>
      </w:r>
      <m:oMath>
        <m:r>
          <m:rPr>
            <m:sty m:val="p"/>
          </m:rPr>
          <m:t>=</m:t>
        </m:r>
        <m:r>
          <m:t>27</m:t>
        </m:r>
      </m:oMath>
      <w:r>
        <w:t xml:space="preserve"> </w:t>
      </w:r>
      <w:r>
        <w:t xml:space="preserve">cells; small batch regime, 25 helpful</w:t>
      </w:r>
      <w:r>
        <w:t xml:space="preserve"> </w:t>
      </w:r>
      <m:oMath>
        <m:r>
          <m:t>B</m:t>
        </m:r>
        <m:r>
          <m:rPr>
            <m:sty m:val="p"/>
          </m:rPr>
          <m:t>&gt;</m:t>
        </m:r>
        <m:r>
          <m:t>0</m:t>
        </m:r>
      </m:oMath>
      <w:r>
        <w:t xml:space="preserve">, 0 harmful</w:t>
      </w:r>
      <w:r>
        <w:t xml:space="preserve"> </w:t>
      </w:r>
      <m:oMath>
        <m:r>
          <m:t>B</m:t>
        </m:r>
        <m:r>
          <m:rPr>
            <m:sty m:val="p"/>
          </m:rPr>
          <m:t>&lt;</m:t>
        </m:r>
        <m:r>
          <m:t>0</m:t>
        </m:r>
      </m:oMath>
      <w:r>
        <w:t xml:space="preserve">, 2 neutral</w:t>
      </w:r>
      <w:r>
        <w:t xml:space="preserve"> </w:t>
      </w:r>
      <m:oMath>
        <m:r>
          <m:t>B</m:t>
        </m:r>
        <m:r>
          <m:rPr>
            <m:sty m:val="p"/>
          </m:rPr>
          <m:t>=</m:t>
        </m:r>
        <m:r>
          <m:t>0</m:t>
        </m:r>
      </m:oMath>
      <w:r>
        <w:t xml:space="preserve">). This replay does not repair upstream BatchNorm behavior. Clean Cross-Fit KGA uses Protocol B (5-fold outcome-disjoint cross-fitting,</w:t>
      </w:r>
      <w:r>
        <w:t xml:space="preserve"> </w:t>
      </w:r>
      <m:oMath>
        <m:r>
          <m:t>α</m:t>
        </m:r>
        <m:r>
          <m:rPr>
            <m:sty m:val="p"/>
          </m:rPr>
          <m:t>=</m:t>
        </m:r>
        <m:r>
          <m:t>0.10</m:t>
        </m:r>
      </m:oMath>
      <w:r>
        <w:t xml:space="preserve">); Historical LOO KGA uses Protocol A (leave-one-cell-out exact rank,</w:t>
      </w:r>
      <w:r>
        <w:t xml:space="preserve"> </w:t>
      </w:r>
      <m:oMath>
        <m:r>
          <m:t>α</m:t>
        </m:r>
        <m:r>
          <m:rPr>
            <m:sty m:val="p"/>
          </m:rPr>
          <m:t>=</m:t>
        </m:r>
        <m:r>
          <m:t>0.10</m:t>
        </m:r>
      </m:oMath>
      <w:r>
        <w:t xml:space="preser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Helpful Captured is the fraction of the 25 helpful cells (</w:t>
      </w:r>
      <m:oMath>
        <m:r>
          <m:t>B</m:t>
        </m:r>
        <m:r>
          <m:rPr>
            <m:sty m:val="p"/>
          </m:rPr>
          <m:t>&gt;</m:t>
        </m:r>
        <m:r>
          <m:t>0</m:t>
        </m:r>
      </m:oMath>
      <w:r>
        <w:t xml:space="preserve">) receiving ADAPT. Baseline accuracy</w:t>
      </w:r>
      <w:r>
        <w:t xml:space="preserve"> </w:t>
      </w:r>
      <m:oMath>
        <m:sSub>
          <m:e>
            <m:r>
              <m:t>a</m:t>
            </m:r>
          </m:e>
          <m:sub>
            <m:r>
              <m:t>0</m:t>
            </m:r>
          </m:sub>
        </m:sSub>
        <m:r>
          <m:rPr>
            <m:sty m:val="p"/>
          </m:rPr>
          <m:t>=</m:t>
        </m:r>
        <m: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provides formal pipeline verification;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96"/>
    <w:bookmarkStart w:id="97"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97"/>
    <w:bookmarkStart w:id="98" w:name="X258975f366d1eeac6f5c59efc1205b2d80ac9b1"/>
    <w:p>
      <w:pPr>
        <w:pStyle w:val="Heading3"/>
        <w:keepNext/>
        <w:widowControl/>
        <w:spacing w:before="100" w:after="20" w:line="252" w:lineRule="auto"/>
      </w:pPr>
      <w:r>
        <w:rPr>
          <w:rFonts w:ascii="Times New Roman" w:hAnsi="Times New Roman" w:eastAsia="Times New Roman" w:cs="Times New Roman"/>
          <w:b/>
          <w:sz w:val="19"/>
        </w:rPr>
        <w:t xml:space="preserve">Authenticated Five-Arm Matched SAR Control Study (Task 4 Closeout).</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executed an authenticated five-arm matched ablation on the identical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Full provenance, SHA-256 manifests, and raw outputs are documented in the supplementary reproducibility archive.</w:t>
      </w:r>
    </w:p>
    <w:p>
      <w:pPr>
        <w:pStyle w:val="BodyText"/>
        <w:widowControl/>
      </w:pPr>
      <w:r>
        <w:t xml:space="preserve">Each arm record in the raw audit ledger contains a verified input sample hash (</w:t>
      </w:r>
      <w:r>
        <w:rPr>
          <w:rStyle w:val="VerbatimChar"/>
        </w:rPr>
        <w:t xml:space="preserve">sample_hash</w:t>
      </w:r>
      <w:r>
        <w:t xml:space="preserve">), pre- and post-adaptation model state hashes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explicit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identifying the exact intervention applied.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activates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verify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m:t>η</m:t>
        </m:r>
      </m:oMath>
      <w:r>
        <w:t xml:space="preserve"> </w:t>
      </w:r>
      <w:r>
        <w:t xml:space="preserve">and parameter mask (with layer 4 frozen vs adapted) on a shared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 Candidate accuracy</w:t>
      </w:r>
      <w:r>
        <w:t xml:space="preserve"> </w:t>
      </w:r>
      <m:oMath>
        <m:sSub>
          <m:e>
            <m:r>
              <m:t>a</m:t>
            </m:r>
          </m:e>
          <m:sub>
            <m:r>
              <m:rPr>
                <m:sty m:val="p"/>
              </m:rPr>
              <m:t>c</m:t>
            </m:r>
            <m:r>
              <m:rPr>
                <m:sty m:val="p"/>
              </m:rPr>
              <m:t>a</m:t>
            </m:r>
            <m:r>
              <m:rPr>
                <m:sty m:val="p"/>
              </m:rPr>
              <m:t>n</m:t>
            </m:r>
            <m:r>
              <m:rPr>
                <m:sty m:val="p"/>
              </m:rPr>
              <m:t>d</m:t>
            </m:r>
          </m:sub>
        </m:sSub>
      </m:oMath>
      <w:r>
        <w:t xml:space="preserve">, benefit</w:t>
      </w:r>
      <w:r>
        <w:t xml:space="preserve"> </w:t>
      </w:r>
      <m:oMath>
        <m:r>
          <m:rPr>
            <m:sty m:val="p"/>
          </m:rPr>
          <m:t>Δ</m:t>
        </m:r>
        <m:r>
          <m:rPr>
            <m:sty m:val="p"/>
          </m:rPr>
          <m:t>=</m:t>
        </m:r>
        <m:sSub>
          <m:e>
            <m:r>
              <m:t>a</m:t>
            </m:r>
          </m:e>
          <m:sub>
            <m:r>
              <m:rPr>
                <m:sty m:val="p"/>
              </m:rPr>
              <m:t>c</m:t>
            </m:r>
            <m:r>
              <m:rPr>
                <m:sty m:val="p"/>
              </m:rPr>
              <m:t>a</m:t>
            </m:r>
            <m:r>
              <m:rPr>
                <m:sty m:val="p"/>
              </m:rPr>
              <m:t>n</m:t>
            </m:r>
            <m:r>
              <m:rPr>
                <m:sty m:val="p"/>
              </m:rPr>
              <m:t>d</m:t>
            </m:r>
          </m:sub>
        </m:sSub>
        <m:r>
          <m:rPr>
            <m:sty m:val="p"/>
          </m:rPr>
          <m:t>−</m:t>
        </m:r>
        <m:sSub>
          <m:e>
            <m:r>
              <m:t>a</m:t>
            </m:r>
          </m:e>
          <m:sub>
            <m:r>
              <m:t>0</m:t>
            </m:r>
          </m:sub>
        </m:sSub>
      </m:oMath>
      <w:r>
        <w:t xml:space="preserve">, parameter update norm</w:t>
      </w:r>
      <w:r>
        <w:t xml:space="preserve"> </w:t>
      </w:r>
      <m:oMath>
        <m:r>
          <m:rPr>
            <m:sty m:val="p"/>
          </m:rPr>
          <m:t>∥</m:t>
        </m:r>
        <m:r>
          <m:rPr>
            <m:sty m:val="p"/>
          </m:rPr>
          <m:t>Δ</m:t>
        </m:r>
        <m:r>
          <m:t>θ</m:t>
        </m:r>
        <m:sSub>
          <m:e>
            <m:r>
              <m:rPr>
                <m:sty m:val="p"/>
              </m:rPr>
              <m:t>∥</m:t>
            </m:r>
          </m:e>
          <m:sub>
            <m:r>
              <m:t>2</m:t>
            </m:r>
          </m:sub>
        </m:sSub>
      </m:oMath>
      <w:r>
        <w:t xml:space="preserve">, Protocol B KGA routed accuracy</w:t>
      </w:r>
      <w:r>
        <w:t xml:space="preserve"> </w:t>
      </w:r>
      <m:oMath>
        <m:sSub>
          <m:e>
            <m:r>
              <m:t>a</m:t>
            </m:r>
          </m:e>
          <m:sub>
            <m:r>
              <m:rPr>
                <m:sty m:val="p"/>
              </m:rPr>
              <m:t>K</m:t>
            </m:r>
            <m:r>
              <m:rPr>
                <m:sty m:val="p"/>
              </m:rPr>
              <m:t>G</m:t>
            </m:r>
            <m:r>
              <m:rPr>
                <m:sty m:val="p"/>
              </m:rPr>
              <m:t>A</m:t>
            </m:r>
          </m:sub>
        </m:sSub>
      </m:oMath>
      <w:r>
        <w:t xml:space="preserve">, oracle regret</w:t>
      </w:r>
      <w:r>
        <w:t xml:space="preserve"> </w:t>
      </w:r>
      <m:oMath>
        <m:sSub>
          <m:e>
            <m:r>
              <m:t>R</m:t>
            </m:r>
          </m:e>
          <m:sub>
            <m:r>
              <m:rPr>
                <m:sty m:val="p"/>
              </m:rPr>
              <m:t>K</m:t>
            </m:r>
            <m:r>
              <m:rPr>
                <m:sty m:val="p"/>
              </m:rPr>
              <m:t>G</m:t>
            </m:r>
            <m:r>
              <m:rPr>
                <m:sty m:val="p"/>
              </m:rPr>
              <m:t>A</m:t>
            </m:r>
          </m:sub>
        </m:sSub>
      </m:oMath>
      <w:r>
        <w:t xml:space="preserve">, unconditional false adapt rate</w:t>
      </w:r>
      <w:r>
        <w:t xml:space="preserve"> </w:t>
      </w:r>
      <m:oMath>
        <m:sSub>
          <m:e>
            <m:r>
              <m:rPr>
                <m:sty m:val="p"/>
              </m:rPr>
              <m:t>F</m:t>
            </m:r>
            <m:r>
              <m:rPr>
                <m:sty m:val="p"/>
              </m:rPr>
              <m:t>A</m:t>
            </m:r>
          </m:e>
          <m:sub>
            <m:r>
              <m:t>u</m:t>
            </m:r>
          </m:sub>
        </m:sSub>
      </m:oMath>
      <w:r>
        <w:t xml:space="preserve">, and decision counts (Adapt / Freeze / Abstain) under exact rank conformal routing (</w:t>
      </w:r>
      <m:oMath>
        <m:r>
          <m:t>α</m:t>
        </m:r>
        <m:r>
          <m:rPr>
            <m:sty m:val="p"/>
          </m:rPr>
          <m:t>=</m:t>
        </m:r>
        <m:r>
          <m:t>0.10</m:t>
        </m:r>
        <m:r>
          <m:rPr>
            <m:sty m:val="p"/>
          </m:rPr>
          <m:t>,</m:t>
        </m:r>
        <m:r>
          <m:t>τ</m:t>
        </m:r>
        <m:r>
          <m:rPr>
            <m:sty m:val="p"/>
          </m:rPr>
          <m:t>=</m:t>
        </m:r>
        <m:r>
          <m:t>0</m:t>
        </m:r>
      </m:oMath>
      <w:r>
        <w:t xml:space="preserve">). Always Freeze regret is</w:t>
      </w:r>
      <w:r>
        <w:t xml:space="preserve"> </w:t>
      </w:r>
      <m:oMath>
        <m:r>
          <m:t>3.30</m:t>
        </m:r>
      </m:oMath>
      <w:r>
        <w:t xml:space="preserve">–</w:t>
      </w:r>
      <m:oMath>
        <m:r>
          <m:t>3.31</m:t>
        </m:r>
        <m:r>
          <m:t> </m:t>
        </m:r>
        <m:r>
          <m:rPr>
            <m:nor/>
            <m:sty m:val="p"/>
          </m:rPr>
          <m:t>pp</m:t>
        </m:r>
      </m:oMath>
      <w:r>
        <w:t xml:space="preserve"> </w:t>
      </w:r>
      <w:r>
        <w:t xml:space="preserve">across arms (</w:t>
      </w:r>
      <m:oMath>
        <m:r>
          <m:t>3.30</m:t>
        </m:r>
        <m:r>
          <m:t> </m:t>
        </m:r>
        <m:r>
          <m:rPr>
            <m:nor/>
            <m:sty m:val="p"/>
          </m:rPr>
          <m:t>pp</m:t>
        </m:r>
      </m:oMath>
      <w:r>
        <w:t xml:space="preserve"> </w:t>
      </w:r>
      <w:r>
        <w:t xml:space="preserve">for Arms 1–4,</w:t>
      </w:r>
      <w:r>
        <w:t xml:space="preserve"> </w:t>
      </w:r>
      <m:oMath>
        <m:r>
          <m:t>3.31</m:t>
        </m:r>
        <m:r>
          <m:t> </m:t>
        </m:r>
        <m:r>
          <m:rPr>
            <m:nor/>
            <m:sty m:val="p"/>
          </m:rPr>
          <m:t>pp</m:t>
        </m:r>
      </m:oMath>
      <w:r>
        <w:t xml:space="preserve"> </w:t>
      </w:r>
      <w:r>
        <w:t xml:space="preserve">for Arm 5); Always Adapt regret is</w:t>
      </w:r>
      <w:r>
        <w:t xml:space="preserve"> </w:t>
      </w:r>
      <m:oMath>
        <m:r>
          <m:t>0.00</m:t>
        </m:r>
        <m:r>
          <m:t> </m:t>
        </m:r>
        <m:r>
          <m:rPr>
            <m:nor/>
            <m:sty m:val="p"/>
          </m:rPr>
          <m:t>pp</m:t>
        </m:r>
      </m:oMath>
      <w:r>
        <w:t xml:space="preserve">. Benefit</w:t>
      </w:r>
      <w:r>
        <w:t xml:space="preserve"> </w:t>
      </w:r>
      <m:oMath>
        <m:r>
          <m:rPr>
            <m:sty m:val="p"/>
          </m: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09"/>
        <w:gridCol w:w="1897"/>
        <w:gridCol w:w="709"/>
        <w:gridCol w:w="1146"/>
        <w:gridCol w:w="709"/>
        <w:gridCol w:w="709"/>
        <w:gridCol w:w="709"/>
        <w:gridCol w:w="709"/>
        <w:gridCol w:w="709"/>
        <w:gridCol w:w="709"/>
        <w:gridCol w:w="1245"/>
      </w:tblGrid>
      <w:tr>
        <w:trPr>
          <w:tblHeader w:val="true"/>
          <w:cantSplit w:val="true"/>
        </w:trPr>
        <w:tc>
          <w:tcPr>
            <w:tcW w:w="7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8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η</m:t>
              </m:r>
            </m:oMath>
          </w:p>
        </w:tc>
        <w:tc>
          <w:tcPr>
            <w:tcW w:w="1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c</m:t>
                  </m:r>
                  <m:r>
                    <m:rPr>
                      <m:sty m:val="p"/>
                    </m:rPr>
                    <m:t>a</m:t>
                  </m:r>
                  <m:r>
                    <m:rPr>
                      <m:sty m:val="p"/>
                    </m:rPr>
                    <m:t>n</m:t>
                  </m:r>
                  <m:r>
                    <m:rPr>
                      <m:sty m:val="p"/>
                    </m:rPr>
                    <m:t>d</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Δ</m:t>
              </m:r>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m:t>
              </m:r>
              <m:r>
                <m:rPr>
                  <m:sty m:val="b"/>
                </m:rPr>
                <m:t>Δ</m:t>
              </m:r>
              <m:r>
                <m:rPr>
                  <m:sty m:val="bi"/>
                </m:rPr>
                <m:t>θ</m:t>
              </m:r>
              <m:sSub>
                <m:e>
                  <m:r>
                    <m:rPr>
                      <m:sty m:val="b"/>
                    </m:rPr>
                    <m:t>∥</m:t>
                  </m:r>
                </m:e>
                <m:sub>
                  <m:r>
                    <m:rPr>
                      <m:sty m:val="b"/>
                    </m:rPr>
                    <m:t>2</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R</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12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70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89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709"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98"/>
    <w:bookmarkStart w:id="99"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m:t>N</m:t>
        </m:r>
        <m:r>
          <m:rPr>
            <m:sty m:val="p"/>
          </m:rPr>
          <m:t>=</m:t>
        </m:r>
        <m: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m:t>P</m:t>
        </m:r>
        <m:r>
          <m:rPr>
            <m:sty m:val="p"/>
          </m:rPr>
          <m:t>[</m:t>
        </m:r>
        <m:r>
          <m:rPr>
            <m:nor/>
            <m:sty m:val="p"/>
          </m:rPr>
          <m:t>adapt</m:t>
        </m:r>
        <m:r>
          <m:rPr>
            <m:sty m:val="p"/>
          </m:rPr>
          <m:t>]</m:t>
        </m:r>
      </m:oMath>
      <w:r>
        <w:t xml:space="preserve">. Directional commitment rate is</w:t>
      </w:r>
      <w:r>
        <w:t xml:space="preserve"> </w:t>
      </w:r>
      <m:oMath>
        <m:r>
          <m:rPr>
            <m:scr m:val="double-struck"/>
            <m:sty m:val="p"/>
          </m:rPr>
          <m:t>P</m:t>
        </m:r>
        <m:r>
          <m:rPr>
            <m:sty m:val="p"/>
          </m:rPr>
          <m:t>[</m:t>
        </m:r>
        <m:r>
          <m:rPr>
            <m:nor/>
            <m:sty m:val="p"/>
          </m:rPr>
          <m:t>adapt</m:t>
        </m:r>
        <m:r>
          <m:rPr>
            <m:nor/>
            <m:sty m:val="p"/>
          </m:rPr>
          <m:t> or </m:t>
        </m:r>
        <m:r>
          <m:rPr>
            <m:nor/>
            <m:sty m:val="p"/>
          </m:rPr>
          <m:t>freeze</m:t>
        </m:r>
        <m:r>
          <m:rPr>
            <m:sty m:val="p"/>
          </m:rPr>
          <m:t>]</m:t>
        </m:r>
      </m:oMath>
      <w:r>
        <w:t xml:space="preserve">.</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rPr>
            <m:nor/>
            <m:sty m:val="p"/>
          </m:rPr>
          <m:t>adapt</m:t>
        </m:r>
        <m:r>
          <m:rPr>
            <m:sty m:val="p"/>
          </m:rPr>
          <m:t>]</m:t>
        </m:r>
      </m:oMath>
      <w:r>
        <w:t xml:space="preserve">. Harmful adapted is the proportion of all harmful conditions (</w:t>
      </w:r>
      <m:oMath>
        <m:r>
          <m:t>B</m:t>
        </m:r>
        <m:r>
          <m:rPr>
            <m:sty m:val="p"/>
          </m:rPr>
          <m:t>&lt;</m:t>
        </m:r>
        <m: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99"/>
    <w:bookmarkStart w:id="100"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m:t>N</m:t>
        </m:r>
        <m:r>
          <m:rPr>
            <m:sty m:val="p"/>
          </m:rPr>
          <m:t>=</m:t>
        </m:r>
        <m:r>
          <m:t>2</m:t>
        </m:r>
        <m:r>
          <m:rPr>
            <m:sty m:val="p"/>
          </m:rPr>
          <m:t>,</m:t>
        </m:r>
        <m: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m:t>=</m:t>
        </m:r>
        <m:r>
          <m:rPr>
            <m:sty m:val="p"/>
          </m:rPr>
          <m:t>(</m:t>
        </m:r>
        <m:r>
          <m:t>A</m:t>
        </m:r>
        <m:r>
          <m:rPr>
            <m:sty m:val="p"/>
          </m:rPr>
          <m:t>+</m:t>
        </m:r>
        <m:r>
          <m:t>F</m:t>
        </m:r>
        <m:r>
          <m:rPr>
            <m:sty m:val="p"/>
          </m:rPr>
          <m:t>)</m:t>
        </m:r>
        <m:r>
          <m:rPr>
            <m:sty m:val="p"/>
          </m:rPr>
          <m:t>/</m:t>
        </m:r>
        <m:r>
          <m:t>N</m:t>
        </m:r>
      </m:oMath>
      <w:r>
        <w:t xml:space="preserve">; Abstention</w:t>
      </w:r>
      <w:r>
        <w:t xml:space="preserve"> </w:t>
      </w:r>
      <m:oMath>
        <m:r>
          <m:rPr>
            <m:sty m:val="p"/>
          </m:rPr>
          <m:t>=</m:t>
        </m:r>
        <m:r>
          <m:t>U</m:t>
        </m:r>
        <m:r>
          <m:rPr>
            <m:sty m:val="p"/>
          </m:rPr>
          <m:t>/</m:t>
        </m:r>
        <m:r>
          <m:t>N</m:t>
        </m:r>
      </m:oMath>
      <w:r>
        <w:t xml:space="preserve">. Denominators: A+F+U</w:t>
      </w:r>
      <w:r>
        <w:t xml:space="preserve"> </w:t>
      </w:r>
      <m:oMath>
        <m:r>
          <m:rPr>
            <m:sty m:val="p"/>
          </m:rPr>
          <m:t>=</m:t>
        </m:r>
        <m:r>
          <m:t>2</m:t>
        </m:r>
        <m:r>
          <m:rPr>
            <m:sty m:val="p"/>
          </m:rPr>
          <m:t>,</m:t>
        </m:r>
        <m: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m:t>N</m:t>
        </m:r>
        <m:r>
          <m:rPr>
            <m:sty m:val="p"/>
          </m:rPr>
          <m:t>=</m:t>
        </m:r>
        <m:r>
          <m:t>2</m:t>
        </m:r>
        <m:r>
          <m:rPr>
            <m:sty m:val="p"/>
          </m:rPr>
          <m:t>,</m:t>
        </m:r>
        <m:r>
          <m:t>160</m:t>
        </m:r>
      </m:oMath>
      <w:r>
        <w:t xml:space="preserve"> </w:t>
      </w:r>
      <w:r>
        <w:t xml:space="preserve">Tent panel as above).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w:t>
      </w:r>
      <w:r>
        <w:t xml:space="preserve">(divides by</w:t>
      </w:r>
      <w:r>
        <w:t xml:space="preserve"> </w:t>
      </w:r>
      <m:oMath>
        <m:r>
          <m:t>N</m:t>
        </m:r>
        <m:r>
          <m:rPr>
            <m:sty m:val="p"/>
          </m:rPr>
          <m:t>=</m:t>
        </m:r>
        <m:r>
          <m:t>2</m:t>
        </m:r>
        <m:r>
          <m:rPr>
            <m:sty m:val="p"/>
          </m:rPr>
          <m:t>,</m:t>
        </m:r>
        <m:r>
          <m:t>160</m:t>
        </m:r>
      </m:oMath>
      <w:r>
        <w:t xml:space="preserve">);</w:t>
      </w:r>
      <w:r>
        <w:t xml:space="preserve"> </w:t>
      </w:r>
      <m:oMath>
        <m:sSub>
          <m:e>
            <m:r>
              <m:rPr>
                <m:sty m:val="p"/>
              </m:rPr>
              <m:t>F</m:t>
            </m:r>
            <m:r>
              <m:rPr>
                <m:sty m:val="p"/>
              </m:rPr>
              <m:t>A</m:t>
            </m:r>
          </m:e>
          <m:sub>
            <m:r>
              <m:t>c</m:t>
            </m:r>
          </m:sub>
        </m:sSub>
      </m:oMath>
      <w:r>
        <w:t xml:space="preserve"> </w:t>
      </w:r>
      <w:r>
        <w:t xml:space="preserve">divides by ADAPT count (undefined when ADAPT</w:t>
      </w:r>
      <m:oMath>
        <m:r>
          <m:rPr>
            <m:sty m:val="p"/>
          </m:rPr>
          <m:t>=</m:t>
        </m:r>
        <m:r>
          <m:t>0</m:t>
        </m:r>
      </m:oMath>
      <w:r>
        <w:t xml:space="preserve">).</w:t>
      </w:r>
      <w:r>
        <w:t xml:space="preserve"> </w:t>
      </w:r>
      <m:oMath>
        <m:sSub>
          <m:e>
            <m:r>
              <m:rPr>
                <m:sty m:val="p"/>
              </m:rPr>
              <m:t>F</m:t>
            </m:r>
            <m:r>
              <m:rPr>
                <m:sty m:val="p"/>
              </m:rPr>
              <m:t>F</m:t>
            </m:r>
          </m:e>
          <m:sub>
            <m:r>
              <m:t>u</m:t>
            </m:r>
          </m:sub>
        </m:sSub>
        <m:r>
          <m:rPr>
            <m:sty m:val="p"/>
          </m:rPr>
          <m:t>=</m:t>
        </m:r>
        <m:r>
          <m:rPr>
            <m:scr m:val="double-struck"/>
            <m:sty m:val="p"/>
          </m:rPr>
          <m:t>P</m:t>
        </m:r>
        <m:r>
          <m:rPr>
            <m:sty m:val="p"/>
          </m:rPr>
          <m:t>[</m:t>
        </m:r>
        <m:r>
          <m:rPr>
            <m:nor/>
            <m:sty m:val="p"/>
          </m:rPr>
          <m:t>FREEZE</m:t>
        </m:r>
        <m:r>
          <m:rPr>
            <m:sty m:val="p"/>
          </m:rPr>
          <m:t>,</m:t>
        </m:r>
        <m:r>
          <m:t>B</m:t>
        </m:r>
        <m:r>
          <m:rPr>
            <m:sty m:val="p"/>
          </m:rPr>
          <m:t>≥</m:t>
        </m:r>
        <m:r>
          <m:t>0</m:t>
        </m:r>
        <m:r>
          <m:rPr>
            <m:sty m:val="p"/>
          </m:rPr>
          <m:t>]</m:t>
        </m:r>
      </m:oMath>
      <w:r>
        <w:t xml:space="preserve"> </w:t>
      </w:r>
      <w:r>
        <w:t xml:space="preserve">(divides by</w:t>
      </w:r>
      <w:r>
        <w:t xml:space="preserve"> </w:t>
      </w:r>
      <m:oMath>
        <m:r>
          <m:t>N</m:t>
        </m:r>
      </m:oMath>
      <w:r>
        <w:t xml:space="preserve">);</w:t>
      </w:r>
      <w:r>
        <w:t xml:space="preserve"> </w:t>
      </w:r>
      <m:oMath>
        <m:sSub>
          <m:e>
            <m:r>
              <m:rPr>
                <m:sty m:val="p"/>
              </m:rPr>
              <m:t>F</m:t>
            </m:r>
            <m:r>
              <m:rPr>
                <m:sty m:val="p"/>
              </m:rPr>
              <m:t>F</m:t>
            </m:r>
          </m:e>
          <m:sub>
            <m:r>
              <m:t>c</m:t>
            </m:r>
          </m:sub>
        </m:sSub>
      </m:oMath>
      <w:r>
        <w:t xml:space="preserve"> </w:t>
      </w:r>
      <w:r>
        <w:t xml:space="preserve">divides by FREEZE count. Nonpos. Adapt</w:t>
      </w:r>
      <w:r>
        <w:t xml:space="preserve"> </w:t>
      </w:r>
      <m:oMath>
        <m:r>
          <m:rPr>
            <m:sty m:val="p"/>
          </m:rPr>
          <m:t>=</m:t>
        </m:r>
      </m:oMath>
      <w:r>
        <w:t xml:space="preserve"> </w:t>
      </w:r>
      <w:r>
        <w:t xml:space="preserve">fraction of</w:t>
      </w:r>
      <w:r>
        <w:t xml:space="preserve"> </w:t>
      </w:r>
      <m:oMath>
        <m:r>
          <m:t>B</m:t>
        </m:r>
        <m:r>
          <m:rPr>
            <m:sty m:val="p"/>
          </m:rPr>
          <m:t>≤</m:t>
        </m:r>
        <m:r>
          <m:t>0</m:t>
        </m:r>
      </m:oMath>
      <w:r>
        <w:t xml:space="preserve"> </w:t>
      </w:r>
      <w:r>
        <w:t xml:space="preserve">cells (</w:t>
      </w:r>
      <m:oMath>
        <m:sSub>
          <m:e>
            <m:r>
              <m:t>N</m:t>
            </m:r>
          </m:e>
          <m:sub>
            <m:r>
              <m:t>B</m:t>
            </m:r>
            <m:r>
              <m:rPr>
                <m:sty m:val="p"/>
              </m:rPr>
              <m:t>≤</m:t>
            </m:r>
            <m:r>
              <m:t>0</m:t>
            </m:r>
          </m:sub>
        </m:sSub>
        <m:r>
          <m:rPr>
            <m:sty m:val="p"/>
          </m:rPr>
          <m:t>=</m:t>
        </m:r>
        <m:r>
          <m:t>721</m:t>
        </m:r>
      </m:oMath>
      <w:r>
        <w:t xml:space="preserve">;</w:t>
      </w:r>
      <w:r>
        <w:t xml:space="preserve"> </w:t>
      </w:r>
      <m:oMath>
        <m:sSub>
          <m:e>
            <m:r>
              <m:t>N</m:t>
            </m:r>
          </m:e>
          <m:sub>
            <m:r>
              <m:t>B</m:t>
            </m:r>
            <m:r>
              <m:rPr>
                <m:sty m:val="p"/>
              </m:rPr>
              <m:t>&lt;</m:t>
            </m:r>
            <m:r>
              <m:t>0</m:t>
            </m:r>
          </m:sub>
        </m:sSub>
        <m:r>
          <m:rPr>
            <m:sty m:val="p"/>
          </m:rPr>
          <m:t>=</m:t>
        </m:r>
        <m:r>
          <m:t>714</m:t>
        </m:r>
      </m:oMath>
      <w:r>
        <w:t xml:space="preserve">,</w:t>
      </w:r>
      <w:r>
        <w:t xml:space="preserve"> </w:t>
      </w:r>
      <m:oMath>
        <m:sSub>
          <m:e>
            <m:r>
              <m:t>N</m:t>
            </m:r>
          </m:e>
          <m:sub>
            <m:r>
              <m:t>B</m:t>
            </m:r>
            <m:r>
              <m:rPr>
                <m:sty m:val="p"/>
              </m:rPr>
              <m:t>=</m:t>
            </m:r>
            <m:r>
              <m:t>0</m:t>
            </m:r>
          </m:sub>
        </m:sSub>
        <m:r>
          <m:rPr>
            <m:sty m:val="p"/>
          </m:rPr>
          <m:t>=</m:t>
        </m:r>
        <m:r>
          <m:t>7</m:t>
        </m:r>
      </m:oMath>
      <w:r>
        <w:t xml:space="preserve">) that received ADAPT, satisfying</w:t>
      </w:r>
      <w:r>
        <w:t xml:space="preserve"> </w:t>
      </w:r>
      <m:oMath>
        <m:sSub>
          <m:e>
            <m:r>
              <m:rPr>
                <m:sty m:val="p"/>
              </m:rPr>
              <m:t>F</m:t>
            </m:r>
            <m:r>
              <m:rPr>
                <m:sty m:val="p"/>
              </m:rPr>
              <m:t>A</m:t>
            </m:r>
          </m:e>
          <m:sub>
            <m:r>
              <m:t>u</m:t>
            </m:r>
          </m:sub>
        </m:sSub>
        <m:r>
          <m:rPr>
            <m:sty m:val="p"/>
          </m:rPr>
          <m:t>×</m:t>
        </m:r>
        <m:r>
          <m:t>N</m:t>
        </m:r>
        <m:r>
          <m:rPr>
            <m:sty m:val="p"/>
          </m:rPr>
          <m:t>=</m:t>
        </m:r>
        <m:r>
          <m:rPr>
            <m:nor/>
            <m:sty m:val="p"/>
          </m:rPr>
          <m:t>Nonpos. Adapt</m:t>
        </m:r>
        <m:r>
          <m:rPr>
            <m:sty m:val="p"/>
          </m:rPr>
          <m:t>×</m:t>
        </m:r>
        <m:r>
          <m:t>721</m:t>
        </m:r>
      </m:oMath>
      <w:r>
        <w:t xml:space="preserve">. Positive Benefit Captured is the fraction of oracle positive adaptation benefit preserved:</w:t>
      </w:r>
      <w:r>
        <w:t xml:space="preserve"> </w:t>
      </w:r>
      <m:oMath>
        <m:nary>
          <m:naryPr>
            <m:chr m:val="∑"/>
            <m:limLoc m:val="undOvr"/>
            <m:subHide m:val="off"/>
            <m:supHide m:val="on"/>
          </m:naryPr>
          <m:sub>
            <m:r>
              <m:t>i</m:t>
            </m:r>
            <m:r>
              <m:rPr>
                <m:sty m:val="p"/>
              </m:rPr>
              <m:t>:</m:t>
            </m:r>
            <m:sSub>
              <m:e>
                <m:r>
                  <m:t>g</m:t>
                </m:r>
              </m:e>
              <m:sub>
                <m:r>
                  <m:t>i</m:t>
                </m:r>
              </m:sub>
            </m:sSub>
            <m:r>
              <m:rPr>
                <m:sty m:val="p"/>
              </m:rPr>
              <m:t>=</m:t>
            </m:r>
            <m:r>
              <m:rPr>
                <m:nor/>
                <m:sty m:val="p"/>
              </m:rPr>
              <m:t>ADAPT</m:t>
            </m:r>
          </m:sub>
          <m:sup>
            <m:r>
              <m:t>​</m:t>
            </m:r>
          </m:sup>
          <m:e>
            <m:r>
              <m:rPr>
                <m:sty m:val="p"/>
              </m:rPr>
              <m:t>max</m:t>
            </m:r>
          </m:e>
        </m:nary>
        <m:r>
          <m:rPr>
            <m:sty m:val="p"/>
          </m:rPr>
          <m:t>(</m:t>
        </m:r>
        <m:r>
          <m:t>0</m:t>
        </m:r>
        <m:r>
          <m:rPr>
            <m:sty m:val="p"/>
          </m:rPr>
          <m:t>,</m:t>
        </m:r>
        <m:sSub>
          <m:e>
            <m:r>
              <m:t>B</m:t>
            </m:r>
          </m:e>
          <m:sub>
            <m:r>
              <m:t>i</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max</m:t>
            </m:r>
          </m:e>
        </m:nary>
        <m:r>
          <m:rPr>
            <m:sty m:val="p"/>
          </m:rPr>
          <m:t>(</m:t>
        </m:r>
        <m:r>
          <m:t>0</m:t>
        </m:r>
        <m:r>
          <m:rPr>
            <m:sty m:val="p"/>
          </m:rPr>
          <m:t>,</m:t>
        </m:r>
        <m:sSub>
          <m:e>
            <m:r>
              <m:t>B</m:t>
            </m:r>
          </m:e>
          <m:sub>
            <m:r>
              <m:t>i</m:t>
            </m:r>
          </m:sub>
        </m:sSub>
        <m:r>
          <m:rPr>
            <m:sty m:val="p"/>
          </m:rPr>
          <m:t>)</m:t>
        </m:r>
      </m:oMath>
      <w:r>
        <w:t xml:space="preserve">; Forgone is</w:t>
      </w:r>
      <w:r>
        <w:t xml:space="preserve"> </w:t>
      </w:r>
      <m:oMath>
        <m:r>
          <m:t>1</m:t>
        </m:r>
        <m:r>
          <m:rPr>
            <m:sty m:val="p"/>
          </m:rPr>
          <m:t>−</m:t>
        </m:r>
        <m:r>
          <m:rPr>
            <m:nor/>
            <m:sty m:val="p"/>
          </m:rPr>
          <m:t>Captured</m:t>
        </m:r>
      </m:oMath>
      <w:r>
        <w:t xml:space="preserve">. KGA executed ADAPT on</w:t>
      </w:r>
      <w:r>
        <w:t xml:space="preserve"> </w:t>
      </w:r>
      <m:oMath>
        <m:r>
          <m:t>1</m:t>
        </m:r>
        <m:r>
          <m:rPr>
            <m:sty m:val="p"/>
          </m:rPr>
          <m:t>,</m:t>
        </m:r>
        <m:r>
          <m:t>094</m:t>
        </m:r>
      </m:oMath>
      <w:r>
        <w:t xml:space="preserve"> </w:t>
      </w:r>
      <w:r>
        <w:t xml:space="preserve">of</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abstaining on the remainder where empirical intervals overlap zero; zero nonpositive cells received ADAPT (</w:t>
      </w:r>
      <m:oMath>
        <m:sSub>
          <m:e>
            <m:r>
              <m:rPr>
                <m:sty m:val="p"/>
              </m:rPr>
              <m:t>F</m:t>
            </m:r>
            <m:r>
              <m:rPr>
                <m:sty m:val="p"/>
              </m:rPr>
              <m:t>A</m:t>
            </m:r>
          </m:e>
          <m:sub>
            <m:r>
              <m:t>u</m:t>
            </m:r>
          </m:sub>
        </m:sSub>
        <m:r>
          <m:rPr>
            <m:sty m:val="p"/>
          </m:rPr>
          <m:t>=</m:t>
        </m:r>
        <m: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0"/>
    <w:bookmarkStart w:id="101" w:name="Xbd0a4ea3428d9555540d200a856a500dc8d5814"/>
    <w:p>
      <w:pPr>
        <w:pStyle w:val="Heading3"/>
        <w:widowControl/>
      </w:pPr>
      <w:r>
        <w:t xml:space="preserve">B.3.3 Model Replication &amp; Checkpoint Inventory (Task 1)</w:t>
      </w:r>
    </w:p>
    <w:p>
      <w:pPr>
        <w:pStyle w:val="FirstParagraph"/>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an authenticated 36-condition mixed-sign replication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Crucially,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This confirms that the point-regret ordering and dual-baseline regret advantage replicated across all three independently trained source checkpoints on mixed-sign distributions. Full per-model audit records are preserved in the supplementary repository.</w:t>
      </w:r>
    </w:p>
    <w:p>
      <w:pPr>
        <w:pStyle w:val="BodyText"/>
        <w:widowControl/>
      </w:pPr>
      <w:r>
        <w:t xml:space="preserve">As a supplementary held-out-model transfer diagnostic,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Full per-condition records for all replication studies are archived in the supplementary repository.</w:t>
      </w:r>
    </w:p>
    <w:p>
      <w:pPr>
        <w:pStyle w:val="BodyText"/>
        <w:widowControl/>
      </w:pPr>
      <w:r>
        <w:t xml:space="preserve">@lcccccccccc@</w:t>
      </w:r>
      <w:r>
        <w:t xml:space="preserve"> </w:t>
      </w:r>
      <w:r>
        <w:rPr>
          <w:b/>
          <w:bCs/>
        </w:rPr>
        <w:t xml:space="preserve">Source Model</w:t>
      </w:r>
      <w:r>
        <w:t xml:space="preserve"> </w:t>
      </w:r>
      <w:r>
        <w:t xml:space="preserve">&amp;</w:t>
      </w:r>
      <w:r>
        <w:t xml:space="preserve"> </w:t>
      </w:r>
      <m:oMath>
        <m:sSub>
          <m:e>
            <m:r>
              <m:rPr>
                <m:sty m:val="bi"/>
              </m:rPr>
              <m:t>a</m:t>
            </m:r>
          </m:e>
          <m:sub>
            <m:r>
              <m:rPr>
                <m:sty m:val="p"/>
              </m:rPr>
              <m:t>c</m:t>
            </m:r>
            <m:r>
              <m:rPr>
                <m:sty m:val="p"/>
              </m:rPr>
              <m:t>l</m:t>
            </m:r>
            <m:r>
              <m:rPr>
                <m:sty m:val="p"/>
              </m:rPr>
              <m:t>e</m:t>
            </m:r>
            <m:r>
              <m:rPr>
                <m:sty m:val="p"/>
              </m:rPr>
              <m:t>a</m:t>
            </m:r>
            <m:r>
              <m:rPr>
                <m:sty m:val="p"/>
              </m:rPr>
              <m:t>n</m:t>
            </m:r>
          </m:sub>
        </m:sSub>
      </m:oMath>
      <w:r>
        <w:t xml:space="preserve"> </w:t>
      </w:r>
      <w:r>
        <w:t xml:space="preserve">&amp;</w:t>
      </w:r>
      <w:r>
        <w:t xml:space="preserve"> </w:t>
      </w:r>
      <m:oMath>
        <m:r>
          <m:t>n</m:t>
        </m:r>
      </m:oMath>
      <w:r>
        <w:t xml:space="preserve"> </w:t>
      </w:r>
      <w:r>
        <w:t xml:space="preserve">&amp;</w:t>
      </w:r>
      <w:r>
        <w:t xml:space="preserve"> </w:t>
      </w:r>
      <m:oMath>
        <m:sSub>
          <m:e>
            <m:r>
              <m:rPr>
                <m:sty m:val="bi"/>
              </m:rPr>
              <m:t>a</m:t>
            </m:r>
          </m:e>
          <m:sub>
            <m:r>
              <m:rPr>
                <m:sty m:val="b"/>
              </m:rPr>
              <m:t>0</m:t>
            </m:r>
          </m:sub>
        </m:sSub>
      </m:oMath>
      <w:r>
        <w:t xml:space="preserve"> </w:t>
      </w:r>
      <w:r>
        <w:t xml:space="preserve">&amp;</w:t>
      </w:r>
      <w:r>
        <w:t xml:space="preserve"> </w:t>
      </w:r>
      <m:oMath>
        <m:sSub>
          <m:e>
            <m:r>
              <m:rPr>
                <m:sty m:val="bi"/>
              </m:rPr>
              <m:t>a</m:t>
            </m:r>
          </m:e>
          <m:sub>
            <m:r>
              <m:rPr>
                <m:sty m:val="p"/>
              </m:rPr>
              <m:t>c</m:t>
            </m:r>
            <m:r>
              <m:rPr>
                <m:sty m:val="p"/>
              </m:rPr>
              <m:t>a</m:t>
            </m:r>
            <m:r>
              <m:rPr>
                <m:sty m:val="p"/>
              </m:rPr>
              <m:t>n</m:t>
            </m:r>
            <m:r>
              <m:rPr>
                <m:sty m:val="p"/>
              </m:rPr>
              <m:t>d</m:t>
            </m:r>
          </m:sub>
        </m:sSub>
      </m:oMath>
      <w:r>
        <w:t xml:space="preserve"> </w:t>
      </w:r>
      <w:r>
        <w:t xml:space="preserve">&amp;</w:t>
      </w:r>
      <w:r>
        <w:t xml:space="preserve"> </w:t>
      </w:r>
      <m:oMath>
        <m:sSub>
          <m:e>
            <m:r>
              <m:rPr>
                <m:sty m:val="bi"/>
              </m:rPr>
              <m:t>R</m:t>
            </m:r>
          </m:e>
          <m:sub>
            <m:r>
              <m:rPr>
                <m:sty m:val="p"/>
              </m:rPr>
              <m:t>A</m:t>
            </m:r>
            <m:r>
              <m:rPr>
                <m:sty m:val="p"/>
              </m:rPr>
              <m:t>F</m:t>
            </m:r>
          </m:sub>
        </m:sSub>
      </m:oMath>
      <w:r>
        <w:t xml:space="preserve"> </w:t>
      </w:r>
      <w:r>
        <w:t xml:space="preserve">&amp;</w:t>
      </w:r>
      <w:r>
        <w:t xml:space="preserve"> </w:t>
      </w:r>
      <m:oMath>
        <m:sSub>
          <m:e>
            <m:r>
              <m:rPr>
                <m:sty m:val="bi"/>
              </m:rPr>
              <m:t>R</m:t>
            </m:r>
          </m:e>
          <m:sub>
            <m:r>
              <m:rPr>
                <m:sty m:val="p"/>
              </m:rPr>
              <m:t>A</m:t>
            </m:r>
            <m:r>
              <m:rPr>
                <m:sty m:val="p"/>
              </m:rPr>
              <m:t>A</m:t>
            </m:r>
          </m:sub>
        </m:sSub>
      </m:oMath>
      <w:r>
        <w:t xml:space="preserve"> </w:t>
      </w:r>
      <w:r>
        <w:t xml:space="preserve">&amp;</w:t>
      </w:r>
      <w:r>
        <w:t xml:space="preserve"> </w:t>
      </w:r>
      <m:oMath>
        <m:sSub>
          <m:e>
            <m:r>
              <m:rPr>
                <m:sty m:val="bi"/>
              </m:rPr>
              <m:t>a</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bi"/>
              </m:rPr>
              <m:t>R</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p"/>
              </m:rPr>
              <m:t>F</m:t>
            </m:r>
            <m:r>
              <m:rPr>
                <m:sty m:val="p"/>
              </m:rPr>
              <m:t>A</m:t>
            </m:r>
          </m:e>
          <m:sub>
            <m:r>
              <m:rPr>
                <m:sty m:val="bi"/>
              </m:rPr>
              <m:t>u</m:t>
            </m:r>
          </m:sub>
        </m:sSub>
      </m:oMath>
      <w:r>
        <w:t xml:space="preserve"> </w:t>
      </w:r>
      <w:r>
        <w:t xml:space="preserve">&amp;</w:t>
      </w:r>
      <w:r>
        <w:t xml:space="preserve"> </w:t>
      </w:r>
      <w:r>
        <w:rPr>
          <w:b/>
          <w:bCs/>
        </w:rPr>
        <w:t xml:space="preserve">Decisions (A/F/Abs)</w:t>
      </w:r>
      <w:r>
        <w:br/>
      </w:r>
      <w:r>
        <w:br/>
      </w:r>
      <w:r>
        <w:t xml:space="preserve">Model 0 (Canonical) &amp; 87.37% &amp; 36 &amp; 61.20% &amp; 79.65% &amp; 18.45% &amp; 0.00% &amp; 79.24% &amp; 0.41% &amp; 0.0000 &amp; 30/0/6</w:t>
      </w:r>
      <w:r>
        <w:br/>
      </w:r>
      <w:r>
        <w:t xml:space="preserve">Model 101 (Independent) &amp; 89.53% &amp; 36 &amp; 63.31% &amp; 81.75% &amp; 18.44% &amp; 0.00% &amp; 81.34% &amp; 0.41% &amp; 0.0000 &amp; 30/0/6</w:t>
      </w:r>
      <w:r>
        <w:br/>
      </w:r>
      <w:r>
        <w:t xml:space="preserve">Model 102 (Independent) &amp; 89.56% &amp; 36 &amp; 63.35% &amp; 81.80% &amp; 18.45% &amp; 0.00% &amp; 81.39% &amp; 0.41% &amp; 0.0000 &amp; 30/0/6</w:t>
      </w:r>
      <w:r>
        <w:br/>
      </w:r>
      <w:r>
        <w:br/>
      </w:r>
      <w:r>
        <w:t xml:space="preserve">Model 0 (Canonical)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 0.0000 &amp; 18/9/9</w:t>
      </w:r>
      <w:r>
        <w:br/>
      </w:r>
      <w:r>
        <w:t xml:space="preserve">Model 101 (Independent)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 0.0278 &amp; 19/5/12</w:t>
      </w:r>
      <w:r>
        <w:br/>
      </w:r>
      <w:r>
        <w:t xml:space="preserve">Model 102 (Independent)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 0.0000 &amp; 17/6/13</w:t>
      </w:r>
      <w:r>
        <w:br/>
      </w:r>
      <w:r>
        <w:br/>
      </w:r>
      <w:r>
        <w:t xml:space="preserve">Model 0 (Canonical) (AETTA) &amp; — &amp; 36 &amp; 68.42% &amp; 79.71% &amp; 12.67% &amp; 1.39% &amp; 80.74% &amp; 0.36% &amp; 0.1389 &amp; 26/10/0</w:t>
      </w:r>
      <w:r>
        <w:br/>
      </w:r>
      <w:r>
        <w:t xml:space="preserve">Model 0 (Canonical) (KGA LOO)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w:t>
      </w:r>
      <w:r>
        <w:t xml:space="preserve"> </w:t>
      </w:r>
      <w:r>
        <w:rPr>
          <w:b/>
          <w:bCs/>
        </w:rPr>
        <w:t xml:space="preserve">0.0000</w:t>
      </w:r>
      <w:r>
        <w:t xml:space="preserve"> </w:t>
      </w:r>
      <w:r>
        <w:t xml:space="preserve">&amp; 18/9/9</w:t>
      </w:r>
      <w:r>
        <w:br/>
      </w:r>
      <w:r>
        <w:t xml:space="preserve">Model 0 (Canonical) (KGA B6 Disjoint) &amp; 87.37% &amp; 36 &amp; 68.42% &amp; 79.71% &amp; 12.67% &amp; 1.39% &amp; 79.96% &amp; 1.14% &amp;</w:t>
      </w:r>
      <w:r>
        <w:t xml:space="preserve"> </w:t>
      </w:r>
      <w:r>
        <w:rPr>
          <w:b/>
          <w:bCs/>
        </w:rPr>
        <w:t xml:space="preserve">0.0000</w:t>
      </w:r>
      <w:r>
        <w:t xml:space="preserve"> </w:t>
      </w:r>
      <w:r>
        <w:t xml:space="preserve">&amp; 14/2/20</w:t>
      </w:r>
      <w:r>
        <w:br/>
      </w:r>
      <w:r>
        <w:t xml:space="preserve">Model 101 (Independent) (AETTA) &amp; — &amp; 36 &amp; 68.58% &amp; 81.69% &amp; 14.12% &amp; 1.01% &amp; 82.52% &amp; 0.18% &amp; 0.1111 &amp; 24/12/0</w:t>
      </w:r>
      <w:r>
        <w:br/>
      </w:r>
      <w:r>
        <w:t xml:space="preserve">Model 101 (Independent) (KGA LOO)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w:t>
      </w:r>
      <w:r>
        <w:t xml:space="preserve"> </w:t>
      </w:r>
      <w:r>
        <w:rPr>
          <w:b/>
          <w:bCs/>
        </w:rPr>
        <w:t xml:space="preserve">0.0278</w:t>
      </w:r>
      <w:r>
        <w:t xml:space="preserve"> </w:t>
      </w:r>
      <w:r>
        <w:t xml:space="preserve">&amp; 19/5/12</w:t>
      </w:r>
      <w:r>
        <w:br/>
      </w:r>
      <w:r>
        <w:t xml:space="preserve">Model 101 (Independent) (KGA B6 Disjoint) &amp; 89.53% &amp; 36 &amp; 68.58% &amp; 81.69% &amp; 14.12% &amp; 1.01% &amp; 82.47% &amp; 0.23% &amp;</w:t>
      </w:r>
      <w:r>
        <w:t xml:space="preserve"> </w:t>
      </w:r>
      <w:r>
        <w:rPr>
          <w:b/>
          <w:bCs/>
        </w:rPr>
        <w:t xml:space="preserve">0.0000</w:t>
      </w:r>
      <w:r>
        <w:t xml:space="preserve"> </w:t>
      </w:r>
      <w:r>
        <w:t xml:space="preserve">&amp; 17/0/19</w:t>
      </w:r>
      <w:r>
        <w:br/>
      </w:r>
      <w:r>
        <w:t xml:space="preserve">Model 102 (Independent) (AETTA) &amp; — &amp; 36 &amp; 69.09% &amp; 81.78% &amp; 13.71% &amp; 1.01% &amp; 82.43% &amp; 0.36% &amp; 0.1389 &amp; 26/10/0</w:t>
      </w:r>
      <w:r>
        <w:br/>
      </w:r>
      <w:r>
        <w:t xml:space="preserve">Model 102 (Independent) (KGA LOO)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w:t>
      </w:r>
      <w:r>
        <w:t xml:space="preserve"> </w:t>
      </w:r>
      <w:r>
        <w:rPr>
          <w:b/>
          <w:bCs/>
        </w:rPr>
        <w:t xml:space="preserve">0.0000</w:t>
      </w:r>
      <w:r>
        <w:t xml:space="preserve"> </w:t>
      </w:r>
      <w:r>
        <w:t xml:space="preserve">&amp; 17/6/13</w:t>
      </w:r>
      <w:r>
        <w:br/>
      </w:r>
      <w:r>
        <w:t xml:space="preserve">Model 102 (Independent) (KGA B6 Disjoint) &amp; 89.56% &amp; 36 &amp; 69.09% &amp; 81.78% &amp; 13.71% &amp; 1.01% &amp; 82.33% &amp; 0.46% &amp;</w:t>
      </w:r>
      <w:r>
        <w:t xml:space="preserve"> </w:t>
      </w:r>
      <w:r>
        <w:rPr>
          <w:b/>
          <w:bCs/>
        </w:rPr>
        <w:t xml:space="preserve">0.0000</w:t>
      </w:r>
      <w:r>
        <w:t xml:space="preserve"> </w:t>
      </w:r>
      <w:r>
        <w:t xml:space="preserve">&amp; 14/0/22</w:t>
      </w:r>
      <w:r>
        <w:br/>
      </w:r>
    </w:p>
    <w:bookmarkEnd w:id="101"/>
    <w:bookmarkStart w:id="103" w:name="X85fda283dda8f4f868750f9717639eb35a3d7b1"/>
    <w:p>
      <w:pPr>
        <w:pStyle w:val="Heading3"/>
        <w:widowControl/>
      </w:pPr>
      <w:r>
        <w:t xml:space="preserve">B.3.4 Published Baseline Reproducibility Audit (Task 3 Closeout)</w:t>
      </w:r>
    </w:p>
    <w:p>
      <w:pPr>
        <w:pStyle w:val="FirstParagraph"/>
        <w:widowControl/>
      </w:pPr>
      <w:r>
        <w:t xml:space="preserve">We surveyed third-party published baseline implementations. Upstream Kim et al. (TTA / ALine) was unavailable for native execution due to upstream repository deprecation.</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AETTA implementation [18])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Complete per-condition traces and execution receipts are archived in the supplementary repository.</w:t>
      </w:r>
    </w:p>
    <w:bookmarkStart w:id="102"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As an additional retrospective check, we replayed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For each score fold, the complement was partitioned into strictly disjoint fit and calibration subsets; scored cell outcomes entered neither predictor training nor conformal calibration. Results:</w:t>
      </w:r>
    </w:p>
    <w:p>
      <w:pPr>
        <w:widowControl/>
        <w:numPr>
          <w:ilvl w:val="0"/>
          <w:numId w:val="1012"/>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2"/>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2"/>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 disjoint replay is a retrospective check on existing saved records, not a prospective experiment on new data. Receipts: preserved in the supplementary repository.</w:t>
      </w:r>
    </w:p>
    <w:bookmarkEnd w:id="102"/>
    <w:bookmarkEnd w:id="103"/>
    <w:bookmarkEnd w:id="104"/>
    <w:bookmarkStart w:id="105"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m:t>.0027</m:t>
        </m:r>
      </m:oMath>
      <w:r>
        <w:t xml:space="preserve">) and freeze regret (</w:t>
      </w:r>
      <m:oMath>
        <m: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05"/>
    <w:bookmarkStart w:id="106"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As an exploratory comparison, Table 29 also reports a post-hoc sensitivity partition thresholded at</w:t>
      </w:r>
      <w:r>
        <w:t xml:space="preserve"> </w:t>
      </w:r>
      <m:oMath>
        <m:r>
          <m:t>ε</m:t>
        </m:r>
        <m:r>
          <m:rPr>
            <m:sty m:val="p"/>
          </m:rPr>
          <m:t>=</m:t>
        </m:r>
        <m:r>
          <m:t>0.0296</m:t>
        </m:r>
      </m:oMath>
      <w:r>
        <w:t xml:space="preserve"> </w:t>
      </w:r>
      <w:r>
        <w:t xml:space="preserve">(31 ADAPT, 19 FREEZE, 22 ABSTAIN).</w:t>
      </w:r>
    </w:p>
    <w:p>
      <w:pPr>
        <w:pStyle w:val="BodyText"/>
        <w:widowControl/>
      </w:pPr>
      <w:r>
        <w:t xml:space="preserve">@lccccccr@</w:t>
      </w:r>
      <w:r>
        <w:t xml:space="preserve"> </w:t>
      </w:r>
      <w:r>
        <w:rPr>
          <w:b/>
          <w:bCs/>
        </w:rPr>
        <w:t xml:space="preserve">Evaluation Regimen</w:t>
      </w:r>
      <w:r>
        <w:t xml:space="preserve"> </w:t>
      </w:r>
      <w:r>
        <w:t xml:space="preserve">&amp;</w:t>
      </w:r>
      <w:r>
        <w:t xml:space="preserve"> </w:t>
      </w:r>
      <m:oMath>
        <m:r>
          <m:rPr>
            <m:sty m:val="b"/>
          </m:rPr>
          <m:t>+</m:t>
        </m:r>
      </m:oMath>
      <w:r>
        <w:t xml:space="preserve"> </w:t>
      </w:r>
      <w:r>
        <w:t xml:space="preserve">&amp;</w:t>
      </w:r>
      <w:r>
        <w:t xml:space="preserve"> </w:t>
      </w:r>
      <m:oMath>
        <m:r>
          <m:rPr>
            <m:sty m:val="b"/>
          </m:rPr>
          <m:t>0</m:t>
        </m:r>
      </m:oMath>
      <w:r>
        <w:t xml:space="preserve"> </w:t>
      </w:r>
      <w:r>
        <w:t xml:space="preserve">&amp;</w:t>
      </w:r>
      <w:r>
        <w:t xml:space="preserve"> </w:t>
      </w:r>
      <m:oMath>
        <m:r>
          <m:rPr>
            <m:sty m:val="b"/>
          </m:rPr>
          <m:t>−</m:t>
        </m:r>
      </m:oMath>
      <w:r>
        <w:t xml:space="preserve"> </w:t>
      </w:r>
      <w:r>
        <w:t xml:space="preserve">&amp;</w:t>
      </w:r>
      <w:r>
        <w:t xml:space="preserve"> </w:t>
      </w:r>
      <w:r>
        <w:rPr>
          <w:b/>
          <w:bCs/>
        </w:rPr>
        <w:t xml:space="preserve">A</w:t>
      </w:r>
      <w:r>
        <w:t xml:space="preserve"> </w:t>
      </w:r>
      <w:r>
        <w:t xml:space="preserve">&amp;</w:t>
      </w:r>
      <w:r>
        <w:t xml:space="preserve"> </w:t>
      </w:r>
      <w:r>
        <w:rPr>
          <w:b/>
          <w:bCs/>
        </w:rPr>
        <w:t xml:space="preserve">F</w:t>
      </w:r>
      <w:r>
        <w:t xml:space="preserve"> </w:t>
      </w:r>
      <w:r>
        <w:t xml:space="preserve">&amp;</w:t>
      </w:r>
      <w:r>
        <w:t xml:space="preserve"> </w:t>
      </w:r>
      <w:r>
        <w:rPr>
          <w:b/>
          <w:bCs/>
        </w:rPr>
        <w:t xml:space="preserve">U</w:t>
      </w:r>
      <w:r>
        <w:t xml:space="preserve"> </w:t>
      </w:r>
      <w:r>
        <w:t xml:space="preserve">&amp;</w:t>
      </w:r>
      <w:r>
        <w:t xml:space="preserve"> </w:t>
      </w:r>
      <w:r>
        <w:rPr>
          <w:b/>
          <w:bCs/>
        </w:rPr>
        <w:t xml:space="preserve">Regret</w:t>
      </w:r>
      <w:r>
        <w:t xml:space="preserve"> </w:t>
      </w:r>
      <w:r>
        <w:t xml:space="preserve">(</w:t>
      </w:r>
      <m:oMath>
        <m:sSub>
          <m:e>
            <m:r>
              <m:t>R</m:t>
            </m:r>
          </m:e>
          <m:sub>
            <m:r>
              <m:rPr>
                <m:sty m:val="p"/>
              </m:rPr>
              <m:t>K</m:t>
            </m:r>
            <m:r>
              <m:rPr>
                <m:sty m:val="p"/>
              </m:rPr>
              <m:t>G</m:t>
            </m:r>
            <m:r>
              <m:rPr>
                <m:sty m:val="p"/>
              </m:rPr>
              <m:t>A</m:t>
            </m:r>
          </m:sub>
        </m:sSub>
        <m:r>
          <m:rPr>
            <m:sty m:val="p"/>
          </m:rPr>
          <m:t>/</m:t>
        </m:r>
        <m:sSub>
          <m:e>
            <m:r>
              <m:t>R</m:t>
            </m:r>
          </m:e>
          <m:sub>
            <m:r>
              <m:rPr>
                <m:sty m:val="p"/>
              </m:rPr>
              <m:t>a</m:t>
            </m:r>
            <m:r>
              <m:rPr>
                <m:sty m:val="p"/>
              </m:rPr>
              <m:t>d</m:t>
            </m:r>
            <m:r>
              <m:rPr>
                <m:sty m:val="p"/>
              </m:rPr>
              <m:t>a</m:t>
            </m:r>
            <m:r>
              <m:rPr>
                <m:sty m:val="p"/>
              </m:rPr>
              <m:t>p</m:t>
            </m:r>
            <m:r>
              <m:rPr>
                <m:sty m:val="p"/>
              </m:rPr>
              <m:t>t</m:t>
            </m:r>
          </m:sub>
        </m:sSub>
        <m:r>
          <m:rPr>
            <m:sty m:val="p"/>
          </m:rPr>
          <m:t>/</m:t>
        </m:r>
        <m:sSub>
          <m:e>
            <m:r>
              <m:t>R</m:t>
            </m:r>
          </m:e>
          <m:sub>
            <m:r>
              <m:rPr>
                <m:sty m:val="p"/>
              </m:rPr>
              <m:t>f</m:t>
            </m:r>
            <m:r>
              <m:rPr>
                <m:sty m:val="p"/>
              </m:rPr>
              <m:t>r</m:t>
            </m:r>
            <m:r>
              <m:rPr>
                <m:sty m:val="p"/>
              </m:rPr>
              <m:t>e</m:t>
            </m:r>
            <m:r>
              <m:rPr>
                <m:sty m:val="p"/>
              </m:rPr>
              <m:t>e</m:t>
            </m:r>
            <m:r>
              <m:rPr>
                <m:sty m:val="p"/>
              </m:rPr>
              <m:t>z</m:t>
            </m:r>
            <m:r>
              <m:rPr>
                <m:sty m:val="p"/>
              </m:rPr>
              <m:t>e</m:t>
            </m:r>
          </m:sub>
        </m:sSub>
      </m:oMath>
      <w:r>
        <w:t xml:space="preserve">)</w:t>
      </w:r>
      <w:r>
        <w:br/>
      </w:r>
      <w:r>
        <w:rPr>
          <w:b/>
          <w:bCs/>
        </w:rPr>
        <w:t xml:space="preserve">Authenticated Outcome-Blind</w:t>
      </w:r>
      <w:r>
        <w:t xml:space="preserve"> </w:t>
      </w:r>
      <w:r>
        <w:t xml:space="preserve">(</w:t>
      </w:r>
      <m:oMath>
        <m:r>
          <m:t>ε</m:t>
        </m:r>
        <m:r>
          <m:rPr>
            <m:sty m:val="p"/>
          </m:rPr>
          <m:t>=</m:t>
        </m:r>
        <m:r>
          <m:t>0.1621</m:t>
        </m:r>
      </m:oMath>
      <w:r>
        <w:t xml:space="preserve">) &amp; 41 &amp; 4 &amp; 27 &amp; 0 &amp; 2 &amp; 70 &amp;</w:t>
      </w:r>
      <w:r>
        <w:t xml:space="preserve"> </w:t>
      </w:r>
      <m:oMath>
        <m:r>
          <m:t>0.0438</m:t>
        </m:r>
      </m:oMath>
      <w:r>
        <w:t xml:space="preserve"> </w:t>
      </w:r>
      <w:r>
        <w:t xml:space="preserve">/</w:t>
      </w:r>
      <w:r>
        <w:t xml:space="preserve"> </w:t>
      </w:r>
      <m:oMath>
        <m:r>
          <m:t>0.0393</m:t>
        </m:r>
      </m:oMath>
      <w:r>
        <w:t xml:space="preserve"> </w:t>
      </w:r>
      <w:r>
        <w:t xml:space="preserve">/</w:t>
      </w:r>
      <w:r>
        <w:t xml:space="preserve"> </w:t>
      </w:r>
      <m:oMath>
        <m:r>
          <m:t>0.0438</m:t>
        </m:r>
      </m:oMath>
      <w:r>
        <w:br/>
      </w:r>
      <w:r>
        <w:rPr>
          <w:i/>
          <w:iCs/>
        </w:rPr>
        <w:t xml:space="preserve">Demoted post-hoc sensitivity</w:t>
      </w:r>
      <m:oMath>
        <m:sSup>
          <m:e>
            <m:r>
              <m:t>​</m:t>
            </m:r>
          </m:e>
          <m:sup>
            <m:r>
              <m:rPr>
                <m:sty m:val="p"/>
              </m:rPr>
              <m:t>†</m:t>
            </m:r>
          </m:sup>
        </m:sSup>
      </m:oMath>
      <w:r>
        <w:t xml:space="preserve"> </w:t>
      </w:r>
      <w:r>
        <w:t xml:space="preserve">(</w:t>
      </w:r>
      <m:oMath>
        <m:r>
          <m:t>ε</m:t>
        </m:r>
        <m:r>
          <m:rPr>
            <m:sty m:val="p"/>
          </m:rPr>
          <m:t>=</m:t>
        </m:r>
        <m:r>
          <m:t>0.0296</m:t>
        </m:r>
      </m:oMath>
      <w:r>
        <w:t xml:space="preserve">) &amp; 41 &amp; 4 &amp; 27 &amp; 31 &amp; 19 &amp; 22 &amp;</w:t>
      </w:r>
      <w:r>
        <w:t xml:space="preserve"> </w:t>
      </w:r>
      <m:oMath>
        <m:r>
          <m:t>0.0018</m:t>
        </m:r>
      </m:oMath>
      <w:r>
        <w:t xml:space="preserve"> </w:t>
      </w:r>
      <w:r>
        <w:t xml:space="preserve">/</w:t>
      </w:r>
      <w:r>
        <w:t xml:space="preserve"> </w:t>
      </w:r>
      <m:oMath>
        <m:r>
          <m:t>0.0393</m:t>
        </m:r>
      </m:oMath>
      <w:r>
        <w:t xml:space="preserve"> </w:t>
      </w:r>
      <w:r>
        <w:t xml:space="preserve">/</w:t>
      </w:r>
      <w:r>
        <w:t xml:space="preserve"> </w:t>
      </w:r>
      <m:oMath>
        <m:r>
          <m:t>0.0438</m:t>
        </m:r>
      </m:oMath>
      <w:r>
        <w:br/>
      </w:r>
    </w:p>
    <w:bookmarkEnd w:id="106"/>
    <w:bookmarkStart w:id="107"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07"/>
    <w:bookmarkStart w:id="108"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08"/>
    <w:bookmarkStart w:id="112" w:name="b.8-boundary-and-transfer-diagnostics"/>
    <w:p>
      <w:pPr>
        <w:pStyle w:val="Heading2"/>
        <w:widowControl/>
      </w:pPr>
      <w:r>
        <w:t xml:space="preserve">B.8 Boundary and Transfer Diagnostics</w:t>
      </w:r>
    </w:p>
    <w:bookmarkStart w:id="109"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09"/>
    <w:bookmarkStart w:id="110"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m:t>α</m:t>
        </m:r>
        <m:r>
          <m:rPr>
            <m:sty m:val="p"/>
          </m:rPr>
          <m:t>=</m:t>
        </m:r>
        <m:r>
          <m:t>0.10</m:t>
        </m:r>
      </m:oMath>
      <w:r>
        <w:t xml:space="preserve">, leave-one-out exact-rank empirical residual routing). Results provide cross-architecture selective-routing diagnostics; observed</w:t>
      </w:r>
      <w:r>
        <w:t xml:space="preserve"> </w:t>
      </w:r>
      <m:oMath>
        <m:sSub>
          <m:e>
            <m:r>
              <m:rPr>
                <m:sty m:val="p"/>
              </m:rPr>
              <m:t>F</m:t>
            </m:r>
            <m:r>
              <m:rPr>
                <m:sty m:val="p"/>
              </m:rPr>
              <m:t>A</m:t>
            </m:r>
          </m:e>
          <m:sub>
            <m: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m:t>F</m:t>
            </m:r>
            <m:r>
              <m:rPr>
                <m:sty m:val="p"/>
              </m:rPr>
              <m:t>A</m:t>
            </m:r>
          </m:e>
          <m:sub>
            <m: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f</m:t>
                  </m:r>
                  <m:r>
                    <m:rPr>
                      <m:sty m:val="p"/>
                    </m:rPr>
                    <m:t>r</m:t>
                  </m:r>
                  <m:r>
                    <m:rPr>
                      <m:sty m:val="p"/>
                    </m:rPr>
                    <m:t>e</m:t>
                  </m:r>
                  <m:r>
                    <m:rPr>
                      <m:sty m:val="p"/>
                    </m:rPr>
                    <m:t>e</m:t>
                  </m:r>
                  <m:r>
                    <m:rPr>
                      <m:sty m:val="p"/>
                    </m:rPr>
                    <m:t>z</m:t>
                  </m:r>
                  <m:r>
                    <m:rPr>
                      <m:sty m:val="p"/>
                    </m: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a</m:t>
                  </m:r>
                  <m:r>
                    <m:rPr>
                      <m:sty m:val="p"/>
                    </m:rPr>
                    <m:t>d</m:t>
                  </m:r>
                  <m:r>
                    <m:rPr>
                      <m:sty m:val="p"/>
                    </m:rPr>
                    <m:t>a</m:t>
                  </m:r>
                  <m:r>
                    <m:rPr>
                      <m:sty m:val="p"/>
                    </m:rPr>
                    <m:t>p</m:t>
                  </m:r>
                  <m:r>
                    <m:rPr>
                      <m:sty m:val="p"/>
                    </m: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p</m:t>
                  </m:r>
                  <m:r>
                    <m:rPr>
                      <m:sty m:val="p"/>
                    </m:rPr>
                    <m:t>o</m:t>
                  </m:r>
                  <m:r>
                    <m:rPr>
                      <m:sty m:val="p"/>
                    </m:rPr>
                    <m:t>l</m:t>
                  </m:r>
                  <m:r>
                    <m:rPr>
                      <m:sty m:val="p"/>
                    </m:rPr>
                    <m:t>i</m:t>
                  </m:r>
                  <m:r>
                    <m:rPr>
                      <m:sty m:val="p"/>
                    </m:rPr>
                    <m:t>c</m:t>
                  </m:r>
                  <m:r>
                    <m:rPr>
                      <m:sty m:val="p"/>
                    </m: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0"/>
    <w:bookmarkStart w:id="111"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1"/>
    <w:bookmarkEnd w:id="112"/>
    <w:bookmarkStart w:id="119"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m:t>(</m:t>
        </m:r>
        <m:r>
          <m:t>A</m:t>
        </m:r>
        <m:r>
          <m:rPr>
            <m:sty m:val="p"/>
          </m:rPr>
          <m:t>+</m:t>
        </m:r>
        <m:r>
          <m:t>F</m:t>
        </m:r>
        <m:r>
          <m:rPr>
            <m:sty m:val="p"/>
          </m:rPr>
          <m:t>)</m:t>
        </m:r>
        <m:r>
          <m:rPr>
            <m:sty m:val="p"/>
          </m:rPr>
          <m:t>/</m:t>
        </m:r>
        <m: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16"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1866900" cy="92710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14" name="Picture"/>
            <a:graphic>
              <a:graphicData uri="http://schemas.openxmlformats.org/drawingml/2006/picture">
                <pic:pic>
                  <pic:nvPicPr>
                    <pic:cNvPr descr="figures/fig_cifar_tent_online.pdf" id="115" name="Picture"/>
                    <pic:cNvPicPr>
                      <a:picLocks noChangeArrowheads="1" noChangeAspect="1"/>
                    </pic:cNvPicPr>
                  </pic:nvPicPr>
                  <pic:blipFill>
                    <a:blip r:embed="rId113"/>
                    <a:stretch>
                      <a:fillRect/>
                    </a:stretch>
                  </pic:blipFill>
                  <pic:spPr bwMode="auto">
                    <a:xfrm>
                      <a:off x="0" y="0"/>
                      <a:ext cx="1866900" cy="92710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16"/>
    <w:bookmarkStart w:id="117"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17"/>
    <w:bookmarkStart w:id="118"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18"/>
    <w:bookmarkEnd w:id="119"/>
    <w:bookmarkStart w:id="120"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0"/>
    <w:bookmarkStart w:id="121"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For the historical</w:t>
      </w:r>
      <w:r>
        <w:t xml:space="preserve"> </w:t>
      </w:r>
      <m:oMath>
        <m:r>
          <m:t>β</m:t>
        </m:r>
      </m:oMath>
      <w:r>
        <w:t xml:space="preserve"> </w:t>
      </w:r>
      <w:r>
        <w:t xml:space="preserve">proxy, Section 9 discloses the negative result.</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1"/>
    <w:bookmarkEnd w:id="122"/>
    <w:bookmarkStart w:id="123"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m:t>β</m:t>
              </m:r>
              <m:r>
                <m:rPr>
                  <m:sty m:val="p"/>
                </m:rPr>
                <m:t>&gt;</m:t>
              </m:r>
              <m:r>
                <m:t>0</m:t>
              </m:r>
            </m:oMath>
            <w:r>
              <w:rPr>
                <w:rFonts w:ascii="Times New Roman" w:hAnsi="Times New Roman"/>
                <w:sz w:val="17"/>
              </w:rPr>
              <w:t>,</w:t>
            </w:r>
            <w:r>
              <w:rPr>
                <w:rFonts w:ascii="Times New Roman" w:hAnsi="Times New Roman"/>
                <w:sz w:val="17"/>
              </w:rPr>
              <w:t xml:space="preserve"> </w:t>
            </w:r>
            <m:oMath>
              <m:r>
                <m:rPr>
                  <m:sty m:val="p"/>
                </m:rPr>
                <m:t>|</m:t>
              </m:r>
              <m:r>
                <m:t>M</m:t>
              </m:r>
              <m:r>
                <m:rPr>
                  <m:sty m:val="p"/>
                </m:rPr>
                <m:t>|</m:t>
              </m:r>
              <m:r>
                <m:rPr>
                  <m:sty m:val="p"/>
                </m:rPr>
                <m:t>&lt;</m:t>
              </m:r>
              <m: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m:t>C</m:t>
                  </m:r>
                </m:e>
                <m:sub>
                  <m: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m:t>F</m:t>
                  </m:r>
                  <m:r>
                    <m:rPr>
                      <m:sty m:val="p"/>
                    </m:rPr>
                    <m:t>A</m:t>
                  </m:r>
                </m:e>
                <m:sub>
                  <m:r>
                    <m:rPr>
                      <m:sty m:val="p"/>
                    </m: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point-regret replication across checkpoints,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authenticated native AETTA accuracy estimator across identical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Within-model LOO KGA replicates point-regret advantage across 3 checkpoints (</w:t>
            </w:r>
            <m:oMath>
              <m:r>
                <m:t>0.08</m:t>
              </m:r>
            </m:oMath>
            <w:r>
              <w:rPr>
                <w:rFonts w:ascii="Times New Roman" w:hAnsi="Times New Roman"/>
                <w:sz w:val="17"/>
              </w:rPr>
              <w:t>–</w:t>
            </w:r>
            <m:oMath>
              <m:r>
                <m:t>0.23</m:t>
              </m:r>
              <m:r>
                <m:rPr>
                  <m:sty m:val="p"/>
                </m:rPr>
                <m:t>%</m:t>
              </m:r>
            </m:oMath>
            <w:r>
              <w:rPr>
                <w:rFonts w:ascii="Times New Roman" w:hAnsi="Times New Roman"/>
                <w:sz w:val="17"/>
              </w:rPr>
              <w:t xml:space="preserve"> </w:t>
            </w:r>
            <w:r>
              <w:rPr>
                <w:rFonts w:ascii="Times New Roman" w:hAnsi="Times New Roman"/>
                <w:sz w:val="17"/>
              </w:rPr>
              <w:t>vs</w:t>
            </w:r>
            <w:r>
              <w:rPr>
                <w:rFonts w:ascii="Times New Roman" w:hAnsi="Times New Roman"/>
                <w:sz w:val="17"/>
              </w:rPr>
              <w:t xml:space="preserve"> </w:t>
            </w:r>
            <m:oMath>
              <m:r>
                <m:t>0.18</m:t>
              </m:r>
            </m:oMath>
            <w:r>
              <w:rPr>
                <w:rFonts w:ascii="Times New Roman" w:hAnsi="Times New Roman"/>
                <w:sz w:val="17"/>
              </w:rPr>
              <w:t>–</w:t>
            </w:r>
            <m:oMath>
              <m:r>
                <m:t>0.36</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0.09</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0.28</m:t>
              </m:r>
              <m:r>
                <m:rPr>
                  <m:nor/>
                  <m:sty m:val="p"/>
                </m:rPr>
                <m:t> pp</m:t>
              </m:r>
            </m:oMath>
            <w:r>
              <w:rPr>
                <w:rFonts w:ascii="Times New Roman" w:hAnsi="Times New Roman"/>
                <w:sz w:val="17"/>
              </w:rPr>
              <w:t>); outcome-disjoint B6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rPr>
                <w:rFonts w:ascii="Times New Roman" w:hAnsi="Times New Roman"/>
                <w:sz w:val="17"/>
              </w:rPr>
              <w:t>) but incurs higher point regret (</w:t>
            </w:r>
            <m:oMath>
              <m:r>
                <m:t>0.23</m:t>
              </m:r>
            </m:oMath>
            <w:r>
              <w:rPr>
                <w:rFonts w:ascii="Times New Roman" w:hAnsi="Times New Roman"/>
                <w:sz w:val="17"/>
              </w:rPr>
              <w:t>–</w:t>
            </w:r>
            <m:oMath>
              <m:r>
                <m:t>1.14</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0.05</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0.78</m:t>
              </m:r>
              <m:r>
                <m:rPr>
                  <m:nor/>
                  <m:sty m:val="p"/>
                </m:rPr>
                <m:t> pp</m:t>
              </m:r>
            </m:oMath>
            <w:r>
              <w:rPr>
                <w:rFonts w:ascii="Times New Roman" w:hAnsi="Times New Roman"/>
                <w:sz w:val="17"/>
              </w:rPr>
              <w:t xml:space="preserve"> </w:t>
            </w:r>
            <w:r>
              <w:rPr>
                <w:rFonts w:ascii="Times New Roman" w:hAnsi="Times New Roman"/>
                <w:sz w:val="17"/>
              </w:rPr>
              <w:t>vs AETTA) while committing zero observed false adaptations vs 4–5 observed for AETTA; development budgets differ (KGA uses labeled historical shift data; AETTA is label-free)</w:t>
            </w:r>
          </w:p>
        </w:tc>
      </w:tr>
    </w:tbl>
    <w:bookmarkEnd w:id="123"/>
    <w:bookmarkStart w:id="128" w:name="d-calibration-and-evaluation-contracts"/>
    <w:p>
      <w:pPr>
        <w:pStyle w:val="Heading1"/>
        <w:widowControl/>
      </w:pPr>
      <w:r>
        <w:t xml:space="preserve">D Calibration and Evaluation Contracts</w:t>
      </w:r>
    </w:p>
    <w:bookmarkStart w:id="124"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24"/>
    <w:bookmarkStart w:id="125"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25"/>
    <w:bookmarkStart w:id="126"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26"/>
    <w:bookmarkStart w:id="127"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27"/>
    <w:bookmarkEnd w:id="128"/>
    <w:bookmarkStart w:id="129"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m:t>F</m:t>
            </m:r>
            <m:r>
              <m:rPr>
                <m:sty m:val="p"/>
              </m:rPr>
              <m:t>A</m:t>
            </m:r>
          </m:e>
          <m:sub>
            <m:r>
              <m:t>u</m:t>
            </m:r>
          </m:sub>
        </m:sSub>
        <m:r>
          <m:rPr>
            <m:sty m:val="p"/>
          </m:rPr>
          <m:t>=</m:t>
        </m:r>
        <m:r>
          <m:t>0.0000</m:t>
        </m:r>
      </m:oMath>
      <w:r>
        <w:t xml:space="preserve">), 1,207/118/835 for EATA (</w:t>
      </w:r>
      <m:oMath>
        <m:sSub>
          <m:e>
            <m:r>
              <m:rPr>
                <m:sty m:val="p"/>
              </m:rPr>
              <m:t>F</m:t>
            </m:r>
            <m:r>
              <m:rPr>
                <m:sty m:val="p"/>
              </m:rPr>
              <m:t>A</m:t>
            </m:r>
          </m:e>
          <m:sub>
            <m:r>
              <m:t>u</m:t>
            </m:r>
          </m:sub>
        </m:sSub>
        <m:r>
          <m:rPr>
            <m:sty m:val="p"/>
          </m:rPr>
          <m:t>=</m:t>
        </m:r>
        <m:r>
          <m:t>0.0000</m:t>
        </m:r>
      </m:oMath>
      <w:r>
        <w:t xml:space="preserve">), and 1,430/0/730 for SAR (</w:t>
      </w:r>
      <m:oMath>
        <m:sSub>
          <m:e>
            <m:r>
              <m:rPr>
                <m:sty m:val="p"/>
              </m:rPr>
              <m:t>F</m:t>
            </m:r>
            <m:r>
              <m:rPr>
                <m:sty m:val="p"/>
              </m:rPr>
              <m:t>A</m:t>
            </m:r>
          </m:e>
          <m:sub>
            <m:r>
              <m:t>u</m:t>
            </m:r>
          </m:sub>
        </m:sSub>
        <m:r>
          <m:rPr>
            <m:sty m:val="p"/>
          </m:rPr>
          <m:t>=</m:t>
        </m:r>
        <m: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m:t>b</m:t>
            </m:r>
          </m:e>
        </m:acc>
      </m:oMath>
      <w:r>
        <w:t xml:space="preserve">) yielded 1,107/359/694 for Tent, 1,241/132/787 for EATA, and 1,446/0/714 for SAR (all with</w:t>
      </w:r>
      <w:r>
        <w:t xml:space="preserve"> </w:t>
      </w:r>
      <m:oMath>
        <m:sSub>
          <m:e>
            <m:r>
              <m:rPr>
                <m:sty m:val="p"/>
              </m:rPr>
              <m:t>F</m:t>
            </m:r>
            <m:r>
              <m:rPr>
                <m:sty m:val="p"/>
              </m:rPr>
              <m:t>A</m:t>
            </m:r>
          </m:e>
          <m:sub>
            <m:r>
              <m:t>u</m:t>
            </m:r>
          </m:sub>
        </m:sSub>
        <m:r>
          <m:rPr>
            <m:sty m:val="p"/>
          </m:rPr>
          <m:t>=</m:t>
        </m:r>
        <m: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29"/>
    <w:bookmarkStart w:id="136" w:name="f-inference-discipline"/>
    <w:p>
      <w:pPr>
        <w:pStyle w:val="Heading1"/>
        <w:widowControl/>
      </w:pPr>
      <w:r>
        <w:t xml:space="preserve">F Inference Discipline</w:t>
      </w:r>
    </w:p>
    <w:bookmarkStart w:id="130"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0"/>
    <w:bookmarkStart w:id="131"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1"/>
    <w:bookmarkStart w:id="132"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m:t>2</m:t>
        </m:r>
        <m:r>
          <m:t>ε</m:t>
        </m:r>
      </m:oMath>
      <w:r>
        <w:t xml:space="preserve">. Marginal errors (</w:t>
      </w:r>
      <m:oMath>
        <m:sSub>
          <m:e>
            <m:r>
              <m:rPr>
                <m:sty m:val="p"/>
              </m:rPr>
              <m:t>F</m:t>
            </m:r>
            <m:r>
              <m:rPr>
                <m:sty m:val="p"/>
              </m:rPr>
              <m:t>A</m:t>
            </m:r>
          </m:e>
          <m:sub>
            <m:r>
              <m:t>u</m:t>
            </m:r>
          </m:sub>
        </m:sSub>
      </m:oMath>
      <w:r>
        <w:t xml:space="preserve">,</w:t>
      </w:r>
      <w:r>
        <w:t xml:space="preserve"> </w:t>
      </w:r>
      <m:oMath>
        <m:sSub>
          <m:e>
            <m:r>
              <m:rPr>
                <m:sty m:val="p"/>
              </m:rPr>
              <m:t>F</m:t>
            </m:r>
            <m:r>
              <m:rPr>
                <m:sty m:val="p"/>
              </m:rPr>
              <m:t>F</m:t>
            </m:r>
          </m:e>
          <m:sub>
            <m:r>
              <m:t>u</m:t>
            </m:r>
          </m:sub>
        </m:sSub>
      </m:oMath>
      <w:r>
        <w:t xml:space="preserve">) divide by all</w:t>
      </w:r>
      <w:r>
        <w:t xml:space="preserve"> </w:t>
      </w:r>
      <m:oMath>
        <m:r>
          <m:t>N</m:t>
        </m:r>
        <m:r>
          <m:rPr>
            <m:sty m:val="p"/>
          </m:rPr>
          <m:t>=</m:t>
        </m:r>
        <m:r>
          <m:t>2</m:t>
        </m:r>
        <m:r>
          <m:rPr>
            <m:sty m:val="p"/>
          </m:rPr>
          <m:t>,</m:t>
        </m:r>
        <m:r>
          <m:t>160</m:t>
        </m:r>
      </m:oMath>
      <w:r>
        <w:t xml:space="preserve"> </w:t>
      </w:r>
      <w:r>
        <w:t xml:space="preserve">cells; conditional errors (</w:t>
      </w:r>
      <m:oMath>
        <m:sSub>
          <m:e>
            <m:r>
              <m:rPr>
                <m:sty m:val="p"/>
              </m:rPr>
              <m:t>F</m:t>
            </m:r>
            <m:r>
              <m:rPr>
                <m:sty m:val="p"/>
              </m:rPr>
              <m:t>A</m:t>
            </m:r>
          </m:e>
          <m:sub>
            <m:r>
              <m:t>c</m:t>
            </m:r>
          </m:sub>
        </m:sSub>
      </m:oMath>
      <w:r>
        <w:t xml:space="preserve">,</w:t>
      </w:r>
      <w:r>
        <w:t xml:space="preserve"> </w:t>
      </w:r>
      <m:oMath>
        <m:sSub>
          <m:e>
            <m:r>
              <m:rPr>
                <m:sty m:val="p"/>
              </m:rPr>
              <m:t>F</m:t>
            </m:r>
            <m:r>
              <m:rPr>
                <m:sty m:val="p"/>
              </m:rPr>
              <m:t>F</m:t>
            </m:r>
          </m:e>
          <m:sub>
            <m: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m:t>F</m:t>
                  </m:r>
                  <m:r>
                    <m:rPr>
                      <m:sty m:val="p"/>
                    </m:rPr>
                    <m:t>A</m:t>
                  </m:r>
                </m:e>
                <m:sub>
                  <m: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m:t>F</m:t>
                  </m:r>
                  <m:r>
                    <m:rPr>
                      <m:sty m:val="p"/>
                    </m:rPr>
                    <m:t>F</m:t>
                  </m:r>
                </m:e>
                <m:sub>
                  <m: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32"/>
    <w:bookmarkStart w:id="133"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33"/>
    <w:bookmarkStart w:id="135"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34"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34"/>
    <w:bookmarkEnd w:id="135"/>
    <w:bookmarkEnd w:id="136"/>
    <w:bookmarkStart w:id="141"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m:t>Δ</m:t>
                  </m:r>
                </m:e>
                <m:sup>
                  <m:r>
                    <m:rPr>
                      <m:sty m:val="p"/>
                    </m:rPr>
                    <m:t>c</m:t>
                  </m:r>
                  <m:r>
                    <m:rPr>
                      <m:sty m:val="p"/>
                    </m:rPr>
                    <m:t>e</m:t>
                  </m:r>
                  <m:r>
                    <m:rPr>
                      <m:sty m:val="p"/>
                    </m:rPr>
                    <m:t>l</m:t>
                  </m:r>
                  <m:r>
                    <m:rPr>
                      <m:sty m:val="p"/>
                    </m: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is part of the empirical record, establishing rigorous end-to-end traceability.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0" w:name="X70d84f40c09bb5f77e6b004cc7ba8ca8bcbd23b"/>
    <w:p>
      <w:pPr>
        <w:pStyle w:val="Heading2"/>
        <w:widowControl/>
      </w:pPr>
      <w:r>
        <w:t xml:space="preserve">G.1 CCT-20 Inference, Location, and Release Ledger</w:t>
      </w:r>
    </w:p>
    <w:bookmarkStart w:id="137"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37"/>
    <w:bookmarkStart w:id="138"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38"/>
    <w:bookmarkStart w:id="139"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m:t>+</m:t>
        </m:r>
        <m:r>
          <m:rPr>
            <m:sty m:val="p"/>
          </m:rPr>
          <m:t>/</m:t>
        </m:r>
        <m:r>
          <m:t>0</m:t>
        </m:r>
        <m:r>
          <m:rPr>
            <m:sty m:val="p"/>
          </m:rPr>
          <m:t>/</m:t>
        </m:r>
        <m:r>
          <m:rPr>
            <m:sty m:val="p"/>
          </m: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m:t>+</m:t>
              </m:r>
              <m:r>
                <m:rPr>
                  <m:sty m:val="p"/>
                </m:rPr>
                <m:t>/</m:t>
              </m:r>
              <m:r>
                <m:t>0</m:t>
              </m:r>
              <m:r>
                <m:rPr>
                  <m:sty m:val="p"/>
                </m:rPr>
                <m:t>/</m:t>
              </m:r>
              <m:r>
                <m:rPr>
                  <m:sty m:val="p"/>
                </m: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39"/>
    <w:bookmarkEnd w:id="140"/>
    <w:bookmarkEnd w:id="141"/>
    <w:bookmarkStart w:id="146" w:name="h-extended-kga-implementation-contract"/>
    <w:p>
      <w:pPr>
        <w:pStyle w:val="Heading1"/>
        <w:widowControl/>
      </w:pPr>
      <w:r>
        <w:t xml:space="preserve">H Extended KGA Implementation Contract</w:t>
      </w:r>
    </w:p>
    <w:bookmarkStart w:id="142"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42"/>
    <w:bookmarkStart w:id="143"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43"/>
    <w:bookmarkStart w:id="144"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44"/>
    <w:bookmarkStart w:id="145"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45"/>
    <w:bookmarkEnd w:id="146"/>
    <w:bookmarkStart w:id="148" w:name="i-evidence-inventory"/>
    <w:p>
      <w:pPr>
        <w:pStyle w:val="Heading1"/>
        <w:widowControl/>
      </w:pPr>
      <w:r>
        <w:t xml:space="preserve">I Evidence Inventory</w:t>
      </w:r>
    </w:p>
    <w:bookmarkStart w:id="147"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m:t>ℓ</m:t>
                  </m:r>
                </m:e>
                <m:sub>
                  <m: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Quantitative feature importance and single-feature ablation sensitivity for the 11 label-free evidence coordinates in the primary gradient-boosted benefit regressor. Relative Gini importance measures split gain across 250 trees;</w:t>
      </w:r>
      <w:r>
        <w:t xml:space="preserve"> </w:t>
      </w:r>
      <m:oMath>
        <m:r>
          <m:rPr>
            <m:sty m:val="p"/>
          </m:rPr>
          <m:t>Δ</m:t>
        </m:r>
        <m:r>
          <m:rPr>
            <m:sty m:val="p"/>
          </m:rPr>
          <m:t>R</m:t>
        </m:r>
        <m:r>
          <m:rPr>
            <m:sty m:val="p"/>
          </m:rPr>
          <m:t>M</m:t>
        </m:r>
        <m:r>
          <m:rPr>
            <m:sty m:val="p"/>
          </m:rPr>
          <m:t>S</m:t>
        </m:r>
        <m:r>
          <m:rPr>
            <m:sty m:val="p"/>
          </m:rPr>
          <m:t>E</m:t>
        </m:r>
        <m:r>
          <m:rPr>
            <m:sty m:val="p"/>
          </m:rPr>
          <m:t>(</m:t>
        </m:r>
        <m:r>
          <m:rPr>
            <m:sty m:val="p"/>
          </m:rPr>
          <m:t>D</m:t>
        </m:r>
        <m:r>
          <m:rPr>
            <m:sty m:val="p"/>
          </m:rPr>
          <m:t>r</m:t>
        </m:r>
        <m:r>
          <m:rPr>
            <m:sty m:val="p"/>
          </m:rPr>
          <m:t>o</m:t>
        </m:r>
        <m:r>
          <m:rPr>
            <m:sty m:val="p"/>
          </m:rPr>
          <m:t>p</m:t>
        </m:r>
        <m:r>
          <m:rPr>
            <m:sty m:val="p"/>
          </m:rPr>
          <m:t>)</m:t>
        </m:r>
      </m:oMath>
      <w:r>
        <w:t xml:space="preserve"> </w:t>
      </w:r>
      <w:r>
        <w:t xml:space="preserve">measures the increase in cross-fitted benefit estimation error when that coordinate is ablated.</w:t>
      </w:r>
    </w:p>
    <w:tbl>
      <w:tblPr>
        <w:tblStyle w:val="Table"/>
        <w:tblW w:type="dxa" w:w="9960"/>
        <w:jc w:val="left"/>
        <w:tblLayout w:type="fixed"/>
        <w:tblLook w:firstRow="1" w:lastRow="0" w:firstColumn="0" w:lastColumn="0" w:noHBand="0" w:noVBand="0" w:val="0020"/>
        <w:tblCaption w:val="Table 40. Quantitative feature importance and single-feature ablation sensitivity for the 11 label-free evidence coordinates in the primary gradient-boosted benefit regressor. Relative Gini importance measures split gain across 250 trees; \Delta\mathrm{RMSE (Drop)} measures the increase in cross-fitted benefit estimation error when that coordinate is ablat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1"/>
        <w:gridCol w:w="1402"/>
        <w:gridCol w:w="2370"/>
        <w:gridCol w:w="923"/>
        <w:gridCol w:w="899"/>
        <w:gridCol w:w="3645"/>
      </w:tblGrid>
      <w:tr>
        <w:trPr>
          <w:tblHeader w:val="true"/>
          <w:cantSplit w:val="true"/>
        </w:trPr>
        <w:tc>
          <w:tcPr>
            <w:tcW w:w="7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Rank</w:t>
            </w:r>
          </w:p>
        </w:tc>
        <w:tc>
          <w:tcPr>
            <w:tcW w:w="140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3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Gini Importance</w:t>
            </w:r>
          </w:p>
        </w:tc>
        <w:tc>
          <w:tcPr>
            <w:tcW w:w="8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m:t>Δ</m:t>
              </m:r>
            </m:oMath>
            <w:r>
              <w:rPr>
                <w:rFonts w:ascii="Times New Roman" w:hAnsi="Times New Roman"/>
                <w:b/>
                <w:bCs/>
                <w:sz w:val="15"/>
              </w:rPr>
              <w:t>RMSE (Drop)</w:t>
            </w:r>
          </w:p>
        </w:tc>
        <w:tc>
          <w:tcPr>
            <w:tcW w:w="36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Failure Mode Trapped</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p</m:t>
                  </m:r>
                  <m:r>
                    <m:rPr>
                      <m:sty m:val="p"/>
                    </m:rPr>
                    <m:t>b</m:t>
                  </m:r>
                  <m:r>
                    <m:rPr>
                      <m:sty m:val="p"/>
                    </m:rPr>
                    <m:t>a</m:t>
                  </m:r>
                  <m:r>
                    <m:rPr>
                      <m:sty m:val="p"/>
                    </m:rPr>
                    <m:t>l</m:t>
                  </m:r>
                </m:e>
                <m:sub>
                  <m:r>
                    <m:t>0</m:t>
                  </m:r>
                </m:sub>
              </m:sSub>
              <m:r>
                <m:rPr>
                  <m:sty m:val="p"/>
                </m:rPr>
                <m:t>−</m:t>
              </m:r>
              <m:sSub>
                <m:e>
                  <m:r>
                    <m:rPr>
                      <m:sty m:val="p"/>
                    </m:rPr>
                    <m:t>p</m:t>
                  </m:r>
                  <m:r>
                    <m:rPr>
                      <m:sty m:val="p"/>
                    </m:rPr>
                    <m:t>b</m:t>
                  </m:r>
                  <m:r>
                    <m:rPr>
                      <m:sty m:val="p"/>
                    </m:rPr>
                    <m:t>a</m:t>
                  </m:r>
                  <m:r>
                    <m:rPr>
                      <m:sty m:val="p"/>
                    </m:rPr>
                    <m:t>l</m:t>
                  </m:r>
                </m:e>
                <m:sub>
                  <m:r>
                    <m:t>a</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m:t>P</m:t>
              </m:r>
              <m:r>
                <m:rPr>
                  <m:sty m:val="p"/>
                </m:rPr>
                <m:t>(</m:t>
              </m:r>
              <m:sSub>
                <m:e>
                  <m:r>
                    <m:t>p</m:t>
                  </m:r>
                </m:e>
                <m:sub>
                  <m:r>
                    <m:t>a</m:t>
                  </m:r>
                </m:sub>
              </m:sSub>
              <m:r>
                <m:rPr>
                  <m:sty m:val="p"/>
                </m:rPr>
                <m:t>(</m:t>
              </m:r>
              <m:r>
                <m:t>y</m:t>
              </m:r>
              <m:r>
                <m:rPr>
                  <m:sty m:val="p"/>
                </m:rPr>
                <m:t>|</m:t>
              </m:r>
              <m:r>
                <m:t>x</m:t>
              </m:r>
              <m:r>
                <m:rPr>
                  <m:sty m:val="p"/>
                </m:rPr>
                <m:t>)</m:t>
              </m:r>
              <m:r>
                <m:rPr>
                  <m:sty m:val="p"/>
                </m:rPr>
                <m:t>≥</m:t>
              </m:r>
              <m:r>
                <m:t>0.9</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t>D</m:t>
                  </m:r>
                </m:e>
                <m:sub>
                  <m:r>
                    <m:rPr>
                      <m:sty m:val="p"/>
                    </m:rPr>
                    <m:t>K</m:t>
                  </m:r>
                  <m:r>
                    <m:rPr>
                      <m:sty m:val="p"/>
                    </m:rPr>
                    <m:t>L</m:t>
                  </m:r>
                </m:sub>
              </m:sSub>
              <m:r>
                <m:rPr>
                  <m:sty m:val="p"/>
                </m:rPr>
                <m:t>(</m:t>
              </m:r>
              <m:sSub>
                <m:e>
                  <m:r>
                    <m:t>P</m:t>
                  </m:r>
                </m:e>
                <m:sub>
                  <m:r>
                    <m:t>a</m:t>
                  </m:r>
                </m:sub>
              </m:sSub>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sSub>
                <m:e>
                  <m:r>
                    <m:t>θ</m:t>
                  </m:r>
                </m:e>
                <m:sub>
                  <m:r>
                    <m:t>a</m:t>
                  </m:r>
                </m:sub>
              </m:sSub>
              <m:r>
                <m:rPr>
                  <m:sty m:val="p"/>
                </m:rPr>
                <m:t>−</m:t>
              </m:r>
              <m:sSub>
                <m:e>
                  <m:r>
                    <m:t>θ</m:t>
                  </m:r>
                </m:e>
                <m:sub>
                  <m:r>
                    <m:t>0</m:t>
                  </m:r>
                </m:sub>
              </m:sSub>
              <m:sSub>
                <m:e>
                  <m:r>
                    <m:rPr>
                      <m:sty m:val="p"/>
                    </m:rPr>
                    <m:t>∥</m:t>
                  </m:r>
                </m:e>
                <m:sub>
                  <m:r>
                    <m:t>2</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0</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a</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reports their quantitative importance and ablation sensitivity in the primary GBRT benefit model. Predictive entropy drop (</w:t>
      </w: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r>
        <w:t xml:space="preserve">) and adapted candidate entropy account for over 44% of total split importance, reflecting that tracking predictive sharpening versus uniform disorientation is the dominant signal for detecting catastrophic collapse.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47"/>
    <w:bookmarkEnd w:id="148"/>
    <w:bookmarkStart w:id="149"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m:t>f</m:t>
                  </m:r>
                </m:e>
                <m:sub>
                  <m: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m:t>k</m:t>
              </m:r>
              <m:r>
                <m:rPr>
                  <m:sty m:val="p"/>
                </m:rPr>
                <m:t>&gt;</m:t>
              </m:r>
              <m: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End w:id="149"/>
    <w:bookmarkStart w:id="154"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50"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50"/>
    <w:bookmarkStart w:id="151"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51"/>
    <w:bookmarkStart w:id="152"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52"/>
    <w:bookmarkStart w:id="153"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53"/>
    <w:bookmarkEnd w:id="154"/>
    <w:bookmarkStart w:id="162"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m:t>0</m:t>
              </m:r>
              <m:r>
                <m:rPr>
                  <m:sty m:val="p"/>
                </m:rPr>
                <m:t>/</m:t>
              </m:r>
              <m: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m:t>μ</m:t>
                  </m:r>
                </m:e>
                <m:sub>
                  <m:r>
                    <m:t>T</m:t>
                  </m:r>
                </m:sub>
              </m:sSub>
              <m:r>
                <m:rPr>
                  <m:sty m:val="p"/>
                </m:rPr>
                <m:t>(</m:t>
              </m:r>
              <m:r>
                <m:t>D</m:t>
              </m:r>
              <m:r>
                <m:rPr>
                  <m:sty m:val="p"/>
                </m:rPr>
                <m:t>)</m:t>
              </m:r>
              <m:r>
                <m:rPr>
                  <m:sty m:val="p"/>
                </m:rPr>
                <m:t>&gt;</m:t>
              </m:r>
              <m: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m:t>β</m:t>
              </m:r>
              <m:r>
                <m:rPr>
                  <m:sty m:val="p"/>
                </m:rPr>
                <m:t>&gt;</m:t>
              </m:r>
              <m:r>
                <m:t>0</m:t>
              </m:r>
            </m:oMath>
            <w:r>
              <w:rPr>
                <w:rFonts w:ascii="Times New Roman" w:hAnsi="Times New Roman"/>
                <w:sz w:val="16"/>
              </w:rPr>
              <w:t>,</w:t>
            </w:r>
            <w:r>
              <w:rPr>
                <w:rFonts w:ascii="Times New Roman" w:hAnsi="Times New Roman"/>
                <w:sz w:val="16"/>
              </w:rPr>
              <w:t xml:space="preserve"> </w:t>
            </w:r>
            <m:oMath>
              <m:r>
                <m:rPr>
                  <m:sty m:val="p"/>
                </m:rPr>
                <m:t>|</m:t>
              </m:r>
              <m:r>
                <m:t>M</m:t>
              </m:r>
              <m:r>
                <m:rPr>
                  <m:sty m:val="p"/>
                </m:rPr>
                <m:t>|</m:t>
              </m:r>
              <m:r>
                <m:rPr>
                  <m:sty m:val="p"/>
                </m:rPr>
                <m:t>&lt;</m:t>
              </m:r>
              <m: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m:t>|</m:t>
              </m:r>
              <m:r>
                <m:t>M</m:t>
              </m:r>
              <m:r>
                <m:rPr>
                  <m:sty m:val="p"/>
                </m:rPr>
                <m:t>|</m:t>
              </m:r>
              <m:r>
                <m:rPr>
                  <m:sty m:val="p"/>
                </m:rPr>
                <m: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m:t>Δ</m:t>
              </m:r>
              <m:r>
                <m:rPr>
                  <m:sty m:val="p"/>
                </m:rPr>
                <m:t>=</m:t>
              </m:r>
              <m: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m:t>|</m:t>
              </m:r>
              <m:r>
                <m:t>γ</m:t>
              </m:r>
              <m:r>
                <m:rPr>
                  <m:sty m:val="p"/>
                </m:rPr>
                <m:t>|</m:t>
              </m:r>
              <m:r>
                <m:rPr>
                  <m:sty m:val="p"/>
                </m:rPr>
                <m:t>≤</m:t>
              </m:r>
              <m: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m:t>|</m:t>
              </m:r>
              <m:r>
                <m:t>M</m:t>
              </m:r>
              <m:r>
                <m:rPr>
                  <m:sty m:val="p"/>
                </m:rPr>
                <m:t>|</m:t>
              </m:r>
              <m:r>
                <m:rPr>
                  <m:sty m:val="p"/>
                </m:rPr>
                <m:t>&gt;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m:t>h</m:t>
                  </m:r>
                </m:e>
                <m:sub>
                  <m: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55"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55"/>
    <w:bookmarkStart w:id="156"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56"/>
    <w:bookmarkStart w:id="157"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57"/>
    <w:bookmarkStart w:id="158"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58"/>
    <w:bookmarkStart w:id="159"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59"/>
    <w:bookmarkStart w:id="160"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60"/>
    <w:bookmarkStart w:id="161"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61"/>
    <w:bookmarkEnd w:id="162"/>
    <w:bookmarkStart w:id="163"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sixth layer;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End w:id="163"/>
    <w:bookmarkStart w:id="170" w:name="n-reproducibility-and-release-procedures"/>
    <w:p>
      <w:pPr>
        <w:pStyle w:val="Heading1"/>
        <w:widowControl/>
      </w:pPr>
      <w:r>
        <w:t xml:space="preserve">N Reproducibility and Release Procedures</w:t>
      </w:r>
    </w:p>
    <w:bookmarkStart w:id="165"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164"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bookmarkEnd w:id="164"/>
    <w:bookmarkEnd w:id="165"/>
    <w:bookmarkStart w:id="166"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All non-containerized release sub-gates pass (reconciliation tests, claim-ledger and result-manifest</w:t>
      </w:r>
      <w:r>
        <w:t xml:space="preserve"> </w:t>
      </w:r>
      <w:r>
        <w:t xml:space="preserve">validation, Lean formal proof compilation, and presentation builds). Under the running Docker daemon,</w:t>
      </w:r>
      <w:r>
        <w:t xml:space="preserve"> </w:t>
      </w:r>
      <w:r>
        <w:t xml:space="preserve">the containerized production API contract (</w:t>
      </w:r>
      <w:r>
        <w:rPr>
          <w:rStyle w:val="VerbatimChar"/>
        </w:rPr>
        <w:t xml:space="preserve">tests/test_docker_release_contract.py</w:t>
      </w:r>
      <w:r>
        <w:t xml:space="preserve">) and</w:t>
      </w:r>
      <w:r>
        <w:t xml:space="preserve"> </w:t>
      </w:r>
      <w:r>
        <w:t xml:space="preserve">network-isolated deployment verification (</w:t>
      </w:r>
      <w:r>
        <w:rPr>
          <w:rStyle w:val="VerbatimChar"/>
        </w:rPr>
        <w:t xml:space="preserve">docker run --network none</w:t>
      </w:r>
      <w:r>
        <w:t xml:space="preserve">) execute and pass under</w:t>
      </w:r>
      <w:r>
        <w:t xml:space="preserve"> </w:t>
      </w:r>
      <w:r>
        <w:t xml:space="preserve">the release image (</w:t>
      </w:r>
      <w:r>
        <w:rPr>
          <w:rStyle w:val="VerbatimChar"/>
        </w:rPr>
        <w:t xml:space="preserve">kbound-api:task3</w:t>
      </w:r>
      <w:r>
        <w:t xml:space="preserve">), confirming containerized import, health status, and</w:t>
      </w:r>
      <w:r>
        <w:t xml:space="preserve"> </w:t>
      </w:r>
      <w:r>
        <w:t xml:space="preserve">decision endpoint functionality without network access.</w:t>
      </w:r>
    </w:p>
    <w:p>
      <w:pPr>
        <w:pStyle w:val="BodyText"/>
        <w:widowControl/>
      </w:pPr>
      <w:r>
        <w:t xml:space="preserve">For presentation-only rebuilding from already validated authorities, the command is:</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66"/>
    <w:bookmarkStart w:id="167"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details the component runtime latency profile and relative overhead of each gating phase.</w:t>
      </w:r>
    </w:p>
    <w:bookmarkEnd w:id="167"/>
    <w:bookmarkStart w:id="168"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68"/>
    <w:bookmarkStart w:id="169"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69"/>
    <w:bookmarkEnd w:id="170"/>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df"/><Relationship Id="rId113" Type="http://schemas.openxmlformats.org/officeDocument/2006/relationships/image" Target="media/rId113.pdf"/><Relationship Id="rId9" Type="http://schemas.openxmlformats.org/officeDocument/2006/relationships/image" Target="media/rId9.pdf"/><Relationship Id="rId56" Type="http://schemas.openxmlformats.org/officeDocument/2006/relationships/image" Target="media/rId56.pdf"/><Relationship Id="rId28" Type="http://schemas.openxmlformats.org/officeDocument/2006/relationships/image" Target="media/rId28.pdf"/><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2026-09-19T18:12:34Z</dcterms:created>
  <dcterms:modified xsi:type="dcterms:W3CDTF">2026-09-19T18:12:34Z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updates models without target labels, but updates can help or harm. We ask when evidence justifies replacing a frozen model with an adapted candidate. K-Bound answers this for a binary population model under an exogenous bound \beta on target calibration residual. Preserving label-free observations, we derive exact feasible intervals for paired population benefit: a strict choice is justified precisely when margin |M| &gt; \beta on disagreement; inside |M| \le \beta, no strict choice is uniformly justified. An audit theorem proves no uniformly valid audit on the same observable law can cover a smaller bound at declared confidence. Addressing this under a complementary inductive regime, Knowability-Guided Adaptation (KGA) serves as an empirical companion, not an implementation of this frontier. Trained on labeled historical outcomes, KGA predicts observed evaluation-cell benefit, selecting ADAPT, FREEZE, or ABSTAIN via residual intervals. On cross-fitted CIFAR-10-C, Tent and EATA achieve lower regret than fixed baselines, while SAR favors always-adapt. Across three independently trained ResNet-18 checkpoints, outcome-disjoint KGA achieved lower point regret than both fixed policies, with zero observed false ADAPT decisions on the evaluated mixed-sign panels. On camera traps (CCT-20), KGA retained the frozen model across all 45 cells, avoiding adaptation degradation with no ADAPT decisions. These empirical diagnostics do not establish interval coverage or population-risk protection on unseen natural shifts.</vt:lpwstr>
  </property>
  <property fmtid="{D5CDD505-2E9C-101B-9397-08002B2CF9AE}" pid="3" name="date">
    <vt:lpwstr/>
  </property>
</Properties>
</file>