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 model checkpoints on mixed-sign shifts, KGA achieves lower regret than fixed baselines while controlling false adaptations.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We present K-Bound and Knowability-Guided Adaptation (KGA) together because they address the</w:t>
      </w:r>
      <w:r>
        <w:t xml:space="preserve"> </w:t>
      </w:r>
      <w:r>
        <w:t xml:space="preserve">identical practitioner problem—when to risk model adaptation without ground-truth target</w:t>
      </w:r>
      <w:r>
        <w:t xml:space="preserve"> </w:t>
      </w:r>
      <w:r>
        <w:t xml:space="preserve">labels—under two complementary evidentiary regimes. K-Bound operates in the deductive regime of a single unlabeled test stream, establishing that</w:t>
      </w:r>
      <w:r>
        <w:t xml:space="preserve"> </w:t>
      </w:r>
      <w:r>
        <w:t xml:space="preserve">within the declared label-kernel class</w:t>
      </w:r>
      <w:r>
        <w:t xml:space="preserve"> </w:t>
      </w:r>
      <m:oMath>
        <m:sSub>
          <m:e>
            <m:r>
              <m:rPr>
                <m:scr m:val="script"/>
                <m:sty m:val="p"/>
              </m:rPr>
              <m:t>C</m:t>
            </m:r>
          </m:e>
          <m:sub>
            <m:r>
              <m:t>β</m:t>
            </m:r>
          </m:sub>
        </m:sSub>
      </m:oMath>
      <w:r>
        <w:t xml:space="preserve"> </w:t>
      </w:r>
      <w:r>
        <w:t xml:space="preserve">and observable evidence, auditing target risk</w:t>
      </w:r>
      <w:r>
        <w:t xml:space="preserve"> </w:t>
      </w:r>
      <w:r>
        <w:t xml:space="preserve">without an exogenous calibration residual bound</w:t>
      </w:r>
      <w:r>
        <w:t xml:space="preserve"> </w:t>
      </w:r>
      <m:oMath>
        <m:r>
          <m:t>β</m:t>
        </m:r>
      </m:oMath>
      <w:r>
        <w:t xml:space="preserve"> </w:t>
      </w:r>
      <w:r>
        <w:t xml:space="preserve">is impossible. (Alternative guarantees remain</w:t>
      </w:r>
      <w:r>
        <w:t xml:space="preserve"> </w:t>
      </w:r>
      <w:r>
        <w:t xml:space="preserve">possible under different structural couplings or domain assumptions.) KGA operates in the empirical</w:t>
      </w:r>
      <w:r>
        <w:t xml:space="preserve"> </w:t>
      </w:r>
      <w:r>
        <w:t xml:space="preserve">inductive regime where past shift records are available, fitting an empirical benefit predictor on</w:t>
      </w:r>
      <w:r>
        <w:t xml:space="preserve"> </w:t>
      </w:r>
      <w:r>
        <w:t xml:space="preserve">previous evaluation cells and calibrating its residual uncertainty to govern a three-way commitment gate.</w:t>
      </w:r>
      <w:r>
        <w:t xml:space="preserve"> </w:t>
      </w:r>
      <w:r>
        <w:t xml:space="preserve">We do not claim KGA implements or approximates the population frontier; rather, K-Bound clarifies</w:t>
      </w:r>
      <w:r>
        <w:t xml:space="preserve"> </w:t>
      </w:r>
      <w:r>
        <w:t xml:space="preserve">the information limits of unlabeled test data alone, while KGA explores what becomes operational</w:t>
      </w:r>
      <w:r>
        <w:t xml:space="preserve"> </w:t>
      </w:r>
      <w:r>
        <w:t xml:space="preserve">when empirical shift records are admitted into the evidentiary basis.</w:t>
      </w:r>
      <w:r>
        <w:t xml:space="preserve"> </w:t>
      </w:r>
      <w:r>
        <w:t xml:space="preserve">Section 6.1 formalizes this architectural relationship.</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provides the formal justification for why KGA is designed</w:t>
      </w:r>
      <w:r>
        <w:t xml:space="preserve"> </w:t>
      </w:r>
      <w:r>
        <w:t xml:space="preserve">as an inductive decision layer rather than an empirical estimator of</w:t>
      </w:r>
      <w:r>
        <w:t xml:space="preserve"> </w:t>
      </w:r>
      <m:oMath>
        <m:r>
          <m:t>β</m:t>
        </m:r>
      </m:oMath>
      <w:r>
        <w:t xml:space="preserve">. Because unlabeled</w:t>
      </w:r>
      <w:r>
        <w:t xml:space="preserve"> </w:t>
      </w:r>
      <w:r>
        <w:t xml:space="preserve">deployment data cannot identify the residual bound on its own evidence fibres, an empirical system</w:t>
      </w:r>
      <w:r>
        <w:t xml:space="preserve"> </w:t>
      </w:r>
      <w:r>
        <w:t xml:space="preserve">seeking data-driven decision thresholds must draw upon additional structure or assumptions (such</w:t>
      </w:r>
      <w:r>
        <w:t xml:space="preserve"> </w:t>
      </w:r>
      <w:r>
        <w:t xml:space="preserve">as the routes cataloged in Section 5.5). KGA pursues the</w:t>
      </w:r>
      <w:r>
        <w:t xml:space="preserve"> </w:t>
      </w:r>
      <w:r>
        <w:t xml:space="preserve">empirical shift-benchmark route:</w:t>
      </w:r>
      <w:r>
        <w:t xml:space="preserve"> </w:t>
      </w:r>
      <w:r>
        <w:t xml:space="preserve">it fits an empirical benefit regressor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and places a calibrated</w:t>
      </w:r>
      <w:r>
        <w:t xml:space="preserve"> </w:t>
      </w:r>
      <w:r>
        <w:t xml:space="preserve">conformal prediction radius</w:t>
      </w:r>
      <w:r>
        <w:t xml:space="preserve"> </w:t>
      </w:r>
      <m:oMath>
        <m:r>
          <m:t>ε</m:t>
        </m:r>
      </m:oMath>
      <w:r>
        <w:t xml:space="preserve"> </w:t>
      </w:r>
      <w:r>
        <w:t xml:space="preserve">around it. While population benefit</w:t>
      </w:r>
      <w:r>
        <w:t xml:space="preserve"> </w:t>
      </w:r>
      <m:oMath>
        <m:r>
          <m:rPr>
            <m:sty m:val="p"/>
          </m:rPr>
          <m:t>Δ</m:t>
        </m:r>
      </m:oMath>
      <w:r>
        <w:t xml:space="preserve"> </w:t>
      </w:r>
      <w:r>
        <w:t xml:space="preserve">and observed</w:t>
      </w:r>
      <w:r>
        <w:t xml:space="preserve"> </w:t>
      </w:r>
      <w:r>
        <w:t xml:space="preserve">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describe the same model pair under different evaluation</w:t>
      </w:r>
      <w:r>
        <w:t xml:space="preserve"> </w:t>
      </w:r>
      <w:r>
        <w:t xml:space="preserve">regimes, KGA’s finite-sample radius</w:t>
      </w:r>
      <w:r>
        <w:t xml:space="preserve"> </w:t>
      </w:r>
      <m:oMath>
        <m:r>
          <m:t>ε</m:t>
        </m:r>
      </m:oMath>
      <w:r>
        <w:t xml:space="preserve"> </w:t>
      </w:r>
      <w:r>
        <w:t xml:space="preserve">reflects predictive uncertainty over historical</w:t>
      </w:r>
      <w:r>
        <w:t xml:space="preserve"> </w:t>
      </w:r>
      <w:r>
        <w:t xml:space="preserve">cells, not an estimate of the latent population residual</w:t>
      </w:r>
      <w:r>
        <w:t xml:space="preserve"> </w:t>
      </w:r>
      <m:oMath>
        <m:r>
          <m:t>β</m:t>
        </m:r>
      </m:oMath>
      <w:r>
        <w:t xml:space="preserv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Furthermore, historical data do not automatically establish calibration transfer to unseen deployment environments.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Theorem 3 limits what the specified label-free evidence can establish: it cannot uniformly justify a residual bound smaller than the unresolved radius of its evidence fibre. This does not preclude useful guarantees under externally supplied budgets or additional structural assumptions. Proposition 5 gives a direct finite-sample rule under a credible declared budget (Appendix A.6).</w:t>
      </w:r>
      <w:r>
        <w:t xml:space="preserve"> </w:t>
      </w:r>
      <w:r>
        <w:rPr>
          <w:smallCaps/>
        </w:rPr>
        <w:t xml:space="preserve">KGA</w:t>
      </w:r>
      <w:r>
        <w:t xml:space="preserve"> </w:t>
      </w:r>
      <w:r>
        <w:t xml:space="preserve">explores a different route, using historical labeled shift outcomes to predict and calibrate evaluation-cell benefit. Its validity depends on its stated calibration assumptions, rather than on an ability to estimate</w:t>
      </w:r>
      <w:r>
        <w:t xml:space="preserve"> </w:t>
      </w:r>
      <m:oMath>
        <m:r>
          <m:t>β</m:t>
        </m:r>
      </m:oMath>
      <w:r>
        <w:t xml:space="preserve"> </w:t>
      </w:r>
      <w:r>
        <w:t xml:space="preserve">from deployment observations alone.</w:t>
      </w:r>
    </w:p>
    <w:p>
      <w:pPr>
        <w:pStyle w:val="BodyText"/>
        <w:widowControl/>
      </w:pPr>
      <w:r>
        <w:rPr>
          <w:smallCaps/>
        </w:rPr>
        <w:t xml:space="preserve">KGA</w:t>
      </w:r>
      <w:r>
        <w:t xml:space="preserve"> </w:t>
      </w:r>
      <w:r>
        <w:t xml:space="preserve">does not attempt to implement the theoretical</w:t>
      </w:r>
      <w:r>
        <w:t xml:space="preserve"> </w:t>
      </w:r>
      <m:oMath>
        <m:r>
          <m:t>β</m:t>
        </m:r>
      </m:oMath>
      <w:r>
        <w:t xml:space="preserve">-frontier without historical data; rather, it provides an empirical alternative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42"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In particular, we formally prove that a label-free one-bit decoder exists if and only if the label is constant on each observable evidence fibre. The stronger claim that one representative per swap orbit suffices is refuted by an explicit machine-checked counterexample. Furthermore, rate transfer holds only under an explicit episode-level contract (</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 exchangeability, or establish prospective population provenance.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Because all development cells for Tent were harmful, the calibration distribution supplied no positive examples, leading the</w:t>
      </w:r>
      <w:r>
        <w:t xml:space="preserve"> </w:t>
      </w:r>
      <w:r>
        <w:t xml:space="preserve">model to predict negative benefit across all evaluation cells.</w:t>
      </w:r>
      <w:r>
        <w:t xml:space="preserve"> </w:t>
      </w:r>
      <w:r>
        <w:t xml:space="preserve">This establishes effective conservative retention of the frozen model on this camera-trap deployment, while illustrating that selective routing requires exposure to positive adaptation signals during calibration.</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(alongside an exploratory 31-ADAPT post-hoc sensitivity partition reported in Appendix B.5). Across all evaluated natural panels (CCT-20 camera traps, the 72-condition Camelyon17 diagnostic, and RxRx1), KGA makes zero ADAPT decisions, reliably defaulting to conservative retention when domain shift degrades predictive certainty.</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On these severe corruptions where unhedged adaptation collapses, the gate safely halts adaptation by issuing exclusively FREEZE or ABSTAIN actions (</w:t>
      </w:r>
      <m:oMath>
        <m:sSub>
          <m:e>
            <m:r>
              <m:rPr>
                <m:sty m:val="p"/>
              </m:rPr>
              <m:t>F</m:t>
            </m:r>
            <m:r>
              <m:rPr>
                <m:sty m:val="p"/>
              </m:rPr>
              <m:t>A</m:t>
            </m:r>
          </m:e>
          <m:sub>
            <m:r>
              <m:t>u</m:t>
            </m:r>
          </m:sub>
        </m:sSub>
        <m:r>
          <m:rPr>
            <m:sty m:val="p"/>
          </m:rPr>
          <m:t>=</m:t>
        </m:r>
        <m:r>
          <m:t>0.0000</m:t>
        </m:r>
      </m:oMath>
      <w:r>
        <w:t xml:space="preserve">).</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though within the maintained benchmark, all 45 cells consistently retain the frozen baseline.</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ablation-empirical-surrogate-for-beta."/>
    <w:p>
      <w:pPr>
        <w:pStyle w:val="Heading3"/>
        <w:keepNext/>
        <w:widowControl/>
        <w:spacing w:before="100" w:after="20" w:line="252" w:lineRule="auto"/>
      </w:pPr>
      <w:r>
        <w:rPr>
          <w:rFonts w:ascii="Times New Roman" w:hAnsi="Times New Roman" w:eastAsia="Times New Roman" w:cs="Times New Roman"/>
          <w:b/>
          <w:sz w:val="19"/>
        </w:rPr>
        <w:t xml:space="preserve">Ablation: Empirical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This operational failure directly corroborates Theorem 3: processing unchanged evidence</w:t>
      </w:r>
      <w:r>
        <w:t xml:space="preserve"> </w:t>
      </w:r>
      <w:r>
        <w:t xml:space="preserve">cannot replace a justified structural assumption.</w:t>
      </w:r>
      <w:r>
        <w:t xml:space="preserve"> </w:t>
      </w:r>
      <w:r>
        <w:t xml:space="preserve">The theorem does not identify the cause or magnitude of this particular proxy’s errors. Rather,</w:t>
      </w:r>
      <w:r>
        <w:t xml:space="preserve"> </w:t>
      </w:r>
      <w:r>
        <w:t xml:space="preserve">Theorem 3 shows why</w:t>
      </w:r>
      <w:r>
        <w:t xml:space="preserve"> </w:t>
      </w:r>
      <m:oMath>
        <m:r>
          <m:t>β</m:t>
        </m:r>
      </m:oMath>
      <w:r>
        <w:t xml:space="preserve"> </w:t>
      </w:r>
      <w:r>
        <w:t xml:space="preserve">cannot be audited from label-free target</w:t>
      </w:r>
      <w:r>
        <w:t xml:space="preserve"> </w:t>
      </w:r>
      <w:r>
        <w:t xml:space="preserve">data alone within this rich kernel class;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(by analogy to sensitivity analysis in causal inference), while</w:t>
      </w:r>
      <w:r>
        <w:t xml:space="preserve"> </w:t>
      </w:r>
      <w:r>
        <w:t xml:space="preserve">KGA pursues empirical evaluation-cell interval coverage through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 and does not establish opportunistic routing.</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8"/>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official implementations for certain external baselines (e.g., Kim et al.’s TTA/ALine [51], Baek et al.’s ALine [17], and original POEM pipelines) were deprecated, partially incomplete, or incompatible with our standardized multi-platform evaluation harness. We therefore evaluate them via our faithfully reconstructed component ports on common feature representations.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r>
        <w:t xml:space="preserve"> </w:t>
      </w:r>
      <w:r>
        <w:t xml:space="preserve">Empirically, we find that enforcing rigorous finite-sample safety bounds frequently results in conservative retention of the frozen model. This</w:t>
      </w:r>
      <w:r>
        <w:t xml:space="preserve"> </w:t>
      </w:r>
      <w:r>
        <w:t xml:space="preserve">“price of rigor”</w:t>
      </w:r>
      <w:r>
        <w:t xml:space="preserve"> </w:t>
      </w:r>
      <w:r>
        <w:t xml:space="preserve">highlights a fundamental tension in test-time adaptation: opportunistic routing on unseen domains is inherently risky, and mathematical safety naturally suppresses adaptation at standard batch sizes.</w:t>
      </w:r>
    </w:p>
    <w:bookmarkEnd w:id="72"/>
    <w:bookmarkStart w:id="76"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 the supplementary reproducibility archive.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 the supplementary repository.</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 the supplementary repository.</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surveyed third-party published baseline implementations. Upstream Kim et al. (TTA / ALine) was unavailable for native execution due to upstream repository deprecation.</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Complete per-condition traces and execution receipts are archived in the supplementary repository.</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 preserved in the supplementary repository.</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As an exploratory comparison, Table 29 also reports a post-hoc sensitivity partition thresholded at</w:t>
      </w:r>
      <w:r>
        <w:t xml:space="preserve"> </w:t>
      </w:r>
      <m:oMath>
        <m:r>
          <m:t>ε</m:t>
        </m:r>
        <m:r>
          <m:rPr>
            <m:sty m:val="p"/>
          </m:rPr>
          <m:t>=</m:t>
        </m:r>
        <m:r>
          <m:t>0.0296</m:t>
        </m:r>
      </m:oMath>
      <w:r>
        <w:t xml:space="preserve"> </w:t>
      </w:r>
      <w:r>
        <w:t xml:space="preserve">(31 ADAPT, 19 FREEZE, 22 ABSTAIN).</w:t>
      </w:r>
    </w:p>
    <w:p>
      <w:pPr>
        <w:pStyle w:val="BodyText"/>
        <w:widowControl/>
      </w:pPr>
      <w:r>
        <w:t xml:space="preserve">@lccccccr@</w:t>
      </w:r>
      <w:r>
        <w:t xml:space="preserve"> </w:t>
      </w:r>
      <w:r>
        <w:rPr>
          <w:b/>
          <w:bCs/>
        </w:rPr>
        <w:t xml:space="preserve">Evaluation Regimen</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t xml:space="preserve"> </w:t>
      </w:r>
      <w:r>
        <w:t xml:space="preserve">&amp;</w:t>
      </w:r>
      <w:r>
        <w:t xml:space="preserve"> </w:t>
      </w:r>
      <w:r>
        <w:rPr>
          <w:b/>
          <w:bCs/>
        </w:rPr>
        <w:t xml:space="preserve">Regret</w:t>
      </w:r>
      <w:r>
        <w:t xml:space="preserve"> </w:t>
      </w:r>
      <w:r>
        <w:t xml:space="preserve">(</w:t>
      </w:r>
      <m:oMath>
        <m:sSub>
          <m:e>
            <m:r>
              <m:t>R</m:t>
            </m:r>
          </m:e>
          <m:sub>
            <m:r>
              <m:rPr>
                <m:sty m:val="p"/>
              </m:rPr>
              <m:t>K</m:t>
            </m:r>
            <m:r>
              <m:rPr>
                <m:sty m:val="p"/>
              </m:rPr>
              <m:t>G</m:t>
            </m:r>
            <m:r>
              <m:rPr>
                <m:sty m:val="p"/>
              </m:rPr>
              <m:t>A</m:t>
            </m:r>
          </m:sub>
        </m:sSub>
        <m:r>
          <m:rPr>
            <m:sty m:val="p"/>
          </m:rPr>
          <m:t>/</m:t>
        </m:r>
        <m:sSub>
          <m:e>
            <m:r>
              <m:t>R</m:t>
            </m:r>
          </m:e>
          <m:sub>
            <m:r>
              <m:rPr>
                <m:sty m:val="p"/>
              </m:rPr>
              <m:t>a</m:t>
            </m:r>
            <m:r>
              <m:rPr>
                <m:sty m:val="p"/>
              </m:rPr>
              <m:t>d</m:t>
            </m:r>
            <m:r>
              <m:rPr>
                <m:sty m:val="p"/>
              </m:rPr>
              <m:t>a</m:t>
            </m:r>
            <m:r>
              <m:rPr>
                <m:sty m:val="p"/>
              </m:rPr>
              <m:t>p</m:t>
            </m:r>
            <m:r>
              <m:rPr>
                <m:sty m:val="p"/>
              </m:rPr>
              <m:t>t</m:t>
            </m:r>
          </m:sub>
        </m:sSub>
        <m:r>
          <m:rPr>
            <m:sty m:val="p"/>
          </m:rPr>
          <m:t>/</m:t>
        </m:r>
        <m:sSub>
          <m:e>
            <m:r>
              <m:t>R</m:t>
            </m:r>
          </m:e>
          <m:sub>
            <m:r>
              <m:rPr>
                <m:sty m:val="p"/>
              </m:rPr>
              <m:t>f</m:t>
            </m:r>
            <m:r>
              <m:rPr>
                <m:sty m:val="p"/>
              </m:rPr>
              <m:t>r</m:t>
            </m:r>
            <m:r>
              <m:rPr>
                <m:sty m:val="p"/>
              </m:rPr>
              <m:t>e</m:t>
            </m:r>
            <m:r>
              <m:rPr>
                <m:sty m:val="p"/>
              </m:rPr>
              <m:t>e</m:t>
            </m:r>
            <m:r>
              <m:rPr>
                <m:sty m:val="p"/>
              </m:rPr>
              <m:t>z</m:t>
            </m:r>
            <m:r>
              <m:rPr>
                <m:sty m:val="p"/>
              </m:rPr>
              <m:t>e</m:t>
            </m:r>
          </m:sub>
        </m:sSub>
      </m:oMath>
      <w:r>
        <w:t xml:space="preserve">)</w:t>
      </w:r>
      <w:r>
        <w:br/>
      </w:r>
      <w:r>
        <w:rPr>
          <w:b/>
          <w:bCs/>
        </w:rPr>
        <w:t xml:space="preserve">Authenticated Outcome-Blind</w:t>
      </w:r>
      <w:r>
        <w:t xml:space="preserve"> </w:t>
      </w:r>
      <w:r>
        <w:t xml:space="preserve">(</w:t>
      </w:r>
      <m:oMath>
        <m:r>
          <m:t>ε</m:t>
        </m:r>
        <m:r>
          <m:rPr>
            <m:sty m:val="p"/>
          </m:rPr>
          <m:t>=</m:t>
        </m:r>
        <m:r>
          <m:t>0.1621</m:t>
        </m:r>
      </m:oMath>
      <w:r>
        <w:t xml:space="preserve">) &amp; 41 &amp; 4 &amp; 27 &amp; 0 &amp; 2 &amp; 70 &amp;</w:t>
      </w:r>
      <w:r>
        <w:t xml:space="preserve"> </w:t>
      </w:r>
      <m:oMath>
        <m:r>
          <m:t>0.0438</m:t>
        </m:r>
      </m:oMath>
      <w:r>
        <w:t xml:space="preserve"> </w:t>
      </w:r>
      <w:r>
        <w:t xml:space="preserve">/</w:t>
      </w:r>
      <w:r>
        <w:t xml:space="preserve"> </w:t>
      </w:r>
      <m:oMath>
        <m:r>
          <m:t>0.0393</m:t>
        </m:r>
      </m:oMath>
      <w:r>
        <w:t xml:space="preserve"> </w:t>
      </w:r>
      <w:r>
        <w:t xml:space="preserve">/</w:t>
      </w:r>
      <w:r>
        <w:t xml:space="preserve"> </w:t>
      </w:r>
      <m:oMath>
        <m:r>
          <m:t>0.0438</m:t>
        </m:r>
      </m:oMath>
      <w:r>
        <w:br/>
      </w:r>
      <w:r>
        <w:rPr>
          <w:i/>
          <w:iCs/>
        </w:rPr>
        <w:t xml:space="preserve">Demoted post-hoc sensitivity</w:t>
      </w:r>
      <m:oMath>
        <m:sSup>
          <m:e>
            <m:r>
              <m:t>​</m:t>
            </m:r>
          </m:e>
          <m:sup>
            <m:r>
              <m:rPr>
                <m:sty m:val="p"/>
              </m:rPr>
              <m:t>†</m:t>
            </m:r>
          </m:sup>
        </m:sSup>
      </m:oMath>
      <w:r>
        <w:t xml:space="preserve"> </w:t>
      </w:r>
      <w:r>
        <w:t xml:space="preserve">(</w:t>
      </w:r>
      <m:oMath>
        <m:r>
          <m:t>ε</m:t>
        </m:r>
        <m:r>
          <m:rPr>
            <m:sty m:val="p"/>
          </m:rPr>
          <m:t>=</m:t>
        </m:r>
        <m:r>
          <m:t>0.0296</m:t>
        </m:r>
      </m:oMath>
      <w:r>
        <w:t xml:space="preserve">) &amp; 41 &amp; 4 &amp; 27 &amp; 31 &amp; 19 &amp; 22 &amp;</w:t>
      </w:r>
      <w:r>
        <w:t xml:space="preserve"> </w:t>
      </w:r>
      <m:oMath>
        <m:r>
          <m:t>0.0018</m:t>
        </m:r>
      </m:oMath>
      <w:r>
        <w:t xml:space="preserve"> </w:t>
      </w:r>
      <w:r>
        <w:t xml:space="preserve">/</w:t>
      </w:r>
      <w:r>
        <w:t xml:space="preserve"> </w:t>
      </w:r>
      <m:oMath>
        <m:r>
          <m:t>0.0393</m:t>
        </m:r>
      </m:oMath>
      <w:r>
        <w:t xml:space="preserve"> </w:t>
      </w:r>
      <w:r>
        <w:t xml:space="preserve">/</w:t>
      </w:r>
      <w:r>
        <w:t xml:space="preserve"> </w:t>
      </w:r>
      <m:oMath>
        <m:r>
          <m:t>0.0438</m:t>
        </m:r>
      </m:oMath>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67200" cy="21336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Within-model 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0.09</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0.28</m:t>
              </m:r>
              <m:r>
                <m:rPr>
                  <m:nor/>
                  <m:sty m:val="p"/>
                </m:rPr>
                <m:t> pp</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incurs higher point regret (</w:t>
            </w:r>
            <m:oMath>
              <m:r>
                <m:t>0.23</m:t>
              </m:r>
            </m:oMath>
            <w:r>
              <w:rPr>
                <w:rFonts w:ascii="Times New Roman" w:hAnsi="Times New Roman"/>
                <w:sz w:val="17"/>
              </w:rPr>
              <w:t>–</w:t>
            </w:r>
            <m:oMath>
              <m:r>
                <m:t>1.14</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0.05</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0.78</m:t>
              </m:r>
              <m:r>
                <m:rPr>
                  <m:nor/>
                  <m:sty m:val="p"/>
                </m:rPr>
                <m:t> pp</m:t>
              </m:r>
            </m:oMath>
            <w:r>
              <w:rPr>
                <w:rFonts w:ascii="Times New Roman" w:hAnsi="Times New Roman"/>
                <w:sz w:val="17"/>
              </w:rPr>
              <w:t xml:space="preserve"> </w:t>
            </w:r>
            <w:r>
              <w:rPr>
                <w:rFonts w:ascii="Times New Roman" w:hAnsi="Times New Roman"/>
                <w:sz w:val="17"/>
              </w:rPr>
              <w:t>vs AETTA) while committing zero observed false adaptations vs 4–5 observed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establishing rigorous end-to-end traceability.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2026-09-19T02:36:42Z</dcterms:created>
  <dcterms:modified xsi:type="dcterms:W3CDTF">2026-09-19T02:36:42Z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 model checkpoints on mixed-sign shifts, KGA achieves lower regret than fixed baselines while controlling false adaptations.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