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r>
        <w:br/>
      </w:r>
      <w:r>
        <w:t xml:space="preserve">Helpful, Harmful, and Unknowable Regimes Under Distribution Shift</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a model without new target labels, but an update can help or harm.</w:t>
      </w:r>
      <w:r>
        <w:t xml:space="preserve"> </w:t>
      </w:r>
      <w:r>
        <w:t xml:space="preserve">We ask when the available evidence supports replacing a frozen predictor with a fixed adapted</w:t>
      </w:r>
      <w:r>
        <w:t xml:space="preserve"> </w:t>
      </w:r>
      <w:r>
        <w:t xml:space="preserve">candidate. K-Bound answers this question for a binary population model with a declared bound</w:t>
      </w:r>
      <w:r>
        <w:t xml:space="preserve"> </w:t>
      </w:r>
      <m:oMath>
        <m:r>
          <m:t>β</m:t>
        </m:r>
      </m:oMath>
      <w:r>
        <w:t xml:space="preserve"> </w:t>
      </w:r>
      <w:r>
        <w:t xml:space="preserve">on the target calibration residual. We construct target label laws that preserve all</w:t>
      </w:r>
      <w:r>
        <w:t xml:space="preserve"> </w:t>
      </w:r>
      <w:r>
        <w:t xml:space="preserve">label-free observations and derive the exact feasible interval for paired benefit. A strict</w:t>
      </w:r>
      <w:r>
        <w:t xml:space="preserve"> </w:t>
      </w:r>
      <w:r>
        <w:t xml:space="preserve">decision is supported precisely when</w:t>
      </w:r>
      <w:r>
        <w:t xml:space="preserve"> </w:t>
      </w:r>
      <m:oMath>
        <m:r>
          <m:rPr>
            <m:sty m:val="p"/>
          </m:rPr>
          <m:t>|</m:t>
        </m:r>
        <m:r>
          <m:t>M</m:t>
        </m:r>
        <m:r>
          <m:rPr>
            <m:sty m:val="p"/>
          </m:rPr>
          <m:t>|</m:t>
        </m:r>
        <m:r>
          <m:rPr>
            <m:sty m:val="p"/>
          </m:rPr>
          <m:t>&gt;</m:t>
        </m:r>
        <m:r>
          <m:t>β</m:t>
        </m:r>
      </m:oMath>
      <w:r>
        <w:t xml:space="preserve">; inside the closed band, no strict direction is</w:t>
      </w:r>
      <w:r>
        <w:t xml:space="preserve"> </w:t>
      </w:r>
      <w:r>
        <w:t xml:space="preserve">uniformly justified. We also show why the same observations cannot audit away the unresolved</w:t>
      </w:r>
      <w:r>
        <w:t xml:space="preserve"> </w:t>
      </w:r>
      <w:r>
        <w:t xml:space="preserve">residual bound. Knowability-Guided Adaptation (</w:t>
      </w:r>
      <w:r>
        <w:rPr>
          <w:smallCaps/>
        </w:rPr>
        <w:t xml:space="preserve">KGA</w:t>
      </w:r>
      <w:r>
        <w:t xml:space="preserve">) is an empirical companion, not an implementation</w:t>
      </w:r>
      <w:r>
        <w:t xml:space="preserve"> </w:t>
      </w:r>
      <w:r>
        <w:t xml:space="preserve">of this frontier. It learns to predict observed evaluation-cell benefit from labeled historical</w:t>
      </w:r>
      <w:r>
        <w:t xml:space="preserve"> </w:t>
      </w:r>
      <w:r>
        <w:t xml:space="preserve">outcomes, then uses a residual-based interval to choose ADAPT, FREEZE, or ABSTAIN without new</w:t>
      </w:r>
      <w:r>
        <w:t xml:space="preserve"> </w:t>
      </w:r>
      <w:r>
        <w:t xml:space="preserve">evaluation labels. On an exploratory, cross-fitted CIFAR-10-C panel, Tent and EATA have lower point</w:t>
      </w:r>
      <w:r>
        <w:t xml:space="preserve"> </w:t>
      </w:r>
      <w:r>
        <w:t xml:space="preserve">regret than either fixed policy, while SAR favors always-adapt. On CCT-20, KGA retains frozen</w:t>
      </w:r>
      <w:r>
        <w:t xml:space="preserve"> </w:t>
      </w:r>
      <w:r>
        <w:t xml:space="preserve">predictions and avoids observed degradation from always-adapt, but makes no ADAPT decisions.</w:t>
      </w:r>
      <w:r>
        <w:t xml:space="preserve"> </w:t>
      </w:r>
      <w:r>
        <w:t xml:space="preserve">These results support candidate-specific commitment control; they do not establish interval</w:t>
      </w:r>
      <w:r>
        <w:t xml:space="preserve"> </w:t>
      </w:r>
      <w:r>
        <w:t xml:space="preserve">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Knowability-Guided Adaptation (KGA) is an</w:t>
      </w:r>
      <w:r>
        <w:t xml:space="preserve"> </w:t>
      </w:r>
      <w:r>
        <w:rPr>
          <w:i/>
          <w:iCs/>
        </w:rPr>
        <w:t xml:space="preserve">empirical companion</w:t>
      </w:r>
      <w:r>
        <w:t xml:space="preserve"> </w:t>
      </w:r>
      <w:r>
        <w:t xml:space="preserve">to this analysis. It predicts</w:t>
      </w:r>
      <w:r>
        <w:t xml:space="preserve"> </w:t>
      </w:r>
      <w:r>
        <w:t xml:space="preserve">the observed benefit of a model pair on an evaluation cell and acts only when a residual-based</w:t>
      </w:r>
      <w:r>
        <w:t xml:space="preserve"> </w:t>
      </w:r>
      <w:r>
        <w:t xml:space="preserve">interval excludes zero. KGA is label-free at deployment, not during development and calibration:</w:t>
      </w:r>
      <w:r>
        <w:t xml:space="preserve"> </w:t>
      </w:r>
      <w:r>
        <w:t xml:space="preserve">historical labeled outcomes train the benefit predictor and calibrate its errors. It neither</w:t>
      </w:r>
      <w:r>
        <w:t xml:space="preserve"> </w:t>
      </w:r>
      <w:r>
        <w:t xml:space="preserve">estimates the population residual bound nor implements the population frontier numerically.</w:t>
      </w:r>
      <w:r>
        <w:t xml:space="preserve"> </w:t>
      </w:r>
      <w:r>
        <w:t xml:space="preserve">Section 6.1 explains the common decision logic and the different guarantees.</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The CCT-20 study shows a different behavior: KGA retains frozen predictions and</w:t>
      </w:r>
      <w:r>
        <w:t xml:space="preserve"> </w:t>
      </w:r>
      <w:r>
        <w:t xml:space="preserve">avoids the measured loss from always adapting, but never selects ADAPT. These two studies separate</w:t>
      </w:r>
      <w:r>
        <w:t xml:space="preserve"> </w:t>
      </w:r>
      <w:r>
        <w:t xml:space="preserve">selective routing from conservative retention. The supplementary results retain adverse,</w:t>
      </w:r>
      <w:r>
        <w:t xml:space="preserve"> </w:t>
      </w:r>
      <w:r>
        <w:t xml:space="preserve">incomplete, and withheld studies, so this distinction does not depend on discarding unfavorable</w:t>
      </w:r>
      <w:r>
        <w:t xml:space="preserve"> </w:t>
      </w:r>
      <w:r>
        <w:t xml:space="preserve">evidence.</w:t>
      </w:r>
    </w:p>
    <w:p>
      <w:pPr>
        <w:pStyle w:val="CaptionedFigure"/>
        <w:widowControl/>
        <w:jc w:val="center"/>
      </w:pPr>
      <w:r>
        <w:drawing>
          <wp:inline>
            <wp:extent cx="4267200" cy="1584960"/>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ng" id="11" name="Picture"/>
                    <pic:cNvPicPr>
                      <a:picLocks noChangeArrowheads="1" noChangeAspect="1"/>
                    </pic:cNvPicPr>
                  </pic:nvPicPr>
                  <pic:blipFill>
                    <a:blip r:embed="rId9"/>
                    <a:stretch>
                      <a:fillRect/>
                    </a:stretch>
                  </pic:blipFill>
                  <pic:spPr bwMode="auto">
                    <a:xfrm>
                      <a:off x="0" y="0"/>
                      <a:ext cx="4267200" cy="1584960"/>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A current-policy</w:t>
      </w:r>
      <w:r>
        <w:t xml:space="preserve"> </w:t>
      </w:r>
      <w:r>
        <w:t xml:space="preserve">head-to-head comparison with the published TTA/ALine procedure and AETTA remains missing.</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w:t>
      </w:r>
      <w:r>
        <w:t xml:space="preserve"> </w:t>
      </w:r>
      <w:r>
        <w:t xml:space="preserve">the paper does not report a synchronized official head-to-head experiment.</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the paper does not report a synchronized official head-to-head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4267200" cy="1666875"/>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ng" id="30" name="Picture"/>
                    <pic:cNvPicPr>
                      <a:picLocks noChangeArrowheads="1" noChangeAspect="1"/>
                    </pic:cNvPicPr>
                  </pic:nvPicPr>
                  <pic:blipFill>
                    <a:blip r:embed="rId28"/>
                    <a:stretch>
                      <a:fillRect/>
                    </a:stretch>
                  </pic:blipFill>
                  <pic:spPr bwMode="auto">
                    <a:xfrm>
                      <a:off x="0" y="0"/>
                      <a:ext cx="4267200" cy="1666875"/>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e>
                </m:mr>
              </m:m>
            </m:e>
          </m:borderBox>
        </m:oMath>
      </m:oMathPara>
    </w:p>
    <w:p>
      <w:pPr>
        <w:pStyle w:val="FirstParagraph"/>
        <w:widowControl/>
      </w:pPr>
      <w:r>
        <w:t xml:space="preserve">This equality connects the audit problem to the strict-commitment frontier. It does not turn the</w:t>
      </w:r>
      <w:r>
        <w:t xml:space="preserve"> </w:t>
      </w:r>
      <w:r>
        <w:t xml:space="preserve">declaration into an estimate.</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 These are purchases made with labels or assumptions; they are not consequences of the</w:t>
      </w:r>
      <w:r>
        <w:t xml:space="preserve"> </w:t>
      </w:r>
      <w:r>
        <w:t xml:space="preserve">current unlabeled batch. Detailed rate results and extended constructions belong to the long-form</w:t>
      </w:r>
      <w:r>
        <w:t xml:space="preserve"> </w:t>
      </w:r>
      <w:r>
        <w:t xml:space="preserve">theory record and are not required by the empirical claims here.</w:t>
      </w:r>
    </w:p>
    <w:bookmarkEnd w:id="38"/>
    <w:bookmarkStart w:id="39" w:name="implications-for-k-bound"/>
    <w:p>
      <w:pPr>
        <w:pStyle w:val="Heading2"/>
        <w:widowControl/>
      </w:pPr>
      <w:r>
        <w:t xml:space="preserve">5.6 Implications for K-Bound</w:t>
      </w:r>
    </w:p>
    <w:p>
      <w:pPr>
        <w:pStyle w:val="FirstParagraph"/>
        <w:widowControl/>
      </w:pPr>
      <w:r>
        <w:t xml:space="preserve">KGA does not estimate</w:t>
      </w:r>
      <w:r>
        <w:t xml:space="preserve"> </w:t>
      </w:r>
      <m:oMath>
        <m:r>
          <m:t>β</m:t>
        </m:r>
      </m:oMath>
      <w:r>
        <w:t xml:space="preserve"> </w:t>
      </w:r>
      <w:r>
        <w:t xml:space="preserve">and does not numerically apply</w:t>
      </w:r>
      <w:r>
        <w:t xml:space="preserve"> </w:t>
      </w:r>
      <m:oMath>
        <m:r>
          <m:rPr>
            <m:sty m:val="p"/>
          </m:rPr>
          <m:t>|</m:t>
        </m:r>
        <m:r>
          <m:t>M</m:t>
        </m:r>
        <m:r>
          <m:rPr>
            <m:sty m:val="p"/>
          </m:rPr>
          <m:t>|</m:t>
        </m:r>
        <m:r>
          <m:rPr>
            <m:sty m:val="p"/>
          </m:rPr>
          <m:t>&gt;</m:t>
        </m:r>
        <m:r>
          <m:t>β</m:t>
        </m:r>
      </m:oMath>
      <w:r>
        <w:t xml:space="preserve"> </w:t>
      </w:r>
      <w:r>
        <w:t xml:space="preserve">on the reported real-data</w:t>
      </w:r>
      <w:r>
        <w:t xml:space="preserve"> </w:t>
      </w:r>
      <w:r>
        <w:t xml:space="preserve">benchmarks. Its practical certificate instead places a finite-sample uncertainty radius</w:t>
      </w:r>
      <w:r>
        <w:t xml:space="preserve"> </w:t>
      </w:r>
      <m:oMath>
        <m:r>
          <m:t>ε</m:t>
        </m:r>
      </m:oMath>
      <w:r>
        <w:t xml:space="preserve"> </w:t>
      </w:r>
      <w:r>
        <w:t xml:space="preserve">around the predicted cell benefit</w:t>
      </w:r>
      <w:r>
        <w:t xml:space="preserve"> </w:t>
      </w:r>
      <m:oMath>
        <m:acc>
          <m:accPr>
            <m:chr m:val="̂"/>
          </m:accPr>
          <m:e>
            <m:r>
              <m:rPr>
                <m:sty m:val="p"/>
              </m:rPr>
              <m:t>Δ</m:t>
            </m:r>
          </m:e>
        </m:acc>
      </m:oMath>
      <w:r>
        <w:t xml:space="preserve">. Population benefit</w:t>
      </w:r>
      <w:r>
        <w:t xml:space="preserve"> </w:t>
      </w:r>
      <m:oMath>
        <m:r>
          <m:rPr>
            <m:sty m:val="p"/>
          </m:rPr>
          <m:t>Δ</m:t>
        </m:r>
      </m:oMath>
      <w:r>
        <w:t xml:space="preserve"> </w:t>
      </w:r>
      <w:r>
        <w:t xml:space="preserve">and</w:t>
      </w:r>
      <w:r>
        <w:t xml:space="preserve"> </w:t>
      </w:r>
      <w:r>
        <w:t xml:space="preserve">observed 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concern the same model pair at different levels.</w:t>
      </w:r>
      <w:r>
        <w:t xml:space="preserve"> </w:t>
      </w:r>
      <w:r>
        <w:t xml:space="preserve">Transferring coverage from the cell outcome to population risk requires a separate sampling-error</w:t>
      </w:r>
      <w:r>
        <w:t xml:space="preserve"> </w:t>
      </w:r>
      <w:r>
        <w:t xml:space="preserve">bound; the reported empirical intervals do not establish that bound.</w:t>
      </w:r>
    </w:p>
    <w:bookmarkEnd w:id="39"/>
    <w:bookmarkEnd w:id="40"/>
    <w:bookmarkStart w:id="48" w:name="kga-an-empirical-benefit-interval-gate"/>
    <w:p>
      <w:pPr>
        <w:pStyle w:val="Heading1"/>
        <w:widowControl/>
      </w:pPr>
      <w:r>
        <w:t xml:space="preserve">6 KGA: An Empirical Benefit-Interval Gate</w:t>
      </w:r>
    </w:p>
    <w:bookmarkStart w:id="41" w:name="X589f003ba31d3996d83b97080e3ab9296a9264a"/>
    <w:p>
      <w:pPr>
        <w:pStyle w:val="Heading2"/>
        <w:widowControl/>
      </w:pPr>
      <w:r>
        <w:t xml:space="preserve">6.1 What Transfers from the Population Analysis</w:t>
      </w:r>
    </w:p>
    <w:p>
      <w:pPr>
        <w:pStyle w:val="FirstParagraph"/>
        <w:widowControl/>
      </w:pPr>
      <w:r>
        <w:t xml:space="preserve">KGA is an empirical companion to K-Bound, not an implementation of its population frontier.</w:t>
      </w:r>
      <w:r>
        <w:t xml:space="preserve"> </w:t>
      </w:r>
      <w:r>
        <w:t xml:space="preserve">Both ask whether to accept the same proposed update and both leave unresolved evidence as</w:t>
      </w:r>
      <w:r>
        <w:t xml:space="preserve"> </w:t>
      </w:r>
      <w:r>
        <w:t xml:space="preserve">abstention. Their uncertainty objects differ. 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The observed cell outcome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oMath>
      </m:oMathPara>
    </w:p>
    <w:p>
      <w:pPr>
        <w:pStyle w:val="FirstParagraph"/>
        <w:widowControl/>
      </w:pPr>
      <w:r>
        <w:t xml:space="preserve">and the fitted empirical benefit prediction is</w:t>
      </w:r>
    </w:p>
    <w:p>
      <w:pPr>
        <w:pStyle w:val="BodyText"/>
        <w:widowControl/>
      </w:pPr>
      <m:oMathPara>
        <m:oMathParaPr>
          <m:jc m:val="center"/>
        </m:oMathParaPr>
        <m:oMath>
          <m:acc>
            <m:accPr>
              <m:chr m:val="̂"/>
            </m:accPr>
            <m:e>
              <m:r>
                <m:rPr>
                  <m:sty m:val="p"/>
                </m:rPr>
                <m:t>Δ</m:t>
              </m:r>
            </m:e>
          </m:acc>
          <m:r>
            <m:rPr>
              <m:sty m:val="p"/>
            </m:rPr>
            <m:t>=</m:t>
          </m:r>
          <m:sSub>
            <m:e>
              <m:r>
                <m:t>h</m:t>
              </m:r>
            </m:e>
            <m:sub>
              <m:r>
                <m:t>θ</m:t>
              </m:r>
            </m:sub>
          </m:sSub>
          <m:r>
            <m:rPr>
              <m:sty m:val="p"/>
            </m:rPr>
            <m:t>(</m:t>
          </m:r>
          <m:r>
            <m:t>Z</m:t>
          </m:r>
          <m:r>
            <m:rPr>
              <m:sty m:val="p"/>
            </m:rPr>
            <m:t>)</m:t>
          </m:r>
          <m:r>
            <m:rPr>
              <m:sty m:val="p"/>
            </m:rPr>
            <m:t>.</m:t>
          </m:r>
        </m:oMath>
      </m:oMathPara>
    </w:p>
    <w:p>
      <w:pPr>
        <w:pStyle w:val="FirstParagraph"/>
        <w:widowControl/>
      </w:pPr>
      <w:r>
        <w:t xml:space="preserve">KGA does not estimate</w:t>
      </w:r>
      <w:r>
        <w:t xml:space="preserve"> </w:t>
      </w:r>
      <m:oMath>
        <m:r>
          <m:t>M</m:t>
        </m:r>
      </m:oMath>
      <w:r>
        <w:t xml:space="preserve">,</w:t>
      </w:r>
      <w:r>
        <w:t xml:space="preserve"> </w:t>
      </w:r>
      <m:oMath>
        <m:r>
          <m:t>γ</m:t>
        </m:r>
      </m:oMath>
      <w:r>
        <w:t xml:space="preserve">, or</w:t>
      </w:r>
      <w:r>
        <w:t xml:space="preserve"> </w:t>
      </w:r>
      <m:oMath>
        <m:r>
          <m:t>β</m:t>
        </m:r>
      </m:oMath>
      <w:r>
        <w:t xml:space="preserve">, and does not numerically apply</w:t>
      </w:r>
      <w:r>
        <w:t xml:space="preserve"> </w:t>
      </w:r>
      <m:oMath>
        <m:r>
          <m:rPr>
            <m:sty m:val="p"/>
          </m:rPr>
          <m:t>|</m:t>
        </m:r>
        <m:r>
          <m:t>M</m:t>
        </m:r>
        <m:r>
          <m:rPr>
            <m:sty m:val="p"/>
          </m:rPr>
          <m:t>|</m:t>
        </m:r>
        <m:r>
          <m:rPr>
            <m:sty m:val="p"/>
          </m:rPr>
          <m:t>&gt;</m:t>
        </m:r>
        <m:r>
          <m:t>β</m:t>
        </m:r>
      </m:oMath>
      <w:r>
        <w:t xml:space="preserve">.</w:t>
      </w:r>
      <w:r>
        <w:t xml:space="preserve"> </w:t>
      </w:r>
      <w:r>
        <w:t xml:space="preserve">Its radius</w:t>
      </w:r>
      <w:r>
        <w:t xml:space="preserve"> </w:t>
      </w:r>
      <m:oMath>
        <m:r>
          <m:t>ε</m:t>
        </m:r>
      </m:oMath>
      <w:r>
        <w:t xml:space="preserve"> </w:t>
      </w:r>
      <w:r>
        <w:t xml:space="preserve">describes prediction error for a measured cell outcome, not the range of</w:t>
      </w:r>
      <w:r>
        <w:t xml:space="preserve"> </w:t>
      </w:r>
      <w:r>
        <w:t xml:space="preserve">population benefits compatible with a label-free evidence law.</w:t>
      </w:r>
    </w:p>
    <w:p>
      <w:pPr>
        <w:pStyle w:val="BodyText"/>
        <w:widowControl/>
      </w:pPr>
      <w:r>
        <w:t xml:space="preserve">KGA is label-free at deployment, not during development and calibration. Historical labeled</w:t>
      </w:r>
      <w:r>
        <w:t xml:space="preserve"> </w:t>
      </w:r>
      <w:r>
        <w:t xml:space="preserve">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w:t>
      </w:r>
      <w:r>
        <w:t xml:space="preserve"> </w:t>
      </w:r>
      <w:r>
        <w:t xml:space="preserve">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(9)</m:t>
          </m:r>
        </m:oMath>
      </m:oMathPara>
    </w:p>
    <w:p>
      <w:pPr>
        <w:pStyle w:val="FirstParagraph"/>
        <w:widowControl/>
      </w:pPr>
      <w:r>
        <w:t xml:space="preserve">The proposition below concerns this target when this premise holds.</w:t>
      </w:r>
    </w:p>
    <w:bookmarkEnd w:id="41"/>
    <w:bookmarkStart w:id="42"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t xml:space="preserve">For the empirical panels,</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 </w:t>
      </w:r>
      <w:r>
        <w:t xml:space="preserve">is the observed evaluation-unit score</w:t>
      </w:r>
      <w:r>
        <w:t xml:space="preserve"> </w:t>
      </w:r>
      <w:r>
        <w:t xml:space="preserve">difference and</w:t>
      </w:r>
      <w:r>
        <w:t xml:space="preserve"> </w:t>
      </w:r>
      <m:oMath>
        <m:acc>
          <m:accPr>
            <m:chr m:val="̂"/>
          </m:accPr>
          <m:e>
            <m:r>
              <m:t>B</m:t>
            </m:r>
          </m:e>
        </m:acc>
        <m:r>
          <m:rPr>
            <m:sty m:val="p"/>
          </m:rPr>
          <m:t>=</m:t>
        </m:r>
        <m:acc>
          <m:accPr>
            <m:chr m:val="̂"/>
          </m:accPr>
          <m:e>
            <m:r>
              <m:rPr>
                <m:sty m:val="p"/>
              </m:rPr>
              <m:t>Δ</m:t>
            </m:r>
          </m:e>
        </m:acc>
      </m:oMath>
      <w:r>
        <w:t xml:space="preserve">. A population-risk application instead takes</w:t>
      </w:r>
      <w:r>
        <w:t xml:space="preserve"> </w:t>
      </w:r>
      <m:oMath>
        <m:r>
          <m:t>B</m:t>
        </m:r>
        <m:r>
          <m:rPr>
            <m:sty m:val="p"/>
          </m:rPr>
          <m:t>=</m:t>
        </m:r>
        <m:r>
          <m:rPr>
            <m:sty m:val="p"/>
          </m:rPr>
          <m:t>Δ</m:t>
        </m:r>
      </m:oMath>
      <w:r>
        <w:t xml:space="preserve"> </w:t>
      </w:r>
      <w:r>
        <w:t xml:space="preserve">and requires coverage for that quantity; cell-outcome coverage alone does not supply it.</w:t>
      </w:r>
      <w:r>
        <w:t xml:space="preserve"> </w:t>
      </w:r>
      <w:r>
        <w:t xml:space="preserve">Coverage must be justified separately. Joint exchangeability of calibration and next-unit scores</w:t>
      </w:r>
      <w:r>
        <w:t xml:space="preserve"> </w:t>
      </w:r>
      <w:r>
        <w:t xml:space="preserve">under the fitting and candidate protocol, or a justified shift correction, can support this premise.</w:t>
      </w:r>
      <w:r>
        <w:t xml:space="preserve"> </w:t>
      </w:r>
      <w:r>
        <w:t xml:space="preserve">Risk alignment is not required for the conditional-on-coverage implication.</w:t>
      </w:r>
    </w:p>
    <w:p>
      <w:pPr>
        <w:pStyle w:val="BodyText"/>
        <w:widowControl/>
      </w:pPr>
      <w:r>
        <w:rPr>
          <w:i/>
          <w:iCs/>
        </w:rPr>
        <w:t xml:space="preserve">Remark 2</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3</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A population application would instead require coverage of</w:t>
      </w:r>
      <w:r>
        <w:t xml:space="preserve"> </w:t>
      </w:r>
      <m:oMath>
        <m:r>
          <m:rPr>
            <m:sty m:val="p"/>
          </m:rPr>
          <m:t>Δ</m:t>
        </m:r>
      </m:oMath>
      <w:r>
        <w:t xml:space="preserve">. For accuracy, one possible</w:t>
      </w:r>
      <w:r>
        <w:t xml:space="preserve"> </w:t>
      </w:r>
      <w:r>
        <w:t xml:space="preserve">bridge adds a bound</w:t>
      </w:r>
      <w:r>
        <w:t xml:space="preserve"> </w:t>
      </w:r>
      <m:oMath>
        <m:r>
          <m:t>b</m:t>
        </m:r>
      </m:oMath>
      <w:r>
        <w:t xml:space="preserve"> </w:t>
      </w:r>
      <w:r>
        <w:t xml:space="preserve">for</w:t>
      </w:r>
      <w:r>
        <w:t xml:space="preserve"> </w:t>
      </w:r>
      <m:oMath>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oMath>
      <w:r>
        <w:t xml:space="preserve"> </w:t>
      </w:r>
      <w:r>
        <w:t xml:space="preserve">to the empirical radius; the triangle</w:t>
      </w:r>
      <w:r>
        <w:t xml:space="preserve"> </w:t>
      </w:r>
      <w:r>
        <w:t xml:space="preserve">inequality and union bound then give a population interval with radius</w:t>
      </w:r>
      <w:r>
        <w:t xml:space="preserve"> </w:t>
      </w:r>
      <m:oMath>
        <m:r>
          <m:t>ε</m:t>
        </m:r>
        <m:r>
          <m:rPr>
            <m:sty m:val="p"/>
          </m:rPr>
          <m:t>+</m:t>
        </m:r>
        <m:r>
          <m:t>b</m:t>
        </m:r>
      </m:oMath>
      <w:r>
        <w:t xml:space="preserve">.</w:t>
      </w:r>
      <w:r>
        <w:t xml:space="preserve"> </w:t>
      </w:r>
      <w:r>
        <w:t xml:space="preserve">The precise conditional statement is in Appendix A.</w:t>
      </w:r>
      <w:r>
        <w:t xml:space="preserve"> </w:t>
      </w:r>
      <w:r>
        <w:t xml:space="preserve">No such sampling-error bound is established for the reported panels. In particular, when a</w:t>
      </w:r>
      <w:r>
        <w:t xml:space="preserve"> </w:t>
      </w:r>
      <w:r>
        <w:t xml:space="preserve">candidate adapts to evaluation inputs, hiding their labels does not make the candidate independent</w:t>
      </w:r>
      <w:r>
        <w:t xml:space="preserve"> </w:t>
      </w:r>
      <w:r>
        <w:t xml:space="preserve">of those inputs.</w:t>
      </w:r>
    </w:p>
    <w:bookmarkEnd w:id="42"/>
    <w:bookmarkStart w:id="47"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effective rank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(10)</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The controlled grids use</w:t>
      </w:r>
      <w:r>
        <w:t xml:space="preserve"> </w:t>
      </w:r>
      <w:r>
        <w:rPr>
          <w:i/>
          <w:iCs/>
        </w:rPr>
        <w:t xml:space="preserve">leave-one-cell-out empirical order-statistic calibration</w:t>
      </w:r>
      <w:r>
        <w:t xml:space="preserve">.</w:t>
      </w:r>
      <w:r>
        <w:t xml:space="preserve"> </w:t>
      </w:r>
      <w:r>
        <w:t xml:space="preserve">Their benefit predictions are cross-fitted, and each scored residual is excluded from its radius.</w:t>
      </w:r>
      <w:r>
        <w:t xml:space="preserve"> </w:t>
      </w:r>
      <w:r>
        <w:t xml:space="preserve">Related cells still share corruption families, checkpoints, and residual pools, so this is an</w:t>
      </w:r>
      <w:r>
        <w:t xml:space="preserve"> </w:t>
      </w:r>
      <w:r>
        <w:t xml:space="preserve">empirical procedure, not exact split conformal or jackknife+. Natural protocols use separated</w:t>
      </w:r>
      <w:r>
        <w:t xml:space="preserve"> </w:t>
      </w:r>
      <w:r>
        <w:t xml:space="preserve">development, calibration, and target partitions where the archived design records that separation.</w:t>
      </w:r>
    </w:p>
    <w:bookmarkStart w:id="46"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(10)</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25040"/>
            <wp:effectExtent b="0" l="0" r="0" t="0"/>
            <wp:docPr descr="KGA interval decisions for measured cell benefit; empirical residual coverage is not population-risk coverage." title="KGA interval decisions for measured cell benefit; empirical residual coverage is not population-risk coverage" id="44" name="Picture"/>
            <a:graphic>
              <a:graphicData uri="http://schemas.openxmlformats.org/drawingml/2006/picture">
                <pic:pic>
                  <pic:nvPicPr>
                    <pic:cNvPr descr="figures/fig_certificate.png" id="45" name="Picture"/>
                    <pic:cNvPicPr>
                      <a:picLocks noChangeArrowheads="1" noChangeAspect="1"/>
                    </pic:cNvPicPr>
                  </pic:nvPicPr>
                  <pic:blipFill>
                    <a:blip r:embed="rId43"/>
                    <a:stretch>
                      <a:fillRect/>
                    </a:stretch>
                  </pic:blipFill>
                  <pic:spPr bwMode="auto">
                    <a:xfrm>
                      <a:off x="0" y="0"/>
                      <a:ext cx="4267200" cy="2225040"/>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Comparable end-to-end latency measurements are</w:t>
      </w:r>
      <w:r>
        <w:t xml:space="preserve"> </w:t>
      </w:r>
      <w:r>
        <w:t xml:space="preserve">not available across the recorded tracks.</w:t>
      </w:r>
    </w:p>
    <w:bookmarkEnd w:id="46"/>
    <w:bookmarkEnd w:id="47"/>
    <w:bookmarkEnd w:id="48"/>
    <w:bookmarkStart w:id="52" w:name="primary-experimental-protocols"/>
    <w:p>
      <w:pPr>
        <w:pStyle w:val="Heading1"/>
        <w:widowControl/>
      </w:pPr>
      <w:r>
        <w:t xml:space="preserve">7 Primary Experimental Protocols</w:t>
      </w:r>
    </w:p>
    <w:bookmarkStart w:id="49"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4.</w:t>
      </w:r>
    </w:p>
    <w:p>
      <w:pPr>
        <w:pStyle w:val="TableCaption"/>
        <w:widowControl/>
      </w:pPr>
      <w:r>
        <w:t xml:space="preserve">Table 4.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4.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 run seeds</w:t>
      </w:r>
      <w:r>
        <w:t xml:space="preserve"> </w:t>
      </w:r>
      <w:r>
        <w:t xml:space="preserve">over 432 corruption/composition/update conditions. The current gate is replayed on the stored</w:t>
      </w:r>
      <w:r>
        <w:t xml:space="preserve"> </w:t>
      </w:r>
      <w:r>
        <w:t xml:space="preserve">benefit predictions and cell outcomes. The analysis uses leave-one-condition-out cross-fitted</w:t>
      </w:r>
      <w:r>
        <w:t xml:space="preserve"> </w:t>
      </w:r>
      <w:r>
        <w:t xml:space="preserve">empirical residual calibration; it is not an untouched environment test.</w:t>
      </w:r>
      <w:r>
        <w:t xml:space="preserve"> </w:t>
      </w:r>
      <w:r>
        <w:t xml:space="preserve">Five run seeds here do not represent five independently trained source checkpoints.</w:t>
      </w:r>
    </w:p>
    <w:bookmarkEnd w:id="49"/>
    <w:bookmarkStart w:id="50"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(11)</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0"/>
    <w:bookmarkStart w:id="51"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(12)</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1"/>
    <w:bookmarkEnd w:id="52"/>
    <w:bookmarkStart w:id="57" w:name="primary-results"/>
    <w:p>
      <w:pPr>
        <w:pStyle w:val="Heading1"/>
        <w:widowControl/>
      </w:pPr>
      <w:r>
        <w:t xml:space="preserve">8 Primary Results</w:t>
      </w:r>
    </w:p>
    <w:bookmarkStart w:id="53" w:name="Xf2359a0c4595959f909bd30bb1d67a4c5d2b78d"/>
    <w:p>
      <w:pPr>
        <w:pStyle w:val="Heading2"/>
        <w:widowControl/>
      </w:pPr>
      <w:r>
        <w:t xml:space="preserve">8.1 Controlled Routing Depends on the Candidate</w:t>
      </w:r>
    </w:p>
    <w:p>
      <w:pPr>
        <w:pStyle w:val="FirstParagraph"/>
        <w:widowControl/>
      </w:pPr>
      <w:r>
        <w:t xml:space="preserve">Table 5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5.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5.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1107/359/694</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0.6787</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1241/132/787</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0.6356</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1446/0/714</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r>
    </w:tbl>
    <w:p>
      <w:pPr>
        <w:pStyle w:val="BodyText"/>
        <w:widowControl/>
      </w:pPr>
      <w:r>
        <w:t xml:space="preserve">Tent regret is</w:t>
      </w:r>
      <w:r>
        <w:t xml:space="preserve"> </w:t>
      </w:r>
      <m:oMath>
        <m:r>
          <m:t>0.0016</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0.0013</m:t>
        </m:r>
      </m:oMath>
      <w:r>
        <w:t xml:space="preserve">,</w:t>
      </w:r>
      <w:r>
        <w:t xml:space="preserve"> </w:t>
      </w:r>
      <m:oMath>
        <m:r>
          <m:t>0.0033</m:t>
        </m:r>
      </m:oMath>
      <w:r>
        <w:t xml:space="preserve">, and</w:t>
      </w:r>
      <w:r>
        <w:t xml:space="preserve"> </w:t>
      </w:r>
      <m:oMath>
        <m:r>
          <m:t>0.1313</m:t>
        </m:r>
      </m:oMath>
      <w:r>
        <w:t xml:space="preserve">. Their current actions are 1,107/359/694 and</w:t>
      </w:r>
      <w:r>
        <w:t xml:space="preserve"> </w:t>
      </w:r>
      <w:r>
        <w:t xml:space="preserve">1,241/132/787, respectively; both have zero observed false adaptations.</w:t>
      </w:r>
      <w:r>
        <w:t xml:space="preserve"> </w:t>
      </w:r>
      <w:r>
        <w:t xml:space="preserve">SAR makes 1,446/0/714 decisions and has regret</w:t>
      </w:r>
      <w:r>
        <w:t xml:space="preserve"> </w:t>
      </w:r>
      <m:oMath>
        <m:r>
          <m:t>0.0016</m:t>
        </m:r>
      </m:oMath>
      <w:r>
        <w:t xml:space="preserve">, versus</w:t>
      </w:r>
      <w:r>
        <w:t xml:space="preserve"> </w:t>
      </w:r>
      <m:oMath>
        <m:r>
          <m:t>0.0003</m:t>
        </m:r>
      </m:oMath>
      <w:r>
        <w:t xml:space="preserve"> </w:t>
      </w:r>
      <w:r>
        <w:t xml:space="preserve">for always-adapt.</w:t>
      </w:r>
      <w:r>
        <w:t xml:space="preserve"> </w:t>
      </w:r>
      <w:r>
        <w:t xml:space="preserve">A gate can avoid harmful updates yet lose opportunities when it abstains.</w:t>
      </w:r>
    </w:p>
    <w:p>
      <w:pPr>
        <w:pStyle w:val="BodyText"/>
        <w:widowControl/>
      </w:pPr>
      <w:r>
        <w:t xml:space="preserve">The six-family sensitivity analysis is less decisive than these point estimates.</w:t>
      </w:r>
      <w:r>
        <w:t xml:space="preserve"> </w:t>
      </w:r>
      <w:r>
        <w:t xml:space="preserve">Tent’s nominal family-bootstrap intervals favor KGA against each fixed policy, while EATA’s</w:t>
      </w:r>
      <w:r>
        <w:t xml:space="preserve"> </w:t>
      </w:r>
      <w:r>
        <w:t xml:space="preserve">adapt-side interval includes zero. Retrospective Holm adjustment over the six prospectively named</w:t>
      </w:r>
      <w:r>
        <w:t xml:space="preserve"> </w:t>
      </w:r>
      <w:r>
        <w:t xml:space="preserve">candidate-by-baseline contrasts gives</w:t>
      </w:r>
      <w:r>
        <w:t xml:space="preserve"> </w:t>
      </w:r>
      <m:oMath>
        <m:r>
          <m:t>0.09375</m:t>
        </m:r>
      </m:oMath>
      <w:r>
        <w:t xml:space="preserve"> </w:t>
      </w:r>
      <w:r>
        <w:t xml:space="preserve">for both Tent comparisons.</w:t>
      </w:r>
      <w:r>
        <w:t xml:space="preserve"> </w:t>
      </w:r>
      <w:r>
        <w:t xml:space="preserve">The replay, cluster unit, and test were chosen retrospectively and the families share one checkpoint.</w:t>
      </w:r>
      <w:r>
        <w:t xml:space="preserve"> </w:t>
      </w:r>
      <w:r>
        <w:t xml:space="preserve">Full intervals and reference values appear in Table 13;</w:t>
      </w:r>
      <w:r>
        <w:t xml:space="preserve"> </w:t>
      </w:r>
      <w:r>
        <w:t xml:space="preserve">this analysis is exploratory.</w:t>
      </w:r>
    </w:p>
    <w:bookmarkEnd w:id="53"/>
    <w:bookmarkStart w:id="54"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6 reports these</w:t>
      </w:r>
      <w:r>
        <w:t xml:space="preserve"> </w:t>
      </w:r>
      <w:r>
        <w:t xml:space="preserve">separately, together with full interval width. The calculation replays the current order-statistic</w:t>
      </w:r>
      <w:r>
        <w:t xml:space="preserve"> </w:t>
      </w:r>
      <w:r>
        <w:t xml:space="preserve">rule from saved predictions and already-opened cell outcomes; it does not reuse historical</w:t>
      </w:r>
      <w:r>
        <w:t xml:space="preserve"> </w:t>
      </w:r>
      <w:r>
        <w:t xml:space="preserve">stored actions or radii.</w:t>
      </w:r>
    </w:p>
    <w:p>
      <w:pPr>
        <w:pStyle w:val="TableCaption"/>
        <w:widowControl/>
      </w:pPr>
      <w:r>
        <w:t xml:space="preserve">Table 6. Retrospective interval diagnostics for the controlled cells,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The same collection supplies overlapping leave-one-out residual pools, so pooled inclusion is</w:t>
      </w:r>
      <w:r>
        <w:t xml:space="preserve"> </w:t>
      </w:r>
      <w:r>
        <w:t xml:space="preserve">rank-constrained and is not independent validation of next-environment coverage.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6. Retrospective interval diagnostics for the controlled cells, at nominal target 1-\alpha=0.90. Observed inclusion concerns \Delta^{\mathrm{cell}}. The same collection supplies overlapping leave-one-out residual pools, so pooled inclusion is rank-constrained and is not independent validation of next-environment coverage.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0.9005</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0.0426</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0.0432</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0.6787</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0.0005/0.0028</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0.9005</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0.0340</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0.0343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0.6356</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0.9005</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0.0260</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0.0263</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The nominal target is not a verified coverage guarantee for these dependent cells.</w:t>
      </w:r>
      <w:r>
        <w:t xml:space="preserve"> </w:t>
      </w:r>
      <w:r>
        <w:t xml:space="preserve">Inclusion near 90% can follow from the rank procedure itself, even when transfer to a new family</w:t>
      </w:r>
      <w:r>
        <w:t xml:space="preserve"> </w:t>
      </w:r>
      <w:r>
        <w:t xml:space="preserve">is poor. Family differences are useful diagnostics, but independent held-out-family,</w:t>
      </w:r>
      <w:r>
        <w:t xml:space="preserve"> </w:t>
      </w:r>
      <w:r>
        <w:t xml:space="preserve">checkpoint, and natural-environment coverage remains a separate test.</w:t>
      </w:r>
    </w:p>
    <w:p>
      <w:pPr>
        <w:pStyle w:val="BodyText"/>
        <w:widowControl/>
      </w:pPr>
      <w:r>
        <w:t xml:space="preserve">All three candidates include 1,945 of 2,160 observed cell outcomes (90.05%). Zero observed</w:t>
      </w:r>
      <w:r>
        <w:t xml:space="preserve"> </w:t>
      </w:r>
      <w:r>
        <w:t xml:space="preserve">false adaptations do not mean zero directional errors: Tent makes one false FREEZE among 359</w:t>
      </w:r>
      <w:r>
        <w:t xml:space="preserve"> </w:t>
      </w:r>
      <w:r>
        <w:t xml:space="preserve">FREEZE decisions. It occurs in the Gaussian-noise family, which has only two FREEZE decisions.</w:t>
      </w:r>
      <w:r>
        <w:t xml:space="preserve"> </w:t>
      </w:r>
      <w:r>
        <w:t xml:space="preserve">EATA has no false FREEZE among 132 such decisions; SAR makes no FREEZE decisions, so its</w:t>
      </w:r>
      <w:r>
        <w:t xml:space="preserve"> </w:t>
      </w:r>
      <w:r>
        <w:t xml:space="preserve">conditional false-freeze frequency is undefined. These denominators matter more than a pooled</w:t>
      </w:r>
      <w:r>
        <w:t xml:space="preserve"> </w:t>
      </w:r>
      <w:r>
        <w:t xml:space="preserve">near-nominal inclusion fraction alone.</w:t>
      </w:r>
    </w:p>
    <w:bookmarkEnd w:id="54"/>
    <w:bookmarkStart w:id="55" w:name="X34df60e14288daee5bfa689f9e7844a27c3cc63"/>
    <w:p>
      <w:pPr>
        <w:pStyle w:val="Heading2"/>
        <w:widowControl/>
      </w:pPr>
      <w:r>
        <w:t xml:space="preserve">8.3 CCT-20: Conservative Retention, Not Selective Routing</w:t>
      </w:r>
    </w:p>
    <w:p>
      <w:pPr>
        <w:pStyle w:val="FirstParagraph"/>
        <w:widowControl/>
      </w:pPr>
      <w:r>
        <w:t xml:space="preserve">Across 45 cells, KGA issued 0 ADAPT, 44 FREEZE, and</w:t>
      </w:r>
      <w:r>
        <w:t xml:space="preserve"> </w:t>
      </w:r>
      <w:r>
        <w:t xml:space="preserve">1 ABSTAIN decisions. It therefore served the frozen predictions in every cell.</w:t>
      </w:r>
      <w:r>
        <w:t xml:space="preserve"> </w:t>
      </w:r>
      <w:r>
        <w:t xml:space="preserve">The candidate was helpful in 1 cell, tied in 0, and harmed in</w:t>
      </w:r>
      <w:r>
        <w:t xml:space="preserve"> </w:t>
      </w:r>
      <w:r>
        <w:t xml:space="preserve">44. The gate rejected most harmful updates but did not select the helpful one.</w:t>
      </w:r>
    </w:p>
    <w:p>
      <w:pPr>
        <w:pStyle w:val="TableCaption"/>
        <w:widowControl/>
      </w:pPr>
      <w:r>
        <w:t xml:space="preserve">Table 7. CCT-20 safe-utility endpoint defined in Eq. (11).</w:t>
      </w:r>
      <w:r>
        <w:t xml:space="preserve"> </w:t>
      </w:r>
      <w:r>
        <w:t xml:space="preserve">Contrasts are baseline regret minus KGA regret on the set-membership accuracy-proportion scale.</w:t>
      </w:r>
      <w:r>
        <w:t xml:space="preserve"> </w:t>
      </w:r>
      <w:r>
        <w:t xml:space="preserve">These are nominal pointwise 95% two-way bootstrap intervals, not interval coverage for individual</w:t>
      </w:r>
      <w:r>
        <w:t xml:space="preserve"> </w:t>
      </w:r>
      <w:r>
        <w:t xml:space="preserve">cell-benefit predictions. The stronger comparisons and location-level records remain in the supplement.</w:t>
      </w:r>
    </w:p>
    <w:tbl>
      <w:tblPr>
        <w:tblStyle w:val="Table"/>
        <w:tblW w:type="dxa" w:w="9960"/>
        <w:jc w:val="left"/>
        <w:tblLayout w:type="fixed"/>
        <w:tblLook w:firstRow="1" w:lastRow="0" w:firstColumn="0" w:lastColumn="0" w:noHBand="0" w:noVBand="0" w:val="0020"/>
        <w:tblCaption w:val="Table 7. CCT-20 safe-utility endpoint defined in Eq. (11). Contrasts are baseline regret minus KGA regret on the set-membership accuracy-proportion scale. These are nominal pointwise 95% two-way bootstrap intervals, not interval coverage for individual cell-benefit predictions. The stronger comparisons and location-level records remain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 The recorded verdict remains</w:t>
      </w:r>
      <w:r>
        <w:t xml:space="preserve"> </w:t>
      </w:r>
      <w:r>
        <w:t xml:space="preserve">SAFE UTILITY ONLY</w:t>
      </w:r>
      <w:r>
        <w:t xml:space="preserve">:</w:t>
      </w:r>
      <w:r>
        <w:t xml:space="preserve"> </w:t>
      </w:r>
      <w:r>
        <w:t xml:space="preserve">a scoped safe-utility result, not a finite-sample population-safety guarantee.</w:t>
      </w:r>
      <w:r>
        <w:t xml:space="preserve"> </w:t>
      </w:r>
      <w:r>
        <w:t xml:space="preserve">The stronger routing criterion failed because the gate never selected ADAPT and matched freeze.</w:t>
      </w:r>
      <w:r>
        <w:t xml:space="preserve"> </w:t>
      </w:r>
      <w:r>
        <w:t xml:space="preserve">The zero false-adapt count (0/45) follows mechanically from zero</w:t>
      </w:r>
      <w:r>
        <w:t xml:space="preserve"> </w:t>
      </w:r>
      <w:r>
        <w:t xml:space="preserve">adapt exposure.</w:t>
      </w:r>
    </w:p>
    <w:p>
      <w:pPr>
        <w:pStyle w:val="BodyText"/>
        <w:widowControl/>
      </w:pPr>
      <w:r>
        <w:t xml:space="preserve">All development cells were harmful for Tent, so the fit supplied no helpful example.</w:t>
      </w:r>
      <w:r>
        <w:t xml:space="preserve"> </w:t>
      </w:r>
      <w:r>
        <w:t xml:space="preserve">Only two locations contributed fitting data, and calibration-to-target transfer is unverified.</w:t>
      </w:r>
      <w:r>
        <w:t xml:space="preserve"> </w:t>
      </w:r>
      <w:r>
        <w:t xml:space="preserve">The complete target-location ledger and primary inference are retained in</w:t>
      </w:r>
      <w:r>
        <w:t xml:space="preserve"> </w:t>
      </w:r>
      <w:r>
        <w:t xml:space="preserve">Appendix G.1; no new natural-shift success is inferred from this result.</w:t>
      </w:r>
    </w:p>
    <w:bookmarkEnd w:id="55"/>
    <w:bookmarkStart w:id="56" w:name="X11f3a107a07ce58173a54feac1b802ddd83c657"/>
    <w:p>
      <w:pPr>
        <w:pStyle w:val="Heading2"/>
        <w:widowControl/>
      </w:pPr>
      <w:r>
        <w:t xml:space="preserve">8.4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These results are not hidden by the primary presentation. Appendix B</w:t>
      </w:r>
      <w:r>
        <w:t xml:space="preserve"> </w:t>
      </w:r>
      <w:r>
        <w:t xml:space="preserve">reports the valid diagnostic rows on separate metric scales, together with the reasons why</w:t>
      </w:r>
      <w:r>
        <w:t xml:space="preserve"> </w:t>
      </w:r>
      <w:r>
        <w:t xml:space="preserve">iWildCam, historical POEM/AETTA ports, and the focused Office-Home route cannot support current</w:t>
      </w:r>
      <w:r>
        <w:t xml:space="preserve"> </w:t>
      </w:r>
      <w:r>
        <w:t xml:space="preserve">headline comparisons.</w:t>
      </w:r>
    </w:p>
    <w:bookmarkEnd w:id="56"/>
    <w:bookmarkEnd w:id="57"/>
    <w:bookmarkStart w:id="62" w:name="limitations-and-broader-impact"/>
    <w:p>
      <w:pPr>
        <w:pStyle w:val="Heading1"/>
        <w:widowControl/>
      </w:pPr>
      <w:r>
        <w:t xml:space="preserve">9 Limitations and Broader Impact</w:t>
      </w:r>
    </w:p>
    <w:bookmarkStart w:id="59"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Start w:id="58"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58"/>
    <w:bookmarkEnd w:id="59"/>
    <w:bookmarkStart w:id="60" w:name="what-evidence-is-still-missing"/>
    <w:p>
      <w:pPr>
        <w:pStyle w:val="Heading2"/>
        <w:widowControl/>
      </w:pPr>
      <w:r>
        <w:t xml:space="preserve">9.2 What Evidence Is Still Missing</w:t>
      </w:r>
    </w:p>
    <w:p>
      <w:pPr>
        <w:pStyle w:val="FirstParagraph"/>
        <w:widowControl/>
      </w:pPr>
      <w:r>
        <w:t xml:space="preserve">The current controlled results share checkpoints and related corruption cells.</w:t>
      </w:r>
      <w:r>
        <w:t xml:space="preserve"> </w:t>
      </w:r>
      <w:r>
        <w:t xml:space="preserve">The new interval-inclusion table is a retrospective diagnostic, not an independent calibration test.</w:t>
      </w:r>
      <w:r>
        <w:t xml:space="preserve"> </w:t>
      </w:r>
      <w:r>
        <w:t xml:space="preserve">The natural results primarily evaluate retention; CCT-20 supplied no ADAPT exposure and So2Sat</w:t>
      </w:r>
      <w:r>
        <w:t xml:space="preserve"> </w:t>
      </w:r>
      <w:r>
        <w:t xml:space="preserve">stopped in development. Empirical abstention may reflect weak prediction, limited data, wide</w:t>
      </w:r>
      <w:r>
        <w:t xml:space="preserve"> </w:t>
      </w:r>
      <w:r>
        <w:t xml:space="preserve">intervals, or transfer failure. It does not establish population non-identifiability.</w:t>
      </w:r>
    </w:p>
    <w:p>
      <w:pPr>
        <w:pStyle w:val="BodyText"/>
        <w:widowControl/>
      </w:pPr>
      <w:r>
        <w:t xml:space="preserve">Four comparisons would strengthen the empirical claim: a current-policy replay against</w:t>
      </w:r>
      <w:r>
        <w:t xml:space="preserve"> </w:t>
      </w:r>
      <w:r>
        <w:t xml:space="preserve">TTA/ALine, AETTA, POEM, and simple benefit-estimation baselines; a new natural-shift study with</w:t>
      </w:r>
      <w:r>
        <w:t xml:space="preserve"> </w:t>
      </w:r>
      <w:r>
        <w:t xml:space="preserve">helpful and harmful updates and nonzero ADAPT/FREEZE exposure; interval inclusion and error</w:t>
      </w:r>
      <w:r>
        <w:t xml:space="preserve"> </w:t>
      </w:r>
      <w:r>
        <w:t xml:space="preserve">evaluated on untouched groups; and inference across independently trained checkpoints and held-out</w:t>
      </w:r>
      <w:r>
        <w:t xml:space="preserve"> </w:t>
      </w:r>
      <w:r>
        <w:t xml:space="preserve">environments. These are missing tests, not results obtained by rewriting or reclassifying the</w:t>
      </w:r>
      <w:r>
        <w:t xml:space="preserve"> </w:t>
      </w:r>
      <w:r>
        <w:t xml:space="preserve">existing panel. The future protocol is specified in Appendix K.</w:t>
      </w:r>
    </w:p>
    <w:bookmarkEnd w:id="60"/>
    <w:bookmarkStart w:id="61"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Deployment should preserve the assessment reason and</w:t>
      </w:r>
      <w:r>
        <w:t xml:space="preserve"> </w:t>
      </w:r>
      <w:r>
        <w:t xml:space="preserve">connect unresolved cases to a domain-appropriate review or evidence-acquisition process.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61"/>
    <w:bookmarkEnd w:id="62"/>
    <w:bookmarkStart w:id="63"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p>
    <w:bookmarkEnd w:id="63"/>
    <w:bookmarkStart w:id="67" w:name="references"/>
    <w:p>
      <w:pPr>
        <w:pStyle w:val="Heading1"/>
        <w:widowControl/>
      </w:pPr>
      <w:r>
        <w:t xml:space="preserve">References</w:t>
      </w:r>
    </w:p>
    <w:p>
      <w:pPr>
        <w:widowControl/>
        <w:numPr>
          <w:ilvl w:val="0"/>
          <w:numId w:val="1008"/>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8"/>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8"/>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8"/>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8"/>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8"/>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8"/>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8"/>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8"/>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8"/>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64">
        <w:r>
          <w:rPr>
            <w:rStyle w:val="Hyperlink"/>
          </w:rPr>
          <w:t xml:space="preserve">https://proceedings.mlr.press/v267/chen25ch.html</w:t>
        </w:r>
      </w:hyperlink>
      <w:r>
        <w:rPr>
          <w:rFonts w:ascii="Times New Roman" w:hAnsi="Times New Roman"/>
          <w:sz w:val="16"/>
        </w:rPr>
        <w:t xml:space="preserve">.</w:t>
      </w:r>
    </w:p>
    <w:p>
      <w:pPr>
        <w:widowControl/>
        <w:numPr>
          <w:ilvl w:val="0"/>
          <w:numId w:val="1008"/>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8"/>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8"/>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8"/>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8"/>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8"/>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8"/>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8"/>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8"/>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8"/>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8"/>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8"/>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8"/>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8"/>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8"/>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8"/>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8"/>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8"/>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8"/>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8"/>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8"/>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8"/>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8"/>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8"/>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8"/>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8"/>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8"/>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8"/>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8"/>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8"/>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8"/>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8"/>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8"/>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8"/>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8"/>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8"/>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8"/>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8"/>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8"/>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65">
        <w:r>
          <w:rPr>
            <w:rStyle w:val="Hyperlink"/>
          </w:rPr>
          <w:t xml:space="preserve">https://proceedings.mlr.press/v9/david10a.html</w:t>
        </w:r>
      </w:hyperlink>
      <w:r>
        <w:rPr>
          <w:rFonts w:ascii="Times New Roman" w:hAnsi="Times New Roman"/>
          <w:sz w:val="16"/>
        </w:rPr>
        <w:t xml:space="preserve">.</w:t>
      </w:r>
    </w:p>
    <w:p>
      <w:pPr>
        <w:widowControl/>
        <w:numPr>
          <w:ilvl w:val="0"/>
          <w:numId w:val="1008"/>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8"/>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66">
        <w:r>
          <w:rPr>
            <w:rStyle w:val="Hyperlink"/>
          </w:rPr>
          <w:t xml:space="preserve">10.52202/079017-3820</w:t>
        </w:r>
      </w:hyperlink>
      <w:r>
        <w:rPr>
          <w:rFonts w:ascii="Times New Roman" w:hAnsi="Times New Roman"/>
          <w:sz w:val="16"/>
        </w:rPr>
        <w:t xml:space="preserve">.</w:t>
      </w:r>
    </w:p>
    <w:p>
      <w:pPr>
        <w:widowControl/>
        <w:numPr>
          <w:ilvl w:val="0"/>
          <w:numId w:val="1008"/>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8"/>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8"/>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bookmarkEnd w:id="67"/>
    <w:bookmarkStart w:id="69" w:name="X484dd6f910c54fb2b798bec0327e30824a24b1a"/>
    <w:p>
      <w:pPr>
        <w:pStyle w:val="Heading1"/>
        <w:widowControl/>
      </w:pPr>
      <w:r>
        <w:t xml:space="preserve">A From Cell Coverage to Population Coverage</w:t>
      </w:r>
    </w:p>
    <w:p>
      <w:pPr>
        <w:pStyle w:val="FirstParagraph"/>
        <w:widowControl/>
      </w:pPr>
      <w:r>
        <w:t xml:space="preserve">The interval proposition covers its declared target. The following conditional argument explains</w:t>
      </w:r>
      <w:r>
        <w:t xml:space="preserve"> </w:t>
      </w:r>
      <w:r>
        <w:t xml:space="preserve">what would be needed to change a cell-level target into a population one.</w:t>
      </w:r>
    </w:p>
    <w:bookmarkStart w:id="68" w:name="X10910b98745355c4db36c782e7eddbc470e3cd5"/>
    <w:p>
      <w:pPr>
        <w:pStyle w:val="Heading2"/>
        <w:keepNext/>
        <w:widowControl/>
        <w:spacing w:before="100" w:after="20" w:line="252" w:lineRule="auto"/>
      </w:pPr>
      <w:r>
        <w:rPr>
          <w:rFonts w:ascii="Times New Roman" w:hAnsi="Times New Roman" w:eastAsia="Times New Roman" w:cs="Times New Roman"/>
          <w:b/>
          <w:sz w:val="19"/>
        </w:rPr>
        <w:t xml:space="preserve">Additional condition for population transfer.</w:t>
      </w:r>
    </w:p>
    <w:p>
      <w:pPr>
        <w:pStyle w:val="FirstParagraph"/>
        <w:widowControl/>
      </w:pPr>
      <w:r>
        <w:t xml:space="preserve">For cell outcomes using the same loss as the population risk, such as accuracy and</w:t>
      </w:r>
      <w:r>
        <w:t xml:space="preserve"> </w:t>
      </w:r>
      <m:oMath>
        <m:r>
          <m:t>0</m:t>
        </m:r>
        <m:r>
          <m:rPr>
            <m:sty m:val="p"/>
          </m:rPr>
          <m:t>/</m:t>
        </m:r>
        <m:r>
          <m:t>1</m:t>
        </m:r>
      </m:oMath>
      <w:r>
        <w:t xml:space="preserve"> </w:t>
      </w:r>
      <w:r>
        <w:t xml:space="preserve">loss,</w:t>
      </w:r>
      <w:r>
        <w:t xml:space="preserve"> </w:t>
      </w:r>
      <w:r>
        <w:t xml:space="preserve">suppose that, on the same probability space,</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 </m:t>
          </m:r>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r>
            <m:rPr>
              <m:sty m:val="p"/>
            </m:rPr>
            <m:t>,</m:t>
          </m:r>
        </m:oMath>
      </m:oMathPara>
    </w:p>
    <w:p>
      <w:pPr>
        <w:pStyle w:val="FirstParagraph"/>
        <w:widowControl/>
      </w:pPr>
      <w:r>
        <w:t xml:space="preserve">where</w:t>
      </w:r>
      <w:r>
        <w:t xml:space="preserve"> </w:t>
      </w:r>
      <m:oMath>
        <m:r>
          <m:t>b</m:t>
        </m:r>
        <m:r>
          <m:rPr>
            <m:sty m:val="p"/>
          </m:rPr>
          <m:t>≥</m:t>
        </m:r>
        <m:r>
          <m:t>0</m:t>
        </m:r>
      </m:oMath>
      <w:r>
        <w:t xml:space="preserve"> </w:t>
      </w:r>
      <w:r>
        <w:t xml:space="preserve">is available without the new evaluation labels, then</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The triangle inequality applies on the intersection of the two coverage events, and the union</w:t>
      </w:r>
      <w:r>
        <w:t xml:space="preserve"> </w:t>
      </w:r>
      <w:r>
        <w:t xml:space="preserve">bound controls its complement; independence is not needed. A population certificate would use</w:t>
      </w:r>
      <w:r>
        <w:t xml:space="preserve"> </w:t>
      </w:r>
      <w:r>
        <w:t xml:space="preserve">radius</w:t>
      </w:r>
      <w:r>
        <w:t xml:space="preserve"> </w:t>
      </w:r>
      <m:oMath>
        <m:r>
          <m:t>ε</m:t>
        </m:r>
        <m:r>
          <m:rPr>
            <m:sty m:val="p"/>
          </m:rPr>
          <m:t>+</m:t>
        </m:r>
        <m:r>
          <m:t>b</m:t>
        </m:r>
      </m:oMath>
      <w:r>
        <w:t xml:space="preserve"> </w:t>
      </w:r>
      <w:r>
        <w:t xml:space="preserve">and budget</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sSub>
          <m:e>
            <m:r>
              <m:t>α</m:t>
            </m:r>
          </m:e>
          <m:sub>
            <m:r>
              <m:rPr>
                <m:sty m:val="p"/>
              </m:rPr>
              <m:t>t</m:t>
            </m:r>
            <m:r>
              <m:rPr>
                <m:sty m:val="p"/>
              </m:rPr>
              <m:t>a</m:t>
            </m:r>
            <m:r>
              <m:rPr>
                <m:sty m:val="p"/>
              </m:rPr>
              <m:t>r</m:t>
            </m:r>
            <m:r>
              <m:rPr>
                <m:sty m:val="p"/>
              </m:rPr>
              <m:t>g</m:t>
            </m:r>
            <m:r>
              <m:rPr>
                <m:sty m:val="p"/>
              </m:rPr>
              <m:t>e</m:t>
            </m:r>
            <m:r>
              <m:rPr>
                <m:sty m:val="p"/>
              </m:rPr>
              <m:t>t</m:t>
            </m:r>
          </m:sub>
        </m:sSub>
      </m:oMath>
      <w:r>
        <w:t xml:space="preserve">. No such sampling-error bound is</w:t>
      </w:r>
      <w:r>
        <w:t xml:space="preserve"> </w:t>
      </w:r>
      <w:r>
        <w:t xml:space="preserve">established for the reported panels, and their gates do not apply this enlarged radius. This</w:t>
      </w:r>
      <w:r>
        <w:t xml:space="preserve"> </w:t>
      </w:r>
      <w:r>
        <w:t xml:space="preserve">conditional implication therefore adds no new population-safety claim to the empirical results.</w:t>
      </w:r>
    </w:p>
    <w:p>
      <w:pPr>
        <w:pStyle w:val="BodyText"/>
        <w:widowControl/>
      </w:pPr>
      <w:r>
        <w:t xml:space="preserve">For a nonlinear score such as macro-F1, an analogous argument must first define the population</w:t>
      </w:r>
      <w:r>
        <w:t xml:space="preserve"> </w:t>
      </w:r>
      <w:r>
        <w:t xml:space="preserve">functional and a suitable sampling-error bound. Neither follows from the binary disagreement</w:t>
      </w:r>
      <w:r>
        <w:t xml:space="preserve"> </w:t>
      </w:r>
      <w:r>
        <w:t xml:space="preserve">identity. Appendix L gives a counterexample with perfect</w:t>
      </w:r>
      <w:r>
        <w:t xml:space="preserve"> </w:t>
      </w:r>
      <w:r>
        <w:t xml:space="preserve">cell-outcome coverage and negative population benefit.</w:t>
      </w:r>
    </w:p>
    <w:bookmarkEnd w:id="68"/>
    <w:bookmarkEnd w:id="69"/>
    <w:bookmarkStart w:id="85"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266ce7cd87ae795e0742d43c40afefef82e82b555baa7dda8c6d270f73e2c031. Historical, incomplete,</w:t>
      </w:r>
      <w:r>
        <w:t xml:space="preserve"> </w:t>
      </w:r>
      <w:r>
        <w:t xml:space="preserve">and invalid studies keep their original scope instead of being silently removed.</w:t>
      </w:r>
    </w:p>
    <w:bookmarkStart w:id="70" w:name="b.1-accuracy-based-diagnostic-replays"/>
    <w:p>
      <w:pPr>
        <w:pStyle w:val="Heading2"/>
        <w:widowControl/>
      </w:pPr>
      <w:r>
        <w:t xml:space="preserve">B.1 Accuracy-Based Diagnostic Replays</w:t>
      </w:r>
    </w:p>
    <w:p>
      <w:pPr>
        <w:pStyle w:val="FirstParagraph"/>
        <w:widowControl/>
      </w:pPr>
      <w:r>
        <w:t xml:space="preserve">Table 8 collects the remaining ordinary-accuracy replays;</w:t>
      </w:r>
      <w:r>
        <w:t xml:space="preserve"> </w:t>
      </w:r>
      <w:r>
        <w:t xml:space="preserve">the dataset-specific interpretations follow below.</w:t>
      </w:r>
    </w:p>
    <w:p>
      <w:pPr>
        <w:pStyle w:val="TableCaption"/>
        <w:widowControl/>
      </w:pPr>
      <w:r>
        <w:t xml:space="preserve">Table 8.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8.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0.8963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70"/>
    <w:bookmarkStart w:id="71" w:name="b.2-balanced-accuracy-diagnostic-replays"/>
    <w:p>
      <w:pPr>
        <w:pStyle w:val="Heading2"/>
        <w:widowControl/>
      </w:pPr>
      <w:r>
        <w:t xml:space="preserve">B.2 Balanced-Accuracy Diagnostic Replays</w:t>
      </w:r>
    </w:p>
    <w:p>
      <w:pPr>
        <w:pStyle w:val="FirstParagraph"/>
        <w:widowControl/>
      </w:pPr>
      <w:r>
        <w:t xml:space="preserve">Table 9 reports the balanced-accuracy replays on their own</w:t>
      </w:r>
      <w:r>
        <w:t xml:space="preserve"> </w:t>
      </w:r>
      <w:r>
        <w:t xml:space="preserve">metric scale, with each recorded candidate and evaluation unit kept distinct.</w:t>
      </w:r>
    </w:p>
    <w:p>
      <w:pPr>
        <w:pStyle w:val="TableCaption"/>
        <w:widowControl/>
      </w:pPr>
      <w:r>
        <w:t xml:space="preserve">Table 9.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9.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0.4042</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0.0296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0.3704</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0.0083</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0.6574</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71"/>
    <w:bookmarkStart w:id="72" w:name="b.3-large-scale-corruption-imagenet-c"/>
    <w:p>
      <w:pPr>
        <w:pStyle w:val="Heading2"/>
        <w:widowControl/>
      </w:pPr>
      <w:r>
        <w:t xml:space="preserve">B.3 Large-Scale Corruption: ImageNet-C</w:t>
      </w:r>
    </w:p>
    <w:p>
      <w:pPr>
        <w:pStyle w:val="FirstParagraph"/>
        <w:widowControl/>
      </w:pPr>
      <w:r>
        <w:t xml:space="preserve">ImageNet-C is candidate-dependent. SAR has KGA/adapt/freeze regrets</w:t>
      </w:r>
      <w:r>
        <w:t xml:space="preserve"> </w:t>
      </w:r>
      <m:oMath>
        <m:r>
          <m:t>0.0289</m:t>
        </m:r>
      </m:oMath>
      <w:r>
        <w:t xml:space="preserve">/</w:t>
      </w:r>
      <m:oMath>
        <m:r>
          <m:t>0.0529</m:t>
        </m:r>
      </m:oMath>
      <w:r>
        <w:t xml:space="preserve">/</w:t>
      </w:r>
      <m:oMath>
        <m:r>
          <m:t>0.0319</m:t>
        </m:r>
      </m:oMath>
      <w:r>
        <w:t xml:space="preserve">, a pooled point advantage relative to each fixed policy, but with</w:t>
      </w:r>
      <w:r>
        <w:t xml:space="preserve"> </w:t>
      </w:r>
      <w:r>
        <w:t xml:space="preserve">one false adaptation among 135 cells and without seed-robust inferential support. Tent ties the</w:t>
      </w:r>
      <w:r>
        <w:t xml:space="preserve"> </w:t>
      </w:r>
      <w:r>
        <w:t xml:space="preserve">always-freeze point estimate and makes no strict decisions in the reconciled row. EATA nearly</w:t>
      </w:r>
      <w:r>
        <w:t xml:space="preserve"> </w:t>
      </w:r>
      <w:r>
        <w:t xml:space="preserve">tracks always-adapt but has a larger KGA regret (</w:t>
      </w:r>
      <m:oMath>
        <m:r>
          <m:t>0.0007</m:t>
        </m:r>
      </m:oMath>
      <w:r>
        <w:t xml:space="preserve"> </w:t>
      </w:r>
      <w:r>
        <w:t xml:space="preserve">versus</w:t>
      </w:r>
      <w:r>
        <w:t xml:space="preserve"> </w:t>
      </w:r>
      <m:oMath>
        <m:r>
          <m:t>0.0001</m:t>
        </m:r>
      </m:oMath>
      <w:r>
        <w:t xml:space="preserve">). These results show why</w:t>
      </w:r>
      <w:r>
        <w:t xml:space="preserve"> </w:t>
      </w:r>
      <w:r>
        <w:t xml:space="preserve">ImageNet-C must be interpreted at the candidate-policy level rather than through one dataset-wide</w:t>
      </w:r>
      <w:r>
        <w:t xml:space="preserve"> </w:t>
      </w:r>
      <w:r>
        <w:t xml:space="preserve">success label.</w:t>
      </w:r>
      <w:r>
        <w:t xml:space="preserve"> </w:t>
      </w:r>
      <w:r>
        <w:t xml:space="preserve">This SAR result uses a learning rate</w:t>
      </w:r>
      <w:r>
        <w:t xml:space="preserve"> </w:t>
      </w:r>
      <m:oMath>
        <m:r>
          <m:t>16</m:t>
        </m:r>
        <m:r>
          <m:rPr>
            <m:sty m:val="p"/>
          </m:rPr>
          <m:t>×</m:t>
        </m:r>
      </m:oMath>
      <w:r>
        <w:t xml:space="preserve"> </w:t>
      </w:r>
      <w:r>
        <w:t xml:space="preserve">higher than SAR’s published setting</w:t>
      </w:r>
      <w:r>
        <w:t xml:space="preserve"> </w:t>
      </w:r>
      <w:r>
        <w:t xml:space="preserve">(</w:t>
      </w:r>
      <m:oMath>
        <m:r>
          <m:t>4</m:t>
        </m:r>
        <m:r>
          <m:rPr>
            <m:sty m:val="p"/>
          </m:rPr>
          <m:t>×</m:t>
        </m:r>
        <m:sSup>
          <m:e>
            <m:r>
              <m:t>10</m:t>
            </m:r>
          </m:e>
          <m:sup>
            <m:r>
              <m:rPr>
                <m:sty m:val="p"/>
              </m:rPr>
              <m:t>−</m:t>
            </m:r>
            <m:r>
              <m:t>3</m:t>
            </m:r>
          </m:sup>
        </m:sSup>
      </m:oMath>
      <w:r>
        <w:t xml:space="preserve"> </w:t>
      </w:r>
      <w:r>
        <w:t xml:space="preserve">versus</w:t>
      </w:r>
      <w:r>
        <w:t xml:space="preserve"> </w:t>
      </w:r>
      <m:oMath>
        <m:r>
          <m:t>2.5</m:t>
        </m:r>
        <m:r>
          <m:rPr>
            <m:sty m:val="p"/>
          </m:rPr>
          <m:t>×</m:t>
        </m:r>
        <m:sSup>
          <m:e>
            <m:r>
              <m:t>10</m:t>
            </m:r>
          </m:e>
          <m:sup>
            <m:r>
              <m:rPr>
                <m:sty m:val="p"/>
              </m:rPr>
              <m:t>−</m:t>
            </m:r>
            <m:r>
              <m:t>4</m:t>
            </m:r>
          </m:sup>
        </m:sSup>
      </m:oMath>
      <w:r>
        <w:t xml:space="preserve">), with the final ResNet stage left adaptable—an</w:t>
      </w:r>
      <w:r>
        <w:t xml:space="preserve"> </w:t>
      </w:r>
      <w:r>
        <w:t xml:space="preserve">aggressive configuration at which SAR is expected to be fragile. No control at SAR’s official</w:t>
      </w:r>
      <w:r>
        <w:t xml:space="preserve"> </w:t>
      </w:r>
      <w:r>
        <w:t xml:space="preserve">operating point has been run; this is a claim about this configuration, not about SAR as published.</w:t>
      </w:r>
    </w:p>
    <w:bookmarkEnd w:id="72"/>
    <w:bookmarkStart w:id="73"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8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10.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10.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73"/>
    <w:bookmarkStart w:id="74"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w:t>
      </w:r>
      <w:r>
        <w:t xml:space="preserve"> </w:t>
      </w:r>
      <w:r>
        <w:t xml:space="preserve">diagnostics remain separate from this OOD endpoint. In the B–v2 SAR diagnostic, KGA regret is</w:t>
      </w:r>
      <w:r>
        <w:t xml:space="preserve"> </w:t>
      </w:r>
      <m:oMath>
        <m:r>
          <m:t>0.0006</m:t>
        </m:r>
      </m:oMath>
      <w:r>
        <w:t xml:space="preserve">, compared with</w:t>
      </w:r>
      <w:r>
        <w:t xml:space="preserve"> </w:t>
      </w:r>
      <m:oMath>
        <m:r>
          <m:t>0.0016</m:t>
        </m:r>
      </m:oMath>
      <w:r>
        <w:t xml:space="preserve"> </w:t>
      </w:r>
      <w:r>
        <w:t xml:space="preserve">for always-adapt and</w:t>
      </w:r>
      <w:r>
        <w:t xml:space="preserve"> </w:t>
      </w:r>
      <m:oMath>
        <m:r>
          <m:t>0.1001</m:t>
        </m:r>
      </m:oMath>
      <w:r>
        <w:t xml:space="preserve"> </w:t>
      </w:r>
      <w:r>
        <w:t xml:space="preserve">for always-freeze. All three run-seed</w:t>
      </w:r>
      <w:r>
        <w:t xml:space="preserve"> </w:t>
      </w:r>
      <w:r>
        <w:t xml:space="preserve">point estimates favor KGA relative to each fixed policy, but the archived paired interval against</w:t>
      </w:r>
      <w:r>
        <w:t xml:space="preserve"> </w:t>
      </w:r>
      <w:r>
        <w:t xml:space="preserve">always-adapt includes zero and the Holm-adjusted comparison does not pass. The run seeds also do not</w:t>
      </w:r>
      <w:r>
        <w:t xml:space="preserve"> </w:t>
      </w:r>
      <w:r>
        <w:t xml:space="preserve">record independent checkpoint identities, and the target was already open. We therefore retain this</w:t>
      </w:r>
      <w:r>
        <w:t xml:space="preserve"> </w:t>
      </w:r>
      <w:r>
        <w:t xml:space="preserve">as within-seed stress evidence rather than untouched natural-domain transfer.</w:t>
      </w:r>
    </w:p>
    <w:bookmarkEnd w:id="74"/>
    <w:bookmarkStart w:id="75"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75"/>
    <w:bookmarkStart w:id="76"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76"/>
    <w:bookmarkStart w:id="80" w:name="b.8-boundary-and-transfer-diagnostics"/>
    <w:p>
      <w:pPr>
        <w:pStyle w:val="Heading2"/>
        <w:widowControl/>
      </w:pPr>
      <w:r>
        <w:t xml:space="preserve">B.8 Boundary and Transfer Diagnostics</w:t>
      </w:r>
    </w:p>
    <w:bookmarkStart w:id="77"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Its archived aggregate lacks</w:t>
      </w:r>
      <w:r>
        <w:t xml:space="preserve"> </w:t>
      </w:r>
      <w:r>
        <w:t xml:space="preserve">the residual detail needed for full gate replay, so it remains an aggregate performance diagnostic</w:t>
      </w:r>
      <w:r>
        <w:t xml:space="preserve"> </w:t>
      </w:r>
      <w:r>
        <w:t xml:space="preserve">with incomplete certificate replay.</w:t>
      </w:r>
    </w:p>
    <w:bookmarkEnd w:id="77"/>
    <w:bookmarkStart w:id="78" w:name="b.8.2-imagenet-r-backbone-breakdown"/>
    <w:p>
      <w:pPr>
        <w:pStyle w:val="Heading3"/>
        <w:widowControl/>
      </w:pPr>
      <w:r>
        <w:t xml:space="preserve">B.8.2 ImageNet-R Backbone Breakdown</w:t>
      </w:r>
    </w:p>
    <w:p>
      <w:pPr>
        <w:pStyle w:val="FirstParagraph"/>
        <w:widowControl/>
      </w:pPr>
      <w:r>
        <w:t xml:space="preserve">ImageNet-R [24] KGA regret is</w:t>
      </w:r>
      <w:r>
        <w:t xml:space="preserve"> </w:t>
      </w:r>
      <m:oMath>
        <m:r>
          <m:t>0.0150</m:t>
        </m:r>
      </m:oMath>
      <w:r>
        <w:t xml:space="preserve">, compared with</w:t>
      </w:r>
      <w:r>
        <w:t xml:space="preserve"> </w:t>
      </w:r>
      <m:oMath>
        <m:r>
          <m:t>0.0064</m:t>
        </m:r>
      </m:oMath>
      <w:r>
        <w:t xml:space="preserve"> </w:t>
      </w:r>
      <w:r>
        <w:t xml:space="preserve">for always-adapt, across the ten-backbone</w:t>
      </w:r>
      <w:r>
        <w:t xml:space="preserve"> </w:t>
      </w:r>
      <w:r>
        <w:t xml:space="preserve">architecture panel. No backbone has lower KGA point regret than each fixed comparator. KGA regret</w:t>
      </w:r>
      <w:r>
        <w:t xml:space="preserve"> </w:t>
      </w:r>
      <w:r>
        <w:t xml:space="preserve">is higher than always-adapt regret on 8 of 10 backbones; four of those eight have a 0% harmful base</w:t>
      </w:r>
      <w:r>
        <w:t xml:space="preserve"> </w:t>
      </w:r>
      <w:r>
        <w:t xml:space="preserve">rate, so routing has no harm to avoid. On</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w:t>
      </w:r>
      <w:r>
        <w:t xml:space="preserve"> </w:t>
      </w:r>
      <w:r>
        <w:t xml:space="preserve">always-adapt but exactly matches always-freeze and makes no adapt decisions. The pattern is</w:t>
      </w:r>
      <w:r>
        <w:t xml:space="preserve"> </w:t>
      </w:r>
      <w:r>
        <w:t xml:space="preserve">consistent with the regime map: routing can add value only where candidate harm is present, while</w:t>
      </w:r>
      <w:r>
        <w:t xml:space="preserve"> </w:t>
      </w:r>
      <w:r>
        <w:t xml:space="preserve">these two rows evaluate conservative retention rather than selective routing.</w:t>
      </w:r>
    </w:p>
    <w:bookmarkEnd w:id="78"/>
    <w:bookmarkStart w:id="79"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79"/>
    <w:bookmarkEnd w:id="80"/>
    <w:bookmarkStart w:id="81" w:name="X730aa669d2d3ed7f70280d8e8ea1cdc6413884b"/>
    <w:p>
      <w:pPr>
        <w:pStyle w:val="Heading2"/>
        <w:widowControl/>
      </w:pPr>
      <w:r>
        <w:t xml:space="preserve">B.9 Historical Protocol-Matched POEM and AETTA Ports</w:t>
      </w:r>
    </w:p>
    <w:p>
      <w:pPr>
        <w:pStyle w:val="FirstParagraph"/>
        <w:widowControl/>
      </w:pPr>
      <w:r>
        <w:t xml:space="preserve">The repository retains a head-to-head artifact on the locked CIFAR-10-C stress stream, but its KGA</w:t>
      </w:r>
      <w:r>
        <w:t xml:space="preserve"> </w:t>
      </w:r>
      <w:r>
        <w:t xml:space="preserve">actions came from an earlier policy and are not synchronized with the current empirical order-statistic actions.</w:t>
      </w:r>
      <w:r>
        <w:t xml:space="preserve"> </w:t>
      </w:r>
      <w:r>
        <w:t xml:space="preserve">Its numerical ordering is therefore audit history, not release-eligible comparative evidence, and</w:t>
      </w:r>
      <w:r>
        <w:t xml:space="preserve"> </w:t>
      </w:r>
      <w:r>
        <w:t xml:space="preserve">we do not report a superiority estimate from it. The neighboring methods are protocol-matched ports,</w:t>
      </w:r>
      <w:r>
        <w:t xml:space="preserve"> </w:t>
      </w:r>
      <w:r>
        <w:t xml:space="preserve">not untouched official implementations. A defensible comparison requires all methods to be replayed</w:t>
      </w:r>
      <w:r>
        <w:t xml:space="preserve"> </w:t>
      </w:r>
      <w:r>
        <w:t xml:space="preserve">on identical current-policy records with the multiplicity family fixed in advance.</w:t>
      </w:r>
    </w:p>
    <w:p>
      <w:pPr>
        <w:pStyle w:val="BodyText"/>
        <w:widowControl/>
      </w:pPr>
      <w:r>
        <w:t xml:space="preserve">These controlled results use empirical calibration. Leaving one cell out prevents that cell from</w:t>
      </w:r>
      <w:r>
        <w:t xml:space="preserve"> </w:t>
      </w:r>
      <w:r>
        <w:t xml:space="preserve">directly fitting its own prediction or radius. It does not establish exact split-conformal coverage</w:t>
      </w:r>
      <w:r>
        <w:t xml:space="preserve"> </w:t>
      </w:r>
      <w:r>
        <w:t xml:space="preserve">when corruption cells are dependent. Thus zero observed false adaptations describes this protocol;</w:t>
      </w:r>
      <w:r>
        <w:t xml:space="preserve"> </w:t>
      </w:r>
      <w:r>
        <w:t xml:space="preserve">it does not guarantee the same result for every future corruption family.</w:t>
      </w:r>
    </w:p>
    <w:bookmarkEnd w:id="81"/>
    <w:bookmarkStart w:id="82"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82"/>
    <w:bookmarkStart w:id="84" w:name="Xbc715cdb32abd8ab932bd35f5df8fa38f0f9e09"/>
    <w:p>
      <w:pPr>
        <w:pStyle w:val="Heading2"/>
        <w:widowControl/>
      </w:pPr>
      <w:r>
        <w:t xml:space="preserve">B.11 Withdrawn Development Proxy for the Population Budget</w:t>
      </w:r>
    </w:p>
    <w:p>
      <w:pPr>
        <w:pStyle w:val="FirstParagraph"/>
        <w:widowControl/>
      </w:pPr>
      <w:r>
        <w:t xml:space="preserve">The frontier is exact relative to</w:t>
      </w:r>
      <w:r>
        <w:t xml:space="preserve"> </w:t>
      </w:r>
      <m:oMath>
        <m:sSub>
          <m:e>
            <m:r>
              <m:rPr>
                <m:scr m:val="script"/>
                <m:sty m:val="p"/>
              </m:rPr>
              <m:t>C</m:t>
            </m:r>
          </m:e>
          <m:sub>
            <m:r>
              <m:t>β</m:t>
            </m:r>
          </m:sub>
        </m:sSub>
      </m:oMath>
      <w:r>
        <w:t xml:space="preserve">, but an unlabeled deployment batch cannot</w:t>
      </w:r>
      <w:r>
        <w:t xml:space="preserve"> </w:t>
      </w:r>
      <w:r>
        <w:t xml:space="preserve">verify</w:t>
      </w:r>
      <w:r>
        <w:t xml:space="preserve"> </w:t>
      </w:r>
      <m:oMath>
        <m:r>
          <m:rPr>
            <m:sty m:val="p"/>
          </m:rPr>
          <m:t>|</m:t>
        </m:r>
        <m:r>
          <m:t>γ</m:t>
        </m:r>
        <m:r>
          <m:rPr>
            <m:sty m:val="p"/>
          </m:rPr>
          <m:t>|</m:t>
        </m:r>
        <m:r>
          <m:rPr>
            <m:sty m:val="p"/>
          </m:rPr>
          <m:t>≤</m:t>
        </m:r>
        <m:r>
          <m:t>β</m:t>
        </m:r>
      </m:oMath>
      <w:r>
        <w:t xml:space="preserve">. A credible budget must come from domain knowledge, a declared coupling,</w:t>
      </w:r>
      <w:r>
        <w:t xml:space="preserve"> </w:t>
      </w:r>
      <w:r>
        <w:t xml:space="preserve">or historical labeled deployments under a transfer assumption. Setting</w:t>
      </w:r>
      <w:r>
        <w:t xml:space="preserve"> </w:t>
      </w:r>
      <m:oMath>
        <m:r>
          <m:t>β</m:t>
        </m:r>
        <m:r>
          <m:rPr>
            <m:sty m:val="p"/>
          </m:rPr>
          <m:t>=</m:t>
        </m:r>
        <m:r>
          <m:t>0</m:t>
        </m:r>
      </m:oMath>
      <w:r>
        <w:t xml:space="preserve"> </w:t>
      </w:r>
      <w:r>
        <w:t xml:space="preserve">assumes a zero</w:t>
      </w:r>
      <w:r>
        <w:t xml:space="preserve"> </w:t>
      </w:r>
      <w:r>
        <w:t xml:space="preserve">target disagreement-conditional residual; it is not a safe default.</w:t>
      </w:r>
    </w:p>
    <w:p>
      <w:pPr>
        <w:pStyle w:val="BodyText"/>
        <w:widowControl/>
      </w:pPr>
      <w:r>
        <w:t xml:space="preserve">We tested a source-development benefit-scale proxy as a possible operational surrogate for</w:t>
      </w:r>
      <w:r>
        <w:t xml:space="preserve"> </w:t>
      </w:r>
      <m:oMath>
        <m:r>
          <m:t>β</m:t>
        </m:r>
      </m:oMath>
      <w:r>
        <w:t xml:space="preserve">; it does not estimate the theorem’s calibration-residual bound. On CIFAR-10-C, the proxy is</w:t>
      </w:r>
      <w:r>
        <w:t xml:space="preserve"> </w:t>
      </w:r>
      <m:oMath>
        <m:r>
          <m:t>1.4</m:t>
        </m:r>
      </m:oMath>
      <w:r>
        <w:t xml:space="preserve">–</w:t>
      </w:r>
      <m:oMath>
        <m:r>
          <m:t>50</m:t>
        </m:r>
        <m:r>
          <m:rPr>
            <m:sty m:val="p"/>
          </m:rPr>
          <m:t>×</m:t>
        </m:r>
      </m:oMath>
      <w:r>
        <w:t xml:space="preserve"> </w:t>
      </w:r>
      <w:r>
        <w:t xml:space="preserve">too small relative to evaluation-scale discrepancies: 24–73% of cells violate</w:t>
      </w:r>
      <w:r>
        <w:t xml:space="preserve"> </w:t>
      </w:r>
      <w:r>
        <w:t xml:space="preserve">the putative budget, and commit error is 0.4–16.6%. On ImageNet-C, a larger proxy often removes</w:t>
      </w:r>
      <w:r>
        <w:t xml:space="preserve"> </w:t>
      </w:r>
      <w:r>
        <w:t xml:space="preserve">most decisions; 5 of 10 configurations return zero commitments on all 405 cells. We therefore</w:t>
      </w:r>
      <w:r>
        <w:t xml:space="preserve"> </w:t>
      </w:r>
      <w:r>
        <w:t xml:space="preserve">withdraw this surrogate route. The population</w:t>
      </w:r>
      <w:r>
        <w:t xml:space="preserve"> </w:t>
      </w:r>
      <m:oMath>
        <m:r>
          <m:t>β</m:t>
        </m:r>
      </m:oMath>
      <w:r>
        <w:t xml:space="preserve"> </w:t>
      </w:r>
      <w:r>
        <w:t xml:space="preserve">remains externally supplied from domain</w:t>
      </w:r>
      <w:r>
        <w:t xml:space="preserve"> </w:t>
      </w:r>
      <w:r>
        <w:t xml:space="preserve">knowledge or a stated assumption.</w:t>
      </w:r>
    </w:p>
    <w:bookmarkStart w:id="83" w:name="Xb0d4fc30b5759b267f4ca8f0609f80e5b3a1470"/>
    <w:p>
      <w:pPr>
        <w:pStyle w:val="Heading3"/>
        <w:keepNext/>
        <w:widowControl/>
        <w:spacing w:before="100" w:after="20" w:line="252" w:lineRule="auto"/>
      </w:pPr>
      <w:r>
        <w:rPr>
          <w:rFonts w:ascii="Times New Roman" w:hAnsi="Times New Roman" w:eastAsia="Times New Roman" w:cs="Times New Roman"/>
          <w:b/>
          <w:sz w:val="19"/>
        </w:rPr>
        <w:t xml:space="preserve">The theory-to-algorithm link needs a sampling argument.</w:t>
      </w:r>
    </w:p>
    <w:p>
      <w:pPr>
        <w:pStyle w:val="FirstParagraph"/>
        <w:widowControl/>
      </w:pPr>
      <w:r>
        <w:t xml:space="preserve">The population layer targets</w:t>
      </w:r>
      <w:r>
        <w:t xml:space="preserve"> </w:t>
      </w:r>
      <m:oMath>
        <m:r>
          <m:rPr>
            <m:sty m:val="p"/>
          </m:rPr>
          <m:t>Δ</m:t>
        </m:r>
      </m:oMath>
      <w:r>
        <w:t xml:space="preserve">; the reported empirical calibration targets</w:t>
      </w:r>
      <w:r>
        <w:t xml:space="preserve"> </w:t>
      </w:r>
      <m:oMath>
        <m:sSup>
          <m:e>
            <m:r>
              <m:rPr>
                <m:sty m:val="p"/>
              </m:rPr>
              <m:t>Δ</m:t>
            </m:r>
          </m:e>
          <m:sup>
            <m:r>
              <m:rPr>
                <m:sty m:val="p"/>
              </m:rPr>
              <m:t>c</m:t>
            </m:r>
            <m:r>
              <m:rPr>
                <m:sty m:val="p"/>
              </m:rPr>
              <m:t>e</m:t>
            </m:r>
            <m:r>
              <m:rPr>
                <m:sty m:val="p"/>
              </m:rPr>
              <m:t>l</m:t>
            </m:r>
            <m:r>
              <m:rPr>
                <m:sty m:val="p"/>
              </m:rPr>
              <m:t>l</m:t>
            </m:r>
          </m:sup>
        </m:sSup>
      </m:oMath>
      <w:r>
        <w:t xml:space="preserve">, as Section 6.1 makes explicit. Coverage for the latter</w:t>
      </w:r>
      <w:r>
        <w:t xml:space="preserve"> </w:t>
      </w:r>
      <w:r>
        <w:t xml:space="preserve">does not cover the former without an additional evaluation-error argument such as that in</w:t>
      </w:r>
      <w:r>
        <w:t xml:space="preserve"> </w:t>
      </w:r>
      <w:r>
        <w:t xml:space="preserve">Appendix A. Neither layer establishes that</w:t>
      </w:r>
      <w:r>
        <w:t xml:space="preserve"> </w:t>
      </w:r>
      <m:oMath>
        <m:r>
          <m:t>Z</m:t>
        </m:r>
      </m:oMath>
      <w:r>
        <w:t xml:space="preserve"> </w:t>
      </w:r>
      <w:r>
        <w:t xml:space="preserve">is risk-aligned, that</w:t>
      </w:r>
      <w:r>
        <w:t xml:space="preserve"> </w:t>
      </w:r>
      <m:oMath>
        <m:sSub>
          <m:e>
            <m:r>
              <m:t>h</m:t>
            </m:r>
          </m:e>
          <m:sub>
            <m:r>
              <m:t>θ</m:t>
            </m:r>
          </m:sub>
        </m:sSub>
      </m:oMath>
      <w:r>
        <w:t xml:space="preserve"> </w:t>
      </w:r>
      <w:r>
        <w:t xml:space="preserve">transfers, or that residual coverage holds in a new domain. KGA applies the three-way</w:t>
      </w:r>
      <w:r>
        <w:t xml:space="preserve"> </w:t>
      </w:r>
      <w:r>
        <w:t xml:space="preserve">decision through an interval; it does not learn these validity assumptions.</w:t>
      </w:r>
    </w:p>
    <w:bookmarkEnd w:id="83"/>
    <w:bookmarkEnd w:id="84"/>
    <w:bookmarkEnd w:id="85"/>
    <w:bookmarkStart w:id="86" w:name="c-compact-assumption-and-claim-ledger"/>
    <w:p>
      <w:pPr>
        <w:pStyle w:val="Heading1"/>
        <w:widowControl/>
      </w:pPr>
      <w:r>
        <w:t xml:space="preserve">C Compact Assumption and Claim Ledger</w:t>
      </w:r>
    </w:p>
    <w:p>
      <w:pPr>
        <w:pStyle w:val="FirstParagraph"/>
        <w:widowControl/>
      </w:pPr>
      <w:r>
        <w:t xml:space="preserve">Table 11 separates formal claims from empirical findings and records the</w:t>
      </w:r>
      <w:r>
        <w:t xml:space="preserve"> </w:t>
      </w:r>
      <w:r>
        <w:t xml:space="preserve">conditions and scope limits for each.</w:t>
      </w:r>
    </w:p>
    <w:p>
      <w:pPr>
        <w:pStyle w:val="TableCaption"/>
        <w:widowControl/>
      </w:pPr>
      <w:r>
        <w:t xml:space="preserve">Table 11.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11.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298"/>
        <w:gridCol w:w="3331"/>
        <w:gridCol w:w="3331"/>
      </w:tblGrid>
      <w:tr>
        <w:trPr>
          <w:tblHeader w:val="true"/>
          <w:cantSplit w:val="true"/>
        </w:trPr>
        <w:tc>
          <w:tcPr>
            <w:tcW w:w="329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31"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(9) for the measured cell target</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5 and 13; frozen Tent controlled-grid protocol</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5 and 13; frozen EATA controlled-grid protocol</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8, 9, and 7; each split and candidate remain fixed</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8.4; locked v1 feasibility rules and unopened target boundary</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8; candidate rows interpreted separately</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8 and 9; canonical replay scope retained</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29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validation (pending)</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bl>
    <w:bookmarkEnd w:id="86"/>
    <w:bookmarkStart w:id="91" w:name="d-calibration-and-evaluation-contracts"/>
    <w:p>
      <w:pPr>
        <w:pStyle w:val="Heading1"/>
        <w:widowControl/>
      </w:pPr>
      <w:r>
        <w:t xml:space="preserve">D Calibration and Evaluation Contracts</w:t>
      </w:r>
    </w:p>
    <w:bookmarkStart w:id="87"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An out-of-fold benefit estimate is produced without fitting</w:t>
      </w:r>
      <w:r>
        <w:t xml:space="preserve"> </w:t>
      </w:r>
      <w:r>
        <w:t xml:space="preserve">on the scored cell, and the residual radius for that cell excludes its residual. This is</w:t>
      </w:r>
      <w:r>
        <w:t xml:space="preserve"> </w:t>
      </w:r>
      <w:r>
        <w:t xml:space="preserve">leave-one-condition-out cross-fitted empirical residual calibration. Related cells may still be</w:t>
      </w:r>
      <w:r>
        <w:t xml:space="preserve"> </w:t>
      </w:r>
      <w:r>
        <w:t xml:space="preserve">dependent through corruption family, checkpoint, or seed. Exact split-conformal wording is not used</w:t>
      </w:r>
      <w:r>
        <w:t xml:space="preserve"> </w:t>
      </w:r>
      <w:r>
        <w:t xml:space="preserve">for this branch.</w:t>
      </w:r>
    </w:p>
    <w:bookmarkEnd w:id="87"/>
    <w:bookmarkStart w:id="88"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88"/>
    <w:bookmarkStart w:id="89"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89"/>
    <w:bookmarkStart w:id="90"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90"/>
    <w:bookmarkEnd w:id="91"/>
    <w:bookmarkStart w:id="92"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12 therefore reconstructs action counts from the same canonical panel used</w:t>
      </w:r>
      <w:r>
        <w:t xml:space="preserve"> </w:t>
      </w:r>
      <w:r>
        <w:t xml:space="preserve">in Tables 5, 8, and 9.</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12. Action exposure in replayable canonical rows. Counts are not independent experiments:</w:t>
      </w:r>
      <w:r>
        <w:t xml:space="preserve"> </w:t>
      </w:r>
      <w:r>
        <w:t xml:space="preserve">they are evaluation units within the protocol shown. A zero false-adapt count is informative only</w:t>
      </w:r>
      <w:r>
        <w:t xml:space="preserve"> </w:t>
      </w:r>
      <w:r>
        <w:t xml:space="preserve">when adaptation was attempted and the residual pool did not make the inequality automatic. Harm</w:t>
      </w:r>
      <w:r>
        <w:t xml:space="preserve"> </w:t>
      </w:r>
      <w:r>
        <w:t xml:space="preserve">and false adaptation are defined by measured cell outcomes, not population risks. Counts</w:t>
      </w:r>
      <w:r>
        <w:t xml:space="preserve"> </w:t>
      </w:r>
      <w:r>
        <w:t xml:space="preserve">were regenerated from source manifest SHA-256</w:t>
      </w:r>
      <w:r>
        <w:t xml:space="preserve"> </w:t>
      </w:r>
      <w:r>
        <w:rPr>
          <w:rStyle w:val="VerbatimChar"/>
        </w:rPr>
        <w:t xml:space="preserve">266ce7cd87ae795e0742d43c40afefef82e82b555baa7dda8c6d270f73e2c031</w:t>
      </w:r>
      <w:r>
        <w:t xml:space="preserve">.</w:t>
      </w:r>
    </w:p>
    <w:tbl>
      <w:tblPr>
        <w:tblStyle w:val="Table"/>
        <w:tblW w:type="dxa" w:w="9960"/>
        <w:jc w:val="left"/>
        <w:tblLayout w:type="fixed"/>
        <w:tblLook w:firstRow="1" w:lastRow="0" w:firstColumn="0" w:lastColumn="0" w:noHBand="0" w:noVBand="0" w:val="0020"/>
        <w:tblCaption w:val="Table 12. Action exposure in replayable canonical rows. Counts are not independent experiments: they are evaluation units within the protocol shown. A zero false-adapt count is informative only when adaptation was attempted and the residual pool did not make the inequality automatic. Harm and false adaptation are defined by measured cell outcomes, not population risks. Counts were regenerated from source manifest SHA-256 266ce7cd87ae795e0742d43c40afefef82e82b555baa7dda8c6d270f73e2c031."/>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1241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ImageNet-C EATA has substantial</w:t>
      </w:r>
      <w:r>
        <w:t xml:space="preserve"> </w:t>
      </w:r>
      <w:r>
        <w:t xml:space="preserve">adapt exposure and one false adaptation, while Tent</w:t>
      </w:r>
      <w:r>
        <w:t xml:space="preserve"> </w:t>
      </w:r>
      <w:r>
        <w:t xml:space="preserve">abstains everywhere.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92"/>
    <w:bookmarkStart w:id="99" w:name="f-inference-discipline"/>
    <w:p>
      <w:pPr>
        <w:pStyle w:val="Heading1"/>
        <w:widowControl/>
      </w:pPr>
      <w:r>
        <w:t xml:space="preserve">F Inference Discipline</w:t>
      </w:r>
    </w:p>
    <w:bookmarkStart w:id="93"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8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93"/>
    <w:bookmarkStart w:id="94"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13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13.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13.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0.00633 [0.00254,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0.12229 [0.06331, 0.17772]</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0.00195 [-0.00052,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0.13001 [0.06977, 0.18754]</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0.25000/0.09375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-0.00122 [-0.00267, -0.00007]</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0.13891 [0.08031, 0.19686]</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94"/>
    <w:bookmarkStart w:id="95" w:name="X438b288f42c3f87918d141c127c3c01c9d2bb3b"/>
    <w:p>
      <w:pPr>
        <w:pStyle w:val="Heading2"/>
        <w:widowControl/>
      </w:pPr>
      <w:r>
        <w:t xml:space="preserve">F.3 Retrospective Interval Inclusion by Family</w:t>
      </w:r>
    </w:p>
    <w:p>
      <w:pPr>
        <w:pStyle w:val="FirstParagraph"/>
        <w:widowControl/>
      </w:pPr>
      <w:r>
        <w:t xml:space="preserve">The following audit replays the current policy from stored, cross-fitted predictions and measured</w:t>
      </w:r>
      <w:r>
        <w:t xml:space="preserve"> </w:t>
      </w:r>
      <w:r>
        <w:t xml:space="preserve">cell outcomes. It uses each candidate’s original residual rule and excludes the scored residual</w:t>
      </w:r>
      <w:r>
        <w:t xml:space="preserve"> </w:t>
      </w:r>
      <w:r>
        <w:t xml:space="preserve">from its own radius. No fitting, tuning, new target access, or training is performed. The input,</w:t>
      </w:r>
      <w:r>
        <w:t xml:space="preserve"> </w:t>
      </w:r>
      <w:r>
        <w:t xml:space="preserve">policy, code, and output digests are recorded in the generated diagnostic JSON.</w:t>
      </w:r>
    </w:p>
    <w:p>
      <w:pPr>
        <w:pStyle w:val="BodyText"/>
        <w:widowControl/>
      </w:pPr>
      <w:r>
        <w:t xml:space="preserve">The pooled inclusion fraction is constrained by the overlapping leave-one-cell-out order statistics.</w:t>
      </w:r>
      <w:r>
        <w:t xml:space="preserve"> </w:t>
      </w:r>
      <w:r>
        <w:t xml:space="preserve">It is not an independent estimate of coverage on new environments. Family rows reveal the</w:t>
      </w:r>
      <w:r>
        <w:t xml:space="preserve"> </w:t>
      </w:r>
      <w:r>
        <w:t xml:space="preserve">distribution of those same misses, widths, and decisions; they do not supply group-conditional</w:t>
      </w:r>
      <w:r>
        <w:t xml:space="preserve"> </w:t>
      </w:r>
      <w:r>
        <w:t xml:space="preserve">guarantees. A nominal 90% target is a calibration setting, not a promise validated by this replay.</w:t>
      </w:r>
    </w:p>
    <w:p>
      <w:pPr>
        <w:pStyle w:val="TableCaption"/>
        <w:widowControl/>
      </w:pPr>
      <w:r>
        <w:t xml:space="preserve">Table 14. Current-policy interval and decision diagnostics by corruption family. Width is full</w:t>
      </w:r>
      <w:r>
        <w:t xml:space="preserve"> </w:t>
      </w:r>
      <w:r>
        <w:t xml:space="preserve">interval width,</w:t>
      </w:r>
      <w:r>
        <w:t xml:space="preserve"> </w:t>
      </w:r>
      <m:oMath>
        <m:r>
          <m:t>2</m:t>
        </m:r>
        <m:r>
          <m:t>ε</m:t>
        </m:r>
      </m:oMath>
      <w:r>
        <w:t xml:space="preserve">. Inclusion is measured on already-open, dependent cross-fitted cells.</w:t>
      </w:r>
      <w:r>
        <w:t xml:space="preserve"> </w:t>
      </w:r>
      <w:r>
        <w:t xml:space="preserve">Conditional errors use the number of the corresponding action as denominator and are undefined</w:t>
      </w:r>
      <w:r>
        <w:t xml:space="preserve"> </w:t>
      </w:r>
      <w:r>
        <w:t xml:space="preserve">when that action is absent. These diagnostics are not held-out group-coverage validation.</w:t>
      </w:r>
    </w:p>
    <w:tbl>
      <w:tblPr>
        <w:tblStyle w:val="Table"/>
        <w:tblW w:type="dxa" w:w="9960"/>
        <w:jc w:val="left"/>
        <w:tblLayout w:type="fixed"/>
        <w:tblLook w:firstRow="1" w:lastRow="0" w:firstColumn="0" w:lastColumn="0" w:noHBand="0" w:noVBand="0" w:val="0020"/>
        <w:tblCaption w:val="Table 14. Current-policy interval and decision diagnostics by corruption family. Width is full interval width, 2\varepsilon. Inclusion is measured on already-open, dependent cross-fitted cells. Conditional errors use the number of the corresponding action as denominator and are undefined when that action is absent. These diagnostics are not held-out group-coverage valid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6"/>
        <w:gridCol w:w="1690"/>
        <w:gridCol w:w="966"/>
        <w:gridCol w:w="999"/>
        <w:gridCol w:w="1056"/>
        <w:gridCol w:w="1056"/>
        <w:gridCol w:w="1776"/>
        <w:gridCol w:w="1451"/>
      </w:tblGrid>
      <w:tr>
        <w:trPr>
          <w:tblHeader w:val="true"/>
          <w:cantSplit w:val="true"/>
        </w:trPr>
        <w:tc>
          <w:tcPr>
            <w:tcW w:w="9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0.7972</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0.0425</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0.7028</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0/73;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0.9417</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0.0426</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0.7222</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0/80;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0.9333</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0.0426</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0.7139</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0/77;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0.8556</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0.0425</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0.8611</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0/308;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 0.5000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0.9639</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0.0426</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0.3944</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0/79;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0/63;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0.9111</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0.0426</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0.6778</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0/64;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0.8333</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0.0341</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0.6028</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0/37;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0.9083</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0.5972</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0.8472</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0.9833</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0/354;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0.9667</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0.0341</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0.4944</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0/167;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0/11;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0.5583</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0/21; 0.0000</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0.8778</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0.9028</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0.8306</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0.9583</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0.0261</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0.9639</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0/347;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0.0260</w:t>
            </w:r>
          </w:p>
        </w:tc>
        <w:tc>
          <w:tcPr>
            <w:tcW w:w="105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0.5528</w:t>
            </w:r>
          </w:p>
        </w:tc>
        <w:tc>
          <w:tcPr>
            <w:tcW w:w="1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0/199; 0.0000</w:t>
            </w:r>
          </w:p>
        </w:tc>
        <w:tc>
          <w:tcPr>
            <w:tcW w:w="145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95"/>
    <w:bookmarkStart w:id="96"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12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96"/>
    <w:bookmarkStart w:id="98"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97"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review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97"/>
    <w:bookmarkEnd w:id="98"/>
    <w:bookmarkEnd w:id="99"/>
    <w:bookmarkStart w:id="104" w:name="Xee8835d1cfba1c10eeb531799a2736c81d31159"/>
    <w:p>
      <w:pPr>
        <w:pStyle w:val="Heading1"/>
        <w:widowControl/>
      </w:pPr>
      <w:r>
        <w:t xml:space="preserve">G Track-Level Provenance and Remaining Evidence</w:t>
      </w:r>
    </w:p>
    <w:p>
      <w:pPr>
        <w:pStyle w:val="TableCaption"/>
        <w:widowControl/>
      </w:pPr>
      <w:r>
        <w:t xml:space="preserve">Table 15. What is present in the compact release and what remains unavailable.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15. What is present in the compact release and what remains unavailabl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result, not administrative metadata. A reviewer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03" w:name="X70d84f40c09bb5f77e6b004cc7ba8ca8bcbd23b"/>
    <w:p>
      <w:pPr>
        <w:pStyle w:val="Heading2"/>
        <w:widowControl/>
      </w:pPr>
      <w:r>
        <w:t xml:space="preserve">G.1 CCT-20 Inference, Location, and Release Ledger</w:t>
      </w:r>
    </w:p>
    <w:bookmarkStart w:id="100"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repair in a sealed addendum created before outcome access.</w:t>
      </w:r>
      <w:r>
        <w:t xml:space="preserve"> </w:t>
      </w:r>
      <w:r>
        <w:t xml:space="preserve">That repair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16.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(12).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16.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2).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(12).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p>
    <w:bookmarkEnd w:id="100"/>
    <w:bookmarkStart w:id="101"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01"/>
    <w:bookmarkStart w:id="102"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17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17.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17.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(12), and no post-hoc</w:t>
      </w:r>
      <w:r>
        <w:t xml:space="preserve"> </w:t>
      </w:r>
      <w:r>
        <w:t xml:space="preserve">aggregate is claimed for the secondary macro-F1 outcome.</w:t>
      </w:r>
    </w:p>
    <w:bookmarkEnd w:id="102"/>
    <w:bookmarkEnd w:id="103"/>
    <w:bookmarkEnd w:id="104"/>
    <w:bookmarkStart w:id="109" w:name="h-extended-kga-implementation-contract"/>
    <w:p>
      <w:pPr>
        <w:pStyle w:val="Heading1"/>
        <w:widowControl/>
      </w:pPr>
      <w:r>
        <w:t xml:space="preserve">H Extended KGA Implementation Contract</w:t>
      </w:r>
    </w:p>
    <w:bookmarkStart w:id="105"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05"/>
    <w:bookmarkStart w:id="106"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06"/>
    <w:bookmarkStart w:id="107"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07"/>
    <w:bookmarkStart w:id="108"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08"/>
    <w:bookmarkEnd w:id="109"/>
    <w:bookmarkStart w:id="111" w:name="i-evidence-inventory"/>
    <w:p>
      <w:pPr>
        <w:pStyle w:val="Heading1"/>
        <w:widowControl/>
      </w:pPr>
      <w:r>
        <w:t xml:space="preserve">I Evidence Inventory</w:t>
      </w:r>
    </w:p>
    <w:bookmarkStart w:id="110"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effective rank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18.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18.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pStyle w:val="BodyText"/>
        <w:widowControl/>
      </w:pPr>
      <w:r>
        <w:t xml:space="preserve">The base panel has 11 coordinates; the canonical Camelyon17 rich-Z artifact has 17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10"/>
    <w:bookmarkEnd w:id="111"/>
    <w:bookmarkStart w:id="112" w:name="j-failure-safe-deployment-checklist"/>
    <w:p>
      <w:pPr>
        <w:pStyle w:val="Heading1"/>
        <w:widowControl/>
      </w:pPr>
      <w:r>
        <w:t xml:space="preserve">J Failure-Safe Deployment Checklist</w:t>
      </w:r>
    </w:p>
    <w:p>
      <w:pPr>
        <w:pStyle w:val="TableCaption"/>
        <w:widowControl/>
      </w:pPr>
      <w:r>
        <w:t xml:space="preserve">Table 19. Operational failures and conservative responses.</w:t>
      </w:r>
    </w:p>
    <w:tbl>
      <w:tblPr>
        <w:tblStyle w:val="Table"/>
        <w:tblW w:type="dxa" w:w="9960"/>
        <w:jc w:val="left"/>
        <w:tblLayout w:type="fixed"/>
        <w:tblLook w:firstRow="1" w:lastRow="0" w:firstColumn="0" w:lastColumn="0" w:noHBand="0" w:noVBand="0" w:val="0020"/>
        <w:tblCaption w:val="Table 19.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12"/>
    <w:bookmarkStart w:id="117"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13"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13"/>
    <w:bookmarkStart w:id="114"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(10).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14"/>
    <w:bookmarkStart w:id="115"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20. Minimum lock for a confirmatory natural-shift KGA experiment.</w:t>
      </w:r>
    </w:p>
    <w:tbl>
      <w:tblPr>
        <w:tblStyle w:val="Table"/>
        <w:tblW w:type="dxa" w:w="9960"/>
        <w:jc w:val="left"/>
        <w:tblLayout w:type="fixed"/>
        <w:tblLook w:firstRow="1" w:lastRow="0" w:firstColumn="0" w:lastColumn="0" w:noHBand="0" w:noVBand="0" w:val="0020"/>
        <w:tblCaption w:val="Table 20.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15"/>
    <w:bookmarkStart w:id="116"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16"/>
    <w:bookmarkEnd w:id="117"/>
    <w:bookmarkStart w:id="125" w:name="Xb07fdee3da539e18903c2a94101458186da85c8"/>
    <w:p>
      <w:pPr>
        <w:pStyle w:val="Heading1"/>
        <w:widowControl/>
      </w:pPr>
      <w:r>
        <w:t xml:space="preserve">L Reviewer Guide to Theorem Dependencies and Nonclaims</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21.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21.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18"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18"/>
    <w:bookmarkStart w:id="119"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19"/>
    <w:bookmarkStart w:id="120"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(9)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20"/>
    <w:bookmarkStart w:id="121"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21"/>
    <w:bookmarkStart w:id="122"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(12). This example explains the required assumption; it is not a</w:t>
      </w:r>
      <w:r>
        <w:t xml:space="preserve"> </w:t>
      </w:r>
      <w:r>
        <w:t xml:space="preserve">model fitted to the CCT-20 observations.</w:t>
      </w:r>
    </w:p>
    <w:bookmarkEnd w:id="122"/>
    <w:bookmarkStart w:id="123"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23"/>
    <w:bookmarkStart w:id="124"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24"/>
    <w:bookmarkEnd w:id="125"/>
    <w:bookmarkStart w:id="126"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registered audit contains 142 declarations: the 65-result finite and algebraic core plus</w:t>
      </w:r>
      <w:r>
        <w:t xml:space="preserve"> </w:t>
      </w:r>
      <w:r>
        <w:t xml:space="preserve">77 probability capstones and counterexample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or the older H/ratio-rate extension.</w:t>
      </w:r>
      <w:r>
        <w:t xml:space="preserve"> </w:t>
      </w:r>
      <w:r>
        <w:t xml:space="preserve">Those stronger 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therefore layered:</w:t>
      </w:r>
    </w:p>
    <w:p>
      <w:pPr>
        <w:widowControl/>
        <w:numPr>
          <w:ilvl w:val="0"/>
          <w:numId w:val="1009"/>
        </w:numPr>
      </w:pPr>
      <w:r>
        <w:t xml:space="preserve">this source and its compiled PDF for the scoped narrative;</w:t>
      </w:r>
    </w:p>
    <w:p>
      <w:pPr>
        <w:widowControl/>
        <w:numPr>
          <w:ilvl w:val="0"/>
          <w:numId w:val="1009"/>
        </w:numPr>
      </w:pPr>
      <w:r>
        <w:t xml:space="preserve">shared theorem inputs for the exact statements and proofs;</w:t>
      </w:r>
    </w:p>
    <w:p>
      <w:pPr>
        <w:widowControl/>
        <w:numPr>
          <w:ilvl w:val="0"/>
          <w:numId w:val="1009"/>
        </w:numPr>
      </w:pPr>
      <w:r>
        <w:t xml:space="preserve">canonical JSON and generated LaTeX for numerical results;</w:t>
      </w:r>
    </w:p>
    <w:p>
      <w:pPr>
        <w:widowControl/>
        <w:numPr>
          <w:ilvl w:val="0"/>
          <w:numId w:val="1009"/>
        </w:numPr>
      </w:pPr>
      <w:r>
        <w:t xml:space="preserve">the source manifest for record-level provenance;</w:t>
      </w:r>
    </w:p>
    <w:p>
      <w:pPr>
        <w:widowControl/>
        <w:numPr>
          <w:ilvl w:val="0"/>
          <w:numId w:val="1009"/>
        </w:numPr>
      </w:pPr>
      <w:r>
        <w:t xml:space="preserve">package tests and Lean logs for implementation and formal checks.</w:t>
      </w:r>
    </w:p>
    <w:p>
      <w:pPr>
        <w:pStyle w:val="FirstParagraph"/>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26"/>
    <w:bookmarkStart w:id="132" w:name="n-reproducibility-and-release-procedures"/>
    <w:p>
      <w:pPr>
        <w:pStyle w:val="Heading1"/>
        <w:widowControl/>
      </w:pPr>
      <w:r>
        <w:t xml:space="preserve">N Reproducibility and Release Procedures</w:t>
      </w:r>
    </w:p>
    <w:bookmarkStart w:id="127"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SHA-256 266ce7cd87ae795e0742d43c40afefef82e82b555baa7dda8c6d270f73e2c031. Named auxiliary artifacts support only</w:t>
      </w:r>
      <w:r>
        <w:t xml:space="preserve"> </w:t>
      </w:r>
      <w:r>
        <w:t xml:space="preserve">their stated roles. The code-bound current-policy family sensitivity is retrospective and fails the</w:t>
      </w:r>
      <w:r>
        <w:t xml:space="preserve"> </w:t>
      </w:r>
      <w:r>
        <w:t xml:space="preserve">confirmatory bar: Holm over six prospectively named contrasts gives adjusted retrospective sign-flip</w:t>
      </w:r>
      <w:r>
        <w:t xml:space="preserve"> </w:t>
      </w:r>
      <w:r>
        <w:t xml:space="preserve">reference values of</w:t>
      </w:r>
      <w:r>
        <w:t xml:space="preserve"> </w:t>
      </w:r>
      <m:oMath>
        <m:r>
          <m:t>0.09375</m:t>
        </m:r>
      </m:oMath>
      <w:r>
        <w:t xml:space="preserve"> </w:t>
      </w:r>
      <w:r>
        <w:t xml:space="preserve">for both Tent comparisons, but the replay, corruption-family unit, and test were</w:t>
      </w:r>
      <w:r>
        <w:t xml:space="preserve"> </w:t>
      </w:r>
      <w:r>
        <w:t xml:space="preserve">not preregistered. The earlier Tent cluster artifact and archived POEM/AETTA comparison remain</w:t>
      </w:r>
      <w:r>
        <w:t xml:space="preserve"> </w:t>
      </w:r>
      <w:r>
        <w:t xml:space="preserve">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w:t>
      </w:r>
    </w:p>
    <w:bookmarkEnd w:id="127"/>
    <w:bookmarkStart w:id="128" w:name="n.2-reproduction-pipeline"/>
    <w:p>
      <w:pPr>
        <w:pStyle w:val="Heading2"/>
        <w:widowControl/>
      </w:pPr>
      <w:r>
        <w:t xml:space="preserve">N.2 Reproduction Pipeline</w:t>
      </w:r>
    </w:p>
    <w:p>
      <w:pPr>
        <w:pStyle w:val="FirstParagraph"/>
        <w:widowControl/>
      </w:pPr>
      <w:r>
        <w:t xml:space="preserve">The full gate requires Python 3.12 with the repository-wide research profile</w:t>
      </w:r>
      <w:r>
        <w:t xml:space="preserve"> </w:t>
      </w:r>
      <w:r>
        <w:rPr>
          <w:rStyle w:val="VerbatimChar"/>
        </w:rPr>
        <w:t xml:space="preserve">requirements-research.txt</w:t>
      </w:r>
      <w:r>
        <w:t xml:space="preserve">; the smaller paper-only profile does not include the Torch imports</w:t>
      </w:r>
      <w:r>
        <w:t xml:space="preserve"> </w:t>
      </w:r>
      <w:r>
        <w:t xml:space="preserve">used during repository-wide test collection. The model runtime uses</w:t>
      </w:r>
      <w:r>
        <w:t xml:space="preserve"> </w:t>
      </w:r>
      <w:r>
        <w:t xml:space="preserve">PyTorch [32]. From the repository root, the release command is:</w:t>
      </w:r>
    </w:p>
    <w:p>
      <w:pPr>
        <w:pStyle w:val="BlockText"/>
        <w:widowControl/>
      </w:pPr>
      <w:r>
        <w:rPr>
          <w:rStyle w:val="VerbatimChar"/>
        </w:rPr>
        <w:t xml:space="preserve">KBOUND_PYTHON=.venv/bin/python bash </w:t>
      </w:r>
      <w:r>
        <w:rPr>
          <w:rStyle w:val="VerbatimChar"/>
        </w:rPr>
        <w:t xml:space="preserve">docs/research/kbound/runbooks/release_candidate.sh</w:t>
      </w:r>
      <w:r>
        <w:rPr>
          <w:rStyle w:val="VerbatimChar"/>
        </w:rPr>
        <w:t xml:space="preserve"> all</w:t>
      </w:r>
    </w:p>
    <w:p>
      <w:pPr>
        <w:pStyle w:val="FirstParagraph"/>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p>
    <w:p>
      <w:pPr>
        <w:pStyle w:val="BodyText"/>
        <w:widowControl/>
      </w:pPr>
      <w:r>
        <w:t xml:space="preserve">For presentation-only rebuilding from already validated authorities, the command is:</w:t>
      </w:r>
    </w:p>
    <w:p>
      <w:pPr>
        <w:pStyle w:val="BlockText"/>
        <w:widowControl/>
      </w:pPr>
      <w:r>
        <w:rPr>
          <w:rStyle w:val="VerbatimChar"/>
        </w:rPr>
        <w:t xml:space="preserve">BUILD_LONG_TMLR=1 BUILD_DOCX=1 bash </w:t>
      </w:r>
      <w:r>
        <w:rPr>
          <w:rStyle w:val="VerbatimChar"/>
        </w:rPr>
        <w:t xml:space="preserve">docs/research/kbound/scripts/build_pdfs.sh</w:t>
      </w:r>
    </w:p>
    <w:p>
      <w:pPr>
        <w:pStyle w:val="FirstParagraph"/>
        <w:widowControl/>
      </w:pPr>
      <w:r>
        <w:t xml:space="preserve">This shorter command validates the frozen authorities, regenerates presentation tables and figures,</w:t>
      </w:r>
      <w:r>
        <w:t xml:space="preserve"> </w:t>
      </w:r>
      <w:r>
        <w:t xml:space="preserve">and builds the maintained PDFs and DOCX. It does not replace the full release gate or create new</w:t>
      </w:r>
      <w:r>
        <w:t xml:space="preserve"> </w:t>
      </w:r>
      <w:r>
        <w:t xml:space="preserve">empirical evidence.</w:t>
      </w:r>
    </w:p>
    <w:bookmarkEnd w:id="128"/>
    <w:bookmarkStart w:id="129"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w:t>
      </w:r>
    </w:p>
    <w:bookmarkEnd w:id="129"/>
    <w:bookmarkStart w:id="130"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30"/>
    <w:bookmarkStart w:id="131"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it also records a 21-file current-code</w:t>
      </w:r>
      <w:r>
        <w:t xml:space="preserve"> </w:t>
      </w:r>
      <w:r>
        <w:t xml:space="preserve">snapshot. Historical runs that did not serialize full identity remain explicitly partial rather</w:t>
      </w:r>
      <w:r>
        <w:t xml:space="preserve"> </w:t>
      </w:r>
      <w:r>
        <w:t xml:space="preserve">than being backfilled. The release gate runs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the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31"/>
    <w:bookmarkEnd w:id="132"/>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9" Type="http://schemas.openxmlformats.org/officeDocument/2006/relationships/image" Target="media/rId9.png"/><Relationship Id="rId28" Type="http://schemas.openxmlformats.org/officeDocument/2006/relationships/image" Target="media/rId28.png"/><Relationship Id="rId66" Type="http://schemas.openxmlformats.org/officeDocument/2006/relationships/hyperlink" Target="https://doi.org/10.52202/079017-3820" TargetMode="External"/><Relationship Id="rId64" Type="http://schemas.openxmlformats.org/officeDocument/2006/relationships/hyperlink" Target="https://proceedings.mlr.press/v267/chen25ch.html" TargetMode="External"/><Relationship Id="rId65"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6" Type="http://schemas.openxmlformats.org/officeDocument/2006/relationships/hyperlink" Target="https://doi.org/10.52202/079017-3820" TargetMode="External"/><Relationship Id="rId64" Type="http://schemas.openxmlformats.org/officeDocument/2006/relationships/hyperlink" Target="https://proceedings.mlr.press/v267/chen25ch.html" TargetMode="External"/><Relationship Id="rId65"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2026-08-31T13:32:52Z</dcterms:created>
  <dcterms:modified xsi:type="dcterms:W3CDTF">2026-08-31T13:32:52Z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a model without new target labels, but an update can help or harm. We ask when the available evidence supports replacing a frozen predictor with a fixed adapted candidate. K-Bound answers this question for a binary population model with a declared bound \beta on the target calibration residual. We construct target label laws that preserve all label-free observations and derive the exact feasible interval for paired benefit. A strict decision is supported precisely when |M|&gt;\beta; inside the closed band, no strict direction is uniformly justified. We also show why the same observations cannot audit away the unresolved residual bound. Knowability-Guided Adaptation (KGA) is an empirical companion, not an implementation of this frontier. It learns to predict observed evaluation-cell benefit from labeled historical outcomes, then uses a residual-based interval to choose ADAPT, FREEZE, or ABSTAIN without new evaluation labels. On an exploratory, cross-fitted CIFAR-10-C panel, Tent and EATA have lower point regret than either fixed policy, while SAR favors always-adapt. On CCT-20, KGA retains frozen predictions and avoids observed degradation from always-adapt, but makes no ADAPT decisions. These results support candidate-specific commitment control; they do not establish interval coverage or population-risk protection on unseen natural shifts.</vt:lpwstr>
  </property>
  <property fmtid="{D5CDD505-2E9C-101B-9397-08002B2CF9AE}" pid="3" name="date">
    <vt:lpwstr/>
  </property>
</Properties>
</file>