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13.pdf" ContentType="application/pdf"/>
  <Override PartName="/word/media/rId28.pdf" ContentType="application/pdf"/>
  <Override PartName="/word/media/rId46.pdf" ContentType="application/pdf"/>
  <Override PartName="/word/media/rId56.pdf" ContentType="application/pdf"/>
  <Override PartName="/word/media/rId9.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r>
        <w:br/>
      </w:r>
      <w:r>
        <w:t xml:space="preserve">Helpful, Harmful, and Unknowable Regimes Under Distribution Shift</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updates models without target labels, but updates can help or harm. We ask when evidence justifies replacing a frozen model with an adapted candidate. K-Bound answers this for a binary population model under an exogenous bound</w:t>
      </w:r>
      <w:r>
        <w:t xml:space="preserve"> </w:t>
      </w:r>
      <m:oMath>
        <m:r>
          <m:t>β</m:t>
        </m:r>
      </m:oMath>
      <w:r>
        <w:t xml:space="preserve"> </w:t>
      </w:r>
      <w:r>
        <w:t xml:space="preserve">on target calibration residual. Preserving label-free observations, we derive exact feasible intervals for paired population benefit: a strict choice is justified precisely when margin</w:t>
      </w:r>
      <w:r>
        <w:t xml:space="preserve"> </w:t>
      </w:r>
      <m:oMath>
        <m:r>
          <m:rPr>
            <m:sty m:val="p"/>
          </m:rPr>
          <m:t>|</m:t>
        </m:r>
        <m:r>
          <m:t>M</m:t>
        </m:r>
        <m:r>
          <m:rPr>
            <m:sty m:val="p"/>
          </m:rPr>
          <m:t>|</m:t>
        </m:r>
        <m:r>
          <m:rPr>
            <m:sty m:val="p"/>
          </m:rPr>
          <m:t>&gt;</m:t>
        </m:r>
        <m:r>
          <m:t>β</m:t>
        </m:r>
      </m:oMath>
      <w:r>
        <w:t xml:space="preserve"> </w:t>
      </w:r>
      <w:r>
        <w:t xml:space="preserve">on disagreement; inside</w:t>
      </w:r>
      <w:r>
        <w:t xml:space="preserve"> </w:t>
      </w:r>
      <m:oMath>
        <m:r>
          <m:rPr>
            <m:sty m:val="p"/>
          </m:rPr>
          <m:t>|</m:t>
        </m:r>
        <m:r>
          <m:t>M</m:t>
        </m:r>
        <m:r>
          <m:rPr>
            <m:sty m:val="p"/>
          </m:rPr>
          <m:t>|</m:t>
        </m:r>
        <m:r>
          <m:rPr>
            <m:sty m:val="p"/>
          </m:rPr>
          <m:t>≤</m:t>
        </m:r>
        <m:r>
          <m:t>β</m:t>
        </m:r>
      </m:oMath>
      <w:r>
        <w:t xml:space="preserve">, no strict choice is uniformly justified. An audit theorem proves no uniformly valid audit on the same observable law can cover a smaller bound at declared confidence. Addressing this under a complementary inductive regime, Knowability-Guided Adaptation (</w:t>
      </w:r>
      <w:r>
        <w:rPr>
          <w:smallCaps/>
        </w:rPr>
        <w:t xml:space="preserve">KGA</w:t>
      </w:r>
      <w:r>
        <w:t xml:space="preserve">) serves as an empirical companion, not an implementation of this frontier. Trained on labeled historical outcomes,</w:t>
      </w:r>
      <w:r>
        <w:t xml:space="preserve"> </w:t>
      </w:r>
      <w:r>
        <w:rPr>
          <w:smallCaps/>
        </w:rPr>
        <w:t xml:space="preserve">KGA</w:t>
      </w:r>
      <w:r>
        <w:t xml:space="preserve"> </w:t>
      </w:r>
      <w:r>
        <w:t xml:space="preserve">predicts observed evaluation-cell benefit, selecting ADAPT, FREEZE, or ABSTAIN via residual intervals. On cross-fitted CIFAR-10-C, Tent and EATA achieve lower regret than fixed baselines, while SAR favors always-adapt. Across three independent ResNet-18 checkpoints on mixed-sign shifts, KGA achieves lower regret than both fixed policies; compared to an authenticated AETTA recovery rule, leave-one-out KGA achieves lower regret, whereas outcome-disjoint cross-fitting trades point regret for zero observed false adaptations. On camera traps (CCT-20),</w:t>
      </w:r>
      <w:r>
        <w:t xml:space="preserve"> </w:t>
      </w:r>
      <w:r>
        <w:rPr>
          <w:smallCaps/>
        </w:rPr>
        <w:t xml:space="preserve">KGA</w:t>
      </w:r>
      <w:r>
        <w:t xml:space="preserve"> </w:t>
      </w:r>
      <w:r>
        <w:t xml:space="preserve">retained the frozen model across all 45 cells, avoiding adaptation degradation with no ADAPT decisions. These empirical diagnostics do not establish interval coverage or population-risk protection on unseen natural shifts.</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Test-time adaptation changes a model using unlabeled deployment data. Entropy minimization,</w:t>
      </w:r>
      <w:r>
        <w:t xml:space="preserve"> </w:t>
      </w:r>
      <w:r>
        <w:t xml:space="preserve">filtering, regularization, and related methods can recover accuracy under shift, but the same update</w:t>
      </w:r>
      <w:r>
        <w:t xml:space="preserve"> </w:t>
      </w:r>
      <w:r>
        <w:t xml:space="preserve">can also make predictions worse [1, 4–6].</w:t>
      </w:r>
      <w:r>
        <w:t xml:space="preserve"> </w:t>
      </w:r>
      <w:r>
        <w:t xml:space="preserve">An adaptation method proposes a candidate; a deployment system must still decide whether to use it.</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t> </m:t>
          </m:r>
          <m:r>
            <m:rPr>
              <m:nor/>
              <m:sty m:val="p"/>
            </m:rPr>
            <m:t>(1)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We present K-Bound and Knowability-Guided Adaptation (KGA) together because they address the</w:t>
      </w:r>
      <w:r>
        <w:t xml:space="preserve"> </w:t>
      </w:r>
      <w:r>
        <w:t xml:space="preserve">identical practitioner problem—when to risk model adaptation without ground-truth target</w:t>
      </w:r>
      <w:r>
        <w:t xml:space="preserve"> </w:t>
      </w:r>
      <w:r>
        <w:t xml:space="preserve">labels—under two complementary evidentiary regimes. K-Bound operates in the deductive regime of a single unlabeled test stream, establishing that</w:t>
      </w:r>
      <w:r>
        <w:t xml:space="preserve"> </w:t>
      </w:r>
      <w:r>
        <w:t xml:space="preserve">within the declared label-kernel class</w:t>
      </w:r>
      <w:r>
        <w:t xml:space="preserve"> </w:t>
      </w:r>
      <m:oMath>
        <m:sSub>
          <m:e>
            <m:r>
              <m:rPr>
                <m:scr m:val="script"/>
                <m:sty m:val="p"/>
              </m:rPr>
              <m:t>C</m:t>
            </m:r>
          </m:e>
          <m:sub>
            <m:r>
              <m:t>β</m:t>
            </m:r>
          </m:sub>
        </m:sSub>
      </m:oMath>
      <w:r>
        <w:t xml:space="preserve"> </w:t>
      </w:r>
      <w:r>
        <w:t xml:space="preserve">and observable evidence, auditing target risk</w:t>
      </w:r>
      <w:r>
        <w:t xml:space="preserve"> </w:t>
      </w:r>
      <w:r>
        <w:t xml:space="preserve">without an exogenous calibration residual bound</w:t>
      </w:r>
      <w:r>
        <w:t xml:space="preserve"> </w:t>
      </w:r>
      <m:oMath>
        <m:r>
          <m:t>β</m:t>
        </m:r>
      </m:oMath>
      <w:r>
        <w:t xml:space="preserve"> </w:t>
      </w:r>
      <w:r>
        <w:t xml:space="preserve">is impossible. (Alternative guarantees remain</w:t>
      </w:r>
      <w:r>
        <w:t xml:space="preserve"> </w:t>
      </w:r>
      <w:r>
        <w:t xml:space="preserve">possible under different structural couplings or domain assumptions.) KGA operates in the empirical</w:t>
      </w:r>
      <w:r>
        <w:t xml:space="preserve"> </w:t>
      </w:r>
      <w:r>
        <w:t xml:space="preserve">inductive regime where past shift records are available, fitting an empirical benefit predictor on</w:t>
      </w:r>
      <w:r>
        <w:t xml:space="preserve"> </w:t>
      </w:r>
      <w:r>
        <w:t xml:space="preserve">previous evaluation cells and calibrating its residual uncertainty to govern a three-way commitment gate.</w:t>
      </w:r>
      <w:r>
        <w:t xml:space="preserve"> </w:t>
      </w:r>
      <w:r>
        <w:t xml:space="preserve">We do not claim KGA implements or approximates the population frontier; rather, K-Bound clarifies</w:t>
      </w:r>
      <w:r>
        <w:t xml:space="preserve"> </w:t>
      </w:r>
      <w:r>
        <w:t xml:space="preserve">the information limits of unlabeled test data alone, while KGA explores what becomes operational</w:t>
      </w:r>
      <w:r>
        <w:t xml:space="preserve"> </w:t>
      </w:r>
      <w:r>
        <w:t xml:space="preserve">when empirical shift records are admitted into the evidentiary basis.</w:t>
      </w:r>
      <w:r>
        <w:t xml:space="preserve"> </w:t>
      </w:r>
      <w:r>
        <w:t xml:space="preserve">Section 6.1 formalizes this architectural relationship.</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controlled CIFAR-10-C results show useful routing for some candidates, not a universal</w:t>
      </w:r>
      <w:r>
        <w:t xml:space="preserve"> </w:t>
      </w:r>
      <w:r>
        <w:t xml:space="preserve">improvement: Tent and EATA have lower point regret than either fixed policy, whereas SAR favors</w:t>
      </w:r>
      <w:r>
        <w:t xml:space="preserve"> </w:t>
      </w:r>
      <w:r>
        <w:t xml:space="preserve">always-adapt due to high baseline benefit under noise corruptions. On real-camera natural shift</w:t>
      </w:r>
      <w:r>
        <w:t xml:space="preserve"> </w:t>
      </w:r>
      <w:r>
        <w:t xml:space="preserve">(CCT-20), KGA served the frozen model across all 45 cells and avoided the measured loss of</w:t>
      </w:r>
      <w:r>
        <w:t xml:space="preserve"> </w:t>
      </w:r>
      <w:r>
        <w:t xml:space="preserve">always adapting, but selected ADAPT zero times. This demonstrates retention in that study,</w:t>
      </w:r>
      <w:r>
        <w:t xml:space="preserve"> </w:t>
      </w:r>
      <w:r>
        <w:t xml:space="preserve">not general harm avoidance or successful selection of beneficial updates on unseen environments,</w:t>
      </w:r>
      <w:r>
        <w:t xml:space="preserve"> </w:t>
      </w:r>
      <w:r>
        <w:t xml:space="preserve">confirming that selective opportunistic routing under unseen natural shifts remains an open</w:t>
      </w:r>
      <w:r>
        <w:t xml:space="preserve"> </w:t>
      </w:r>
      <w:r>
        <w:t xml:space="preserve">empirical challenge. The supplementary results</w:t>
      </w:r>
      <w:r>
        <w:t xml:space="preserve"> </w:t>
      </w:r>
      <w:r>
        <w:t xml:space="preserve">retain adverse, incomplete, and withheld studies, so this distinction does not depend on discarding</w:t>
      </w:r>
      <w:r>
        <w:t xml:space="preserve"> </w:t>
      </w:r>
      <w:r>
        <w:t xml:space="preserve">unfavorable evidence.</w:t>
      </w:r>
    </w:p>
    <w:p>
      <w:pPr>
        <w:pStyle w:val="CaptionedFigure"/>
        <w:widowControl/>
        <w:jc w:val="center"/>
      </w:pPr>
      <w:r>
        <w:drawing>
          <wp:inline>
            <wp:extent cx="4267200" cy="1583266"/>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figures/fig_decision_flow.pdf" id="11" name="Picture"/>
                    <pic:cNvPicPr>
                      <a:picLocks noChangeArrowheads="1" noChangeAspect="1"/>
                    </pic:cNvPicPr>
                  </pic:nvPicPr>
                  <pic:blipFill>
                    <a:blip r:embed="rId9"/>
                    <a:stretch>
                      <a:fillRect/>
                    </a:stretch>
                  </pic:blipFill>
                  <pic:spPr bwMode="auto">
                    <a:xfrm>
                      <a:off x="0" y="0"/>
                      <a:ext cx="4267200" cy="1583266"/>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Historical TTA/ALine, AETTA, and POEM port labels in earlier diagnostics do not establish faithful</w:t>
      </w:r>
      <w:r>
        <w:t xml:space="preserve"> </w:t>
      </w:r>
      <w:r>
        <w:t xml:space="preserve">implementations of the published estimators or controllers. An authenticated synchronized comparison against the authenticated native AETTA accuracy estimator with an explicitly specified recovery rule is reported in Appendix B.3.4, while full POEM and native TTA/ALine remain separate from this saved-feature diagnostic.</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 here;</w:t>
      </w:r>
      <w:r>
        <w:t xml:space="preserve"> </w:t>
      </w:r>
      <w:r>
        <w:t xml:space="preserve">an authenticated synchronized AETTA comparison is reported in Appendix B.3.4, while native TTA/ALine and full POEM comparisons remain incomplete.</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here; an authenticated synchronized AETTA comparison is reported in Appendix B.3.4, while native TTA/ALine and full POEM comparisons remain incomple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t>f</m:t>
                  </m:r>
                </m:e>
                <m:sub>
                  <m:r>
                    <m:t>0</m:t>
                  </m:r>
                </m:sub>
              </m:sSub>
              <m:r>
                <m:rPr>
                  <m:sty m:val="p"/>
                </m:rPr>
                <m:t>,</m:t>
              </m:r>
              <m:sSub>
                <m:e>
                  <m:r>
                    <m:t>f</m:t>
                  </m:r>
                </m:e>
                <m:sub>
                  <m: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D</m:t>
              </m:r>
              <m:r>
                <m:rPr>
                  <m:sty m:val="p"/>
                </m:rPr>
                <m:t>,</m:t>
              </m:r>
              <m:r>
                <m:t> </m:t>
              </m:r>
              <m:sSub>
                <m:e>
                  <m:r>
                    <m:t>μ</m:t>
                  </m:r>
                </m:e>
                <m:sub>
                  <m:r>
                    <m:t>T</m:t>
                  </m:r>
                </m:sub>
              </m:sSub>
              <m:r>
                <m:rPr>
                  <m:sty m:val="p"/>
                </m:rPr>
                <m:t>(</m:t>
              </m:r>
              <m:r>
                <m:t>D</m:t>
              </m:r>
              <m:r>
                <m:rPr>
                  <m:sty m:val="p"/>
                </m: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γ</m:t>
              </m:r>
              <m:r>
                <m:rPr>
                  <m:sty m:val="p"/>
                </m:rPr>
                <m:t>,</m:t>
              </m:r>
              <m:r>
                <m:t> </m:t>
              </m:r>
              <m: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r>
                <m:rPr>
                  <m:sty m:val="p"/>
                </m:rPr>
                <m:t>,</m:t>
              </m:r>
              <m:r>
                <m:t> </m:t>
              </m:r>
              <m: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t> </m:t>
          </m:r>
          <m:r>
            <m:rPr>
              <m:nor/>
              <m:sty m:val="p"/>
            </m:rPr>
            <m:t>(2)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t> </m:t>
          </m:r>
          <m:r>
            <m:rPr>
              <m:nor/>
              <m:sty m:val="p"/>
            </m:rPr>
            <m:t>(3)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 </m:t>
          </m:r>
          <m:r>
            <m:rPr>
              <m:nor/>
              <m:sty m:val="p"/>
            </m:rPr>
            <m:t>(4)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t> </m:t>
          </m:r>
          <m:r>
            <m:rPr>
              <m:nor/>
              <m:sty m:val="p"/>
            </m:rPr>
            <m:t>(5)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two evidence laws here coincide</w:t>
      </w:r>
      <w:r>
        <w:t xml:space="preserve"> </w:t>
      </w:r>
      <w:r>
        <w:rPr>
          <w:i/>
          <w:iCs/>
        </w:rPr>
        <w:t xml:space="preserve">exactly</w:t>
      </w:r>
      <w:r>
        <w:t xml:space="preserve">, not merely approximately: the</w:t>
      </w:r>
      <w:r>
        <w:t xml:space="preserve"> </w:t>
      </w:r>
      <w:r>
        <w:t xml:space="preserve">construction changes only the label kernel on</w:t>
      </w:r>
      <w:r>
        <w:t xml:space="preserve"> </w:t>
      </w:r>
      <m:oMath>
        <m:r>
          <m:t>D</m:t>
        </m:r>
      </m:oMath>
      <w:r>
        <w:t xml:space="preserve">, and</w:t>
      </w:r>
      <w:r>
        <w:t xml:space="preserve"> </w:t>
      </w:r>
      <m:oMath>
        <m:r>
          <m:t>Z</m:t>
        </m:r>
      </m:oMath>
      <w:r>
        <w:t xml:space="preserve"> </w:t>
      </w:r>
      <w:r>
        <w:t xml:space="preserve">is a function of unlabeled inputs and</w:t>
      </w:r>
      <w:r>
        <w:t xml:space="preserve"> </w:t>
      </w:r>
      <w:r>
        <w:t xml:space="preserve">model outputs. We therefore do not present this as a Le Cam two-point argument. A Le Cam argument</w:t>
      </w:r>
      <w:r>
        <w:t xml:space="preserve"> </w:t>
      </w:r>
      <w:r>
        <w:t xml:space="preserve">trades off a positive total-variation distance against the achievable error; here the distance is</w:t>
      </w:r>
      <w:r>
        <w:t xml:space="preserve"> </w:t>
      </w:r>
      <w:r>
        <w:t xml:space="preserve">zero, which is the degenerate and strongest case, and the corresponding statement is exact</w:t>
      </w:r>
      <w:r>
        <w:t xml:space="preserve"> </w:t>
      </w:r>
      <w:r>
        <w:t xml:space="preserve">non-identifiability rather than a rate.</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2298700" cy="889000"/>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figures/fig_frontier_schematic.pdf" id="30" name="Picture"/>
                    <pic:cNvPicPr>
                      <a:picLocks noChangeArrowheads="1" noChangeAspect="1"/>
                    </pic:cNvPicPr>
                  </pic:nvPicPr>
                  <pic:blipFill>
                    <a:blip r:embed="rId28"/>
                    <a:stretch>
                      <a:fillRect/>
                    </a:stretch>
                  </pic:blipFill>
                  <pic:spPr bwMode="auto">
                    <a:xfrm>
                      <a:off x="0" y="0"/>
                      <a:ext cx="2298700" cy="889000"/>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m:t>M</m:t>
        </m:r>
        <m:r>
          <m:rPr>
            <m:sty m:val="p"/>
          </m:rPr>
          <m:t>&gt;</m:t>
        </m:r>
        <m:r>
          <m:t>β</m:t>
        </m:r>
      </m:oMath>
      <w:r>
        <w:t xml:space="preserve"> </w:t>
      </w:r>
      <w:r>
        <w:t xml:space="preserve">supports adapt;</w:t>
      </w:r>
      <w:r>
        <w:t xml:space="preserve"> </w:t>
      </w:r>
      <m:oMath>
        <m:r>
          <m:t>M</m:t>
        </m:r>
        <m:r>
          <m:rPr>
            <m:sty m:val="p"/>
          </m:rPr>
          <m:t>&lt;</m:t>
        </m:r>
        <m:r>
          <m:rPr>
            <m:sty m:val="p"/>
          </m:rPr>
          <m:t>−</m:t>
        </m:r>
        <m:r>
          <m:t>β</m:t>
        </m:r>
      </m:oMath>
      <w:r>
        <w:t xml:space="preserve"> </w:t>
      </w:r>
      <w:r>
        <w:t xml:space="preserve">supports freeze; and</w:t>
      </w:r>
      <w:r>
        <w:t xml:space="preserve"> </w:t>
      </w:r>
      <m:oMath>
        <m:r>
          <m:rPr>
            <m:sty m:val="p"/>
          </m:rPr>
          <m:t>|</m:t>
        </m:r>
        <m:r>
          <m:t>M</m:t>
        </m:r>
        <m:r>
          <m:rPr>
            <m:sty m:val="p"/>
          </m:rPr>
          <m:t>|</m:t>
        </m:r>
        <m:r>
          <m:rPr>
            <m:sty m:val="p"/>
          </m:rPr>
          <m:t>≤</m:t>
        </m:r>
        <m: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&gt;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&lt;</m:t>
              </m:r>
              <m:r>
                <m:rPr>
                  <m:sty m:val="p"/>
                </m:rPr>
                <m: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&lt;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m:t>
              </m:r>
              <m:r>
                <m:t>β</m:t>
              </m:r>
              <m:r>
                <m:rPr>
                  <m:sty m:val="p"/>
                </m:rPr>
                <m:t>&gt;</m:t>
              </m:r>
              <m: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m:t>M</m:t>
              </m:r>
              <m:r>
                <m:rPr>
                  <m:sty m:val="p"/>
                </m:rPr>
                <m:t>=</m:t>
              </m:r>
              <m:r>
                <m:t>β</m:t>
              </m:r>
              <m:r>
                <m:rPr>
                  <m:sty m:val="p"/>
                </m:rPr>
                <m:t>=</m:t>
              </m:r>
              <m: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t> </m:t>
          </m:r>
          <m:r>
            <m:rPr>
              <m:nor/>
              <m:sty m:val="p"/>
            </m:rPr>
            <m:t>(6)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t> </m:t>
          </m:r>
          <m:r>
            <m:rPr>
              <m:nor/>
              <m:sty m:val="p"/>
            </m:rPr>
            <m:t>(7)</m:t>
          </m:r>
        </m:oMath>
      </m:oMathPara>
    </w:p>
    <w:p>
      <w:pPr>
        <w:pStyle w:val="FirstParagraph"/>
        <w:widowControl/>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widowControl/>
      </w:pPr>
      <w:r>
        <w:t xml:space="preserve">This equality connects the audit problem to the strict-commitment frontier. Crucially,</w:t>
      </w:r>
      <w:r>
        <w:t xml:space="preserve"> </w:t>
      </w:r>
      <w:r>
        <w:t xml:space="preserve">Theorem 3 establishes that</w:t>
      </w:r>
      <w:r>
        <w:t xml:space="preserve"> </w:t>
      </w:r>
      <m:oMath>
        <m:r>
          <m:t>β</m:t>
        </m:r>
      </m:oMath>
      <w:r>
        <w:t xml:space="preserve"> </w:t>
      </w:r>
      <w:r>
        <w:t xml:space="preserve">must be treated as an</w:t>
      </w:r>
      <w:r>
        <w:t xml:space="preserve"> </w:t>
      </w:r>
      <w:r>
        <w:rPr>
          <w:i/>
          <w:iCs/>
        </w:rPr>
        <w:t xml:space="preserve">exogenous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[55]</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outside the maintained submission manuscript in</w:t>
      </w:r>
      <w:r>
        <w:t xml:space="preserve"> </w:t>
      </w:r>
      <w:r>
        <w:rPr>
          <w:rStyle w:val="VerbatimChar"/>
        </w:rPr>
        <w:t xml:space="preserve">docs/research/kbound/appendix_elara_opt/SENSITIVITY_RESEARCH_NOTE.md</w:t>
      </w:r>
      <w:r>
        <w:t xml:space="preserve">. The maintained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36"/>
    <w:bookmarkStart w:id="37" w:name="X055c93b151714dffa90614c745536c556b763f3"/>
    <w:p>
      <w:pPr>
        <w:pStyle w:val="Heading2"/>
        <w:widowControl/>
      </w:pPr>
      <w:r>
        <w:t xml:space="preserve">5.4 Why Labels at the Wrong Domain Buy Nothing</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widowControl/>
      </w:pPr>
      <w:r>
        <w:t xml:space="preserve">Multiclass extensions under entropy-constrained support conditions require separate assumptions and proofs; they are preserved as unproved exploratory research notes outside the maintained claims of this manuscript.</w:t>
      </w:r>
    </w:p>
    <w:bookmarkEnd w:id="38"/>
    <w:bookmarkStart w:id="39" w:name="implications-for-k-bound-and-kga"/>
    <w:p>
      <w:pPr>
        <w:pStyle w:val="Heading2"/>
        <w:widowControl/>
      </w:pPr>
      <w:r>
        <w:t xml:space="preserve">5.6 Implications for K-Bound and KGA</w:t>
      </w:r>
    </w:p>
    <w:p>
      <w:pPr>
        <w:pStyle w:val="FirstParagraph"/>
        <w:widowControl/>
      </w:pPr>
      <w:r>
        <w:t xml:space="preserve">Theorem 3 provides the formal justification for why KGA is designed</w:t>
      </w:r>
      <w:r>
        <w:t xml:space="preserve"> </w:t>
      </w:r>
      <w:r>
        <w:t xml:space="preserve">as an inductive decision layer rather than an empirical estimator of</w:t>
      </w:r>
      <w:r>
        <w:t xml:space="preserve"> </w:t>
      </w:r>
      <m:oMath>
        <m:r>
          <m:t>β</m:t>
        </m:r>
      </m:oMath>
      <w:r>
        <w:t xml:space="preserve">. Because unlabeled</w:t>
      </w:r>
      <w:r>
        <w:t xml:space="preserve"> </w:t>
      </w:r>
      <w:r>
        <w:t xml:space="preserve">deployment data cannot identify the residual bound on its own evidence fibres, an empirical system</w:t>
      </w:r>
      <w:r>
        <w:t xml:space="preserve"> </w:t>
      </w:r>
      <w:r>
        <w:t xml:space="preserve">seeking data-driven decision thresholds must draw upon additional structure or assumptions (such</w:t>
      </w:r>
      <w:r>
        <w:t xml:space="preserve"> </w:t>
      </w:r>
      <w:r>
        <w:t xml:space="preserve">as the routes cataloged in Section 5.5). KGA pursues the</w:t>
      </w:r>
      <w:r>
        <w:t xml:space="preserve"> </w:t>
      </w:r>
      <w:r>
        <w:t xml:space="preserve">empirical shift-benchmark route:</w:t>
      </w:r>
      <w:r>
        <w:t xml:space="preserve"> </w:t>
      </w:r>
      <w:r>
        <w:t xml:space="preserve">it fits an empirical benefit regressor</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and places a calibrated</w:t>
      </w:r>
      <w:r>
        <w:t xml:space="preserve"> </w:t>
      </w:r>
      <w:r>
        <w:t xml:space="preserve">conformal prediction radius</w:t>
      </w:r>
      <w:r>
        <w:t xml:space="preserve"> </w:t>
      </w:r>
      <m:oMath>
        <m:r>
          <m:t>ε</m:t>
        </m:r>
      </m:oMath>
      <w:r>
        <w:t xml:space="preserve"> </w:t>
      </w:r>
      <w:r>
        <w:t xml:space="preserve">around it. While population benefit</w:t>
      </w:r>
      <w:r>
        <w:t xml:space="preserve"> </w:t>
      </w:r>
      <m:oMath>
        <m:r>
          <m:rPr>
            <m:sty m:val="p"/>
          </m:rPr>
          <m:t>Δ</m:t>
        </m:r>
      </m:oMath>
      <w:r>
        <w:t xml:space="preserve"> </w:t>
      </w:r>
      <w:r>
        <w:t xml:space="preserve">and observed</w:t>
      </w:r>
      <w:r>
        <w:t xml:space="preserve"> </w:t>
      </w:r>
      <w:r>
        <w:t xml:space="preserve">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describe the same model pair under different evaluation</w:t>
      </w:r>
      <w:r>
        <w:t xml:space="preserve"> </w:t>
      </w:r>
      <w:r>
        <w:t xml:space="preserve">regimes, KGA’s finite-sample radius</w:t>
      </w:r>
      <w:r>
        <w:t xml:space="preserve"> </w:t>
      </w:r>
      <m:oMath>
        <m:r>
          <m:t>ε</m:t>
        </m:r>
      </m:oMath>
      <w:r>
        <w:t xml:space="preserve"> </w:t>
      </w:r>
      <w:r>
        <w:t xml:space="preserve">reflects predictive uncertainty over historical</w:t>
      </w:r>
      <w:r>
        <w:t xml:space="preserve"> </w:t>
      </w:r>
      <w:r>
        <w:t xml:space="preserve">cells, not an estimate of the latent population residual</w:t>
      </w:r>
      <w:r>
        <w:t xml:space="preserve"> </w:t>
      </w:r>
      <m:oMath>
        <m:r>
          <m:t>β</m:t>
        </m:r>
      </m:oMath>
      <w:r>
        <w:t xml:space="preserve">.</w:t>
      </w:r>
      <w:r>
        <w:t xml:space="preserve"> </w:t>
      </w:r>
      <w:r>
        <w:t xml:space="preserve">A population application would instead require coverage of the target population through a separate</w:t>
      </w:r>
      <w:r>
        <w:t xml:space="preserve"> </w:t>
      </w:r>
      <w:r>
        <w:t xml:space="preserve">sampling-error bound. No such sampling-error bound is established for the reported panels.</w:t>
      </w:r>
      <w:r>
        <w:t xml:space="preserve"> </w:t>
      </w:r>
      <w:r>
        <w:t xml:space="preserve">Furthermore, historical data do not automatically establish calibration transfer to unseen deployment environments.</w:t>
      </w:r>
    </w:p>
    <w:bookmarkEnd w:id="39"/>
    <w:bookmarkEnd w:id="40"/>
    <w:bookmarkStart w:id="51" w:name="kga-an-empirical-benefit-interval-gate"/>
    <w:p>
      <w:pPr>
        <w:pStyle w:val="Heading1"/>
        <w:widowControl/>
      </w:pPr>
      <w:r>
        <w:t xml:space="preserve">6 KGA: An Empirical Benefit-Interval Gate</w:t>
      </w:r>
    </w:p>
    <w:bookmarkStart w:id="41" w:name="Xc918eb2806ca04aff218791c39a311cefa1f795"/>
    <w:p>
      <w:pPr>
        <w:pStyle w:val="Heading2"/>
        <w:widowControl/>
      </w:pPr>
      <w:r>
        <w:t xml:space="preserve">6.1 The Two-Regime Architecture: Theory and Practice</w:t>
      </w:r>
    </w:p>
    <w:p>
      <w:pPr>
        <w:pStyle w:val="FirstParagraph"/>
        <w:widowControl/>
      </w:pPr>
      <w:r>
        <w:t xml:space="preserve">We present K-Bound and KGA together because they address the identical practitioner problem—whether</w:t>
      </w:r>
      <w:r>
        <w:t xml:space="preserve"> </w:t>
      </w:r>
      <w:r>
        <w:t xml:space="preserve">to accept a proposed model adaptation—under two complementary evidentiary foundations:</w:t>
      </w:r>
    </w:p>
    <w:p>
      <w:pPr>
        <w:widowControl/>
        <w:numPr>
          <w:ilvl w:val="0"/>
          <w:numId w:val="1003"/>
        </w:numPr>
      </w:pPr>
      <w:r>
        <w:rPr>
          <w:b/>
          <w:bCs/>
        </w:rPr>
        <w:t xml:space="preserve">Deductive Population Frontier (K-Bound, Sections 4–5):</w:t>
      </w:r>
      <w:r>
        <w:t xml:space="preserve"> </w:t>
      </w:r>
      <w:r>
        <w:t xml:space="preserve">For a target deployment</w:t>
      </w:r>
      <w:r>
        <w:t xml:space="preserve"> </w:t>
      </w:r>
      <w:r>
        <w:t xml:space="preserve">stream without coupled target labels, Theorem 2 and</w:t>
      </w:r>
      <w:r>
        <w:t xml:space="preserve"> </w:t>
      </w:r>
      <w:r>
        <w:t xml:space="preserve">Theorem 3 prove that strict commitment is justified if and only if</w:t>
      </w:r>
      <w:r>
        <w:t xml:space="preserve"> </w:t>
      </w:r>
      <m:oMath>
        <m:r>
          <m:rPr>
            <m:sty m:val="p"/>
          </m:rPr>
          <m:t>|</m:t>
        </m:r>
        <m:r>
          <m:t>M</m:t>
        </m:r>
        <m:r>
          <m:rPr>
            <m:sty m:val="p"/>
          </m:rPr>
          <m:t>|</m:t>
        </m:r>
        <m:r>
          <m:rPr>
            <m:sty m:val="p"/>
          </m:rPr>
          <m:t>&gt;</m:t>
        </m:r>
        <m:r>
          <m:t>β</m:t>
        </m:r>
      </m:oMath>
      <w:r>
        <w:t xml:space="preserve">, where</w:t>
      </w:r>
      <w:r>
        <w:t xml:space="preserve"> </w:t>
      </w:r>
      <m:oMath>
        <m:r>
          <m:t>β</m:t>
        </m:r>
      </m:oMath>
      <w:r>
        <w:t xml:space="preserve"> </w:t>
      </w:r>
      <w:r>
        <w:t xml:space="preserve">is an exogenous calibration sensitivity parameter that cannot be</w:t>
      </w:r>
      <w:r>
        <w:t xml:space="preserve"> </w:t>
      </w:r>
      <w:r>
        <w:t xml:space="preserve">audited away from label-free evidence alone (even in the presence of uncoupled historical labels;</w:t>
      </w:r>
      <w:r>
        <w:t xml:space="preserve"> </w:t>
      </w:r>
      <w:r>
        <w:t xml:space="preserve">Section 5.4).</w:t>
      </w:r>
    </w:p>
    <w:p>
      <w:pPr>
        <w:widowControl/>
        <w:numPr>
          <w:ilvl w:val="0"/>
          <w:numId w:val="1003"/>
        </w:numPr>
      </w:pPr>
      <w:r>
        <w:rPr>
          <w:b/>
          <w:bCs/>
        </w:rPr>
        <w:t xml:space="preserve">Inductive Empirical Gate (KGA, Sections 6–8):</w:t>
      </w:r>
      <w:r>
        <w:t xml:space="preserve"> </w:t>
      </w:r>
      <w:r>
        <w:t xml:space="preserve">For deployment settings where</w:t>
      </w:r>
      <w:r>
        <w:t xml:space="preserve"> </w:t>
      </w:r>
      <w:r>
        <w:t xml:space="preserve">historical shift benchmarks are available, KGA fits a learned benefit predictor</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on past evaluation cells and constructs a conformal residual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to make three-way commit/abstain decisions without target labels.</w:t>
      </w:r>
    </w:p>
    <w:p>
      <w:pPr>
        <w:pStyle w:val="FirstParagraph"/>
        <w:widowControl/>
      </w:pPr>
      <w:r>
        <w:t xml:space="preserve">We do not claim KGA implements or approximates the population frontier. Rather, K-Bound defines the</w:t>
      </w:r>
      <w:r>
        <w:t xml:space="preserve"> </w:t>
      </w:r>
      <w:r>
        <w:t xml:space="preserve">information limits of pure label-free observation, and KGA demonstrates what becomes operationally</w:t>
      </w:r>
      <w:r>
        <w:t xml:space="preserve"> </w:t>
      </w:r>
      <w:r>
        <w:t xml:space="preserve">possible once historical shift benchmarks are admitted into the evidentiary basis.</w:t>
      </w:r>
      <w:r>
        <w:t xml:space="preserve"> </w:t>
      </w:r>
      <w:r>
        <w:t xml:space="preserve">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t> </m:t>
          </m:r>
          <m:r>
            <m:rPr>
              <m:nor/>
              <m:sty m:val="p"/>
            </m:rPr>
            <m:t>(8)</m:t>
          </m:r>
        </m:oMath>
      </m:oMathPara>
    </w:p>
    <w:p>
      <w:pPr>
        <w:pStyle w:val="FirstParagraph"/>
        <w:widowControl/>
      </w:pPr>
      <w:r>
        <w:t xml:space="preserve">while the observed cell outcome and fitted empirical prediction are</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t> </m:t>
          </m:r>
          <m:r>
            <m:rPr>
              <m:nor/>
              <m:sty m:val="p"/>
            </m:rPr>
            <m:t>(9)</m:t>
          </m:r>
        </m:oMath>
      </m:oMathPara>
    </w:p>
    <w:p>
      <w:pPr>
        <w:pStyle w:val="FirstParagraph"/>
        <w:widowControl/>
      </w:pPr>
      <w:r>
        <w:t xml:space="preserve">Table 4 summarizes this architectural correspondence.</w:t>
      </w:r>
    </w:p>
    <w:p>
      <w:pPr>
        <w:pStyle w:val="TableCaption"/>
        <w:widowControl/>
      </w:pPr>
      <w:r>
        <w:t xml:space="preserve">Table 4. Correspondence between population theory (K-Bound) and the empirical decision rule (KGA) addressing the same paired deployment choice. Distinct inferential targets do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ddressing the same paired deployment choice. Distinct inferential targets do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90"/>
        <w:gridCol w:w="4570"/>
        <w:gridCol w:w="4400"/>
      </w:tblGrid>
      <w:tr>
        <w:trPr>
          <w:tblHeader w:val="true"/>
          <w:cantSplit w:val="true"/>
        </w:trPr>
        <w:tc>
          <w:tcPr>
            <w:tcW w:w="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5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Population Frontier (K-Bound)</w:t>
            </w:r>
          </w:p>
        </w:tc>
        <w:tc>
          <w:tcPr>
            <w:tcW w:w="44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Rule (KGA)</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γ</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m:t>M</m:t>
              </m:r>
              <m:r>
                <m:rPr>
                  <m:sty m:val="p"/>
                </m:rPr>
                <m:t>+</m:t>
              </m:r>
              <m:r>
                <m:t>γ</m:t>
              </m:r>
              <m:r>
                <m:rPr>
                  <m:sty m:val="p"/>
                </m:rPr>
                <m:t>=</m:t>
              </m:r>
              <m:bar>
                <m:barPr>
                  <m:pos m:val="top"/>
                </m:barPr>
                <m:e>
                  <m:r>
                    <m:t>a</m:t>
                  </m:r>
                </m:e>
              </m:bar>
              <m:r>
                <m:rPr>
                  <m:sty m:val="p"/>
                </m:rPr>
                <m:t>−</m:t>
              </m:r>
              <m:f>
                <m:fPr>
                  <m:type m:val="bar"/>
                </m:fPr>
                <m:num>
                  <m:r>
                    <m:t>1</m:t>
                  </m:r>
                </m:num>
                <m:den>
                  <m:r>
                    <m:t>2</m:t>
                  </m:r>
                </m:den>
              </m:f>
            </m:oMath>
            <w:r>
              <w:rPr>
                <w:rFonts w:ascii="Times New Roman" w:hAnsi="Times New Roman"/>
                <w:sz w:val="17"/>
              </w:rPr>
              <w:t>)</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β</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hidden-residual bound</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 benefit</w:t>
            </w:r>
            <w:r>
              <w:rPr>
                <w:rFonts w:ascii="Times New Roman" w:hAnsi="Times New Roman"/>
                <w:sz w:val="17"/>
              </w:rPr>
              <w:t xml:space="preserve"> </w:t>
            </w:r>
            <m:oMath>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estimand under population transfer</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evaluation-cell benefit</w:t>
            </w:r>
            <w:r>
              <w:rPr>
                <w:rFonts w:ascii="Times New Roman" w:hAnsi="Times New Roman"/>
                <w:sz w:val="17"/>
              </w:rPr>
              <w:t xml:space="preserve"> </w:t>
            </w:r>
            <m:oMath>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m:t>h</m:t>
                  </m:r>
                </m:e>
                <m:sub>
                  <m:r>
                    <m:t>θ</m:t>
                  </m:r>
                </m:sub>
              </m:sSub>
              <m:r>
                <m:rPr>
                  <m:sty m:val="p"/>
                </m:rPr>
                <m:t>(</m:t>
              </m:r>
              <m:r>
                <m:t>Z</m:t>
              </m:r>
              <m:r>
                <m:rPr>
                  <m:sty m:val="p"/>
                </m:rPr>
                <m:t>)</m:t>
              </m:r>
            </m:oMath>
            <w:r>
              <w:rPr>
                <w:rFonts w:ascii="Times New Roman" w:hAnsi="Times New Roman"/>
                <w:sz w:val="17"/>
              </w:rPr>
              <w:t xml:space="preserve"> </w:t>
            </w:r>
            <w:r>
              <w:rPr>
                <w:rFonts w:ascii="Times New Roman" w:hAnsi="Times New Roman"/>
                <w:sz w:val="17"/>
              </w:rPr>
              <w:t>of empirical target</w:t>
            </w:r>
            <w:r>
              <w:rPr>
                <w:rFonts w:ascii="Times New Roman" w:hAnsi="Times New Roman"/>
                <w:sz w:val="17"/>
              </w:rPr>
              <w:t xml:space="preserve"> </w:t>
            </w:r>
            <m:oMath>
              <m:sSup>
                <m:e>
                  <m:r>
                    <m:rPr>
                      <m:sty m:val="p"/>
                    </m:rPr>
                    <m:t>Δ</m:t>
                  </m:r>
                </m:e>
                <m:sup>
                  <m:r>
                    <m:rPr>
                      <m:sty m:val="p"/>
                    </m:rPr>
                    <m:t>c</m:t>
                  </m:r>
                  <m:r>
                    <m:rPr>
                      <m:sty m:val="p"/>
                    </m:rPr>
                    <m:t>e</m:t>
                  </m:r>
                  <m:r>
                    <m:rPr>
                      <m:sty m:val="p"/>
                    </m:rPr>
                    <m:t>l</m:t>
                  </m:r>
                  <m:r>
                    <m:rPr>
                      <m:sty m:val="p"/>
                    </m:rPr>
                    <m:t>l</m:t>
                  </m:r>
                </m:sup>
              </m:sSup>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ε</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residual-calibration radius</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Separately justified sampling allowance</w:t>
            </w:r>
          </w:p>
        </w:tc>
      </w:tr>
    </w:tbl>
    <w:p>
      <w:pPr>
        <w:pStyle w:val="BodyText"/>
        <w:widowControl/>
      </w:pPr>
      <w:r>
        <w:t xml:space="preserve">Connecting the two formulations proceeds not through an automatic deductive chain, but through an explicit conditional concentration bridge:</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K-Bound and KGA address the same paired deployment decision at different inferential levels. K-Bound characterizes population benefit</w:t>
      </w:r>
      <w:r>
        <w:t xml:space="preserve"> </w:t>
      </w:r>
      <m:oMath>
        <m:r>
          <m:rPr>
            <m:sty m:val="p"/>
          </m:rPr>
          <m:t>Δ</m:t>
        </m:r>
      </m:oMath>
      <w:r>
        <w:t xml:space="preserve"> </w:t>
      </w:r>
      <w:r>
        <w:t xml:space="preserve">over a declared class of target laws</w:t>
      </w:r>
      <w:r>
        <w:t xml:space="preserve"> </w:t>
      </w:r>
      <m:oMath>
        <m:sSub>
          <m:e>
            <m:r>
              <m:rPr>
                <m:scr m:val="script"/>
                <m:sty m:val="p"/>
              </m:rPr>
              <m:t>C</m:t>
            </m:r>
          </m:e>
          <m:sub>
            <m:r>
              <m:t>β</m:t>
            </m:r>
          </m:sub>
        </m:sSub>
      </m:oMath>
      <w:r>
        <w:t xml:space="preserve">. On real benchmarks, KGA does not numerically apply</w:t>
      </w:r>
      <w:r>
        <w:t xml:space="preserve"> </w:t>
      </w:r>
      <m:oMath>
        <m:r>
          <m:rPr>
            <m:sty m:val="p"/>
          </m:rPr>
          <m:t>|</m:t>
        </m:r>
        <m:r>
          <m:t>M</m:t>
        </m:r>
        <m:r>
          <m:rPr>
            <m:sty m:val="p"/>
          </m:rPr>
          <m:t>|</m:t>
        </m:r>
        <m:r>
          <m:rPr>
            <m:sty m:val="p"/>
          </m:rPr>
          <m:t>&gt;</m:t>
        </m:r>
        <m:r>
          <m:t>β</m:t>
        </m:r>
      </m:oMath>
      <w:r>
        <w:t xml:space="preserve">, and</w:t>
      </w:r>
      <w:r>
        <w:t xml:space="preserve"> </w:t>
      </w:r>
      <m:oMath>
        <m:r>
          <m:t>ε</m:t>
        </m:r>
      </m:oMath>
      <w:r>
        <w:t xml:space="preserve"> </w:t>
      </w:r>
      <w:r>
        <w:t xml:space="preserve">is not an estimate of</w:t>
      </w:r>
      <w:r>
        <w:t xml:space="preserve"> </w:t>
      </w:r>
      <m:oMath>
        <m:r>
          <m:t>β</m:t>
        </m:r>
      </m:oMath>
      <w:r>
        <w:t xml:space="preserve">; instead, it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from historical labeled outcomes and uses a separately calibrated residual interval</w:t>
      </w:r>
      <w:r>
        <w:t xml:space="preserve"> </w:t>
      </w:r>
      <m:oMath>
        <m:r>
          <m:rPr>
            <m:sty m:val="p"/>
          </m:rPr>
          <m:t>[</m:t>
        </m:r>
        <m:acc>
          <m:accPr>
            <m:chr m:val="̂"/>
          </m:accPr>
          <m:e>
            <m:r>
              <m:rPr>
                <m:sty m:val="p"/>
              </m:rPr>
              <m:t>Δ</m:t>
            </m:r>
          </m:e>
        </m:acc>
        <m:r>
          <m:rPr>
            <m:sty m:val="p"/>
          </m:rPr>
          <m:t>±</m:t>
        </m:r>
        <m:r>
          <m:t>ε</m:t>
        </m:r>
        <m:r>
          <m:rPr>
            <m:sty m:val="p"/>
          </m:rPr>
          <m:t>]</m:t>
        </m:r>
      </m:oMath>
      <w:r>
        <w:t xml:space="preserve">. Transferring that interval to population benefit requires the additional sampling assumptions and radius in Proposition 3 (Theorem 4 in Appendix A.4); it is not established by the empirical gate alone. Table 4 makes this correspondence explicit.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t> </m:t>
          </m:r>
          <m:r>
            <m:rPr>
              <m:nor/>
              <m:sty m:val="p"/>
            </m:rPr>
            <m:t>(10)</m:t>
          </m:r>
        </m:oMath>
      </m:oMathPara>
    </w:p>
    <w:p>
      <w:pPr>
        <w:pStyle w:val="FirstParagraph"/>
        <w:widowControl/>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1"/>
    <w:bookmarkStart w:id="45"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Equating</w:t>
      </w:r>
      <w:r>
        <w:t xml:space="preserve"> </w:t>
      </w:r>
      <m:oMath>
        <m:r>
          <m:t>ε</m:t>
        </m:r>
        <m:r>
          <m:rPr>
            <m:sty m:val="p"/>
          </m:rPr>
          <m:t>=</m:t>
        </m:r>
        <m:r>
          <m:t>β</m:t>
        </m:r>
      </m:oMath>
      <w:r>
        <w:t xml:space="preserve"> </w:t>
      </w:r>
      <w:r>
        <w:t xml:space="preserve">is therefore a conceptual category error: it conflates a conditional</w:t>
      </w:r>
      <w:r>
        <w:t xml:space="preserve"> </w:t>
      </w:r>
      <w:r>
        <w:t xml:space="preserve">score residual on the disagreement region with an empirical cell-benefit prediction error.</w:t>
      </w:r>
      <w:r>
        <w:t xml:space="preserve"> </w:t>
      </w:r>
      <w:r>
        <w:t xml:space="preserve">While numerical equality could occur by coincidence, their mathematical definitions remain distinct.</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widowControl/>
      </w:pPr>
      <w:r>
        <w:t xml:space="preserve">The deterministic action layer for this bridge is now kernel-checked in</w:t>
      </w:r>
      <w:r>
        <w:t xml:space="preserve"> </w:t>
      </w:r>
      <w:r>
        <w:rPr>
          <w:rStyle w:val="VerbatimChar"/>
        </w:rPr>
        <w:t xml:space="preserve">docs/research/kbound/formal/KBound/Population.lean</w:t>
      </w:r>
      <w:r>
        <w:t xml:space="preserve">: an outcome-blind estimate,</w:t>
      </w:r>
      <w:r>
        <w:t xml:space="preserve"> </w:t>
      </w:r>
      <w:r>
        <w:t xml:space="preserve">cell radius, and independently justified sampling radius define the compound interval,</w:t>
      </w:r>
      <w:r>
        <w:t xml:space="preserve"> </w:t>
      </w:r>
      <w:r>
        <w:t xml:space="preserve">and strict ADAPT/FREEZE actions are sound whenever the target benefit is inside that</w:t>
      </w:r>
      <w:r>
        <w:t xml:space="preserve"> </w:t>
      </w:r>
      <w:r>
        <w:t xml:space="preserve">interval. The companion replay interface is</w:t>
      </w:r>
      <w:r>
        <w:t xml:space="preserve"> </w:t>
      </w:r>
      <w:r>
        <w:rPr>
          <w:rStyle w:val="VerbatimChar"/>
        </w:rPr>
        <w:t xml:space="preserve">docs/research/kbound/scripts/run_population_panel.py</w:t>
      </w:r>
      <w:r>
        <w:t xml:space="preserve">; it rejects outcome-dependent</w:t>
      </w:r>
      <w:r>
        <w:t xml:space="preserve"> </w:t>
      </w:r>
      <w:r>
        <w:t xml:space="preserve">inputs and records the input hash. This procedure is available for a benchmark panel.</w:t>
      </w:r>
      <w:r>
        <w:t xml:space="preserve"> </w:t>
      </w:r>
      <w:r>
        <w:t xml:space="preserve">The historical canonical benchmark records do not contain a sealed per-cell tuple of</w:t>
      </w:r>
      <w:r>
        <w:t xml:space="preserve"> </w:t>
      </w:r>
      <w:r>
        <w:t xml:space="preserve">fitted prediction, cell radius, and fresh-sample size, so no population-transfer number</w:t>
      </w:r>
      <w:r>
        <w:t xml:space="preserve"> </w:t>
      </w:r>
      <w:r>
        <w:t xml:space="preserve">is promoted into those tables.</w:t>
      </w:r>
    </w:p>
    <w:bookmarkStart w:id="42" w:name="task-2-theoremcode-reconciliation."/>
    <w:p>
      <w:pPr>
        <w:pStyle w:val="Heading3"/>
        <w:keepNext/>
        <w:widowControl/>
        <w:spacing w:before="100" w:after="20" w:line="252" w:lineRule="auto"/>
      </w:pPr>
      <w:r>
        <w:rPr>
          <w:rFonts w:ascii="Times New Roman" w:hAnsi="Times New Roman" w:eastAsia="Times New Roman" w:cs="Times New Roman"/>
          <w:b/>
          <w:sz w:val="19"/>
        </w:rPr>
        <w:t xml:space="preserve">Task 2 theorem–code reconciliation.</w:t>
      </w:r>
    </w:p>
    <w:p>
      <w:pPr>
        <w:pStyle w:val="FirstParagraph"/>
        <w:widowControl/>
      </w:pPr>
      <w:r>
        <w:t xml:space="preserve">The formal map distinguishes the population and cell-level objects rather than treating</w:t>
      </w:r>
      <w:r>
        <w:t xml:space="preserve"> </w:t>
      </w:r>
      <w:r>
        <w:t xml:space="preserve">the implementation as a proof of the transfer premises. In particular,</w:t>
      </w:r>
      <w:r>
        <w:t xml:space="preserve"> </w:t>
      </w:r>
      <w:r>
        <w:rPr>
          <w:rStyle w:val="VerbatimChar"/>
        </w:rPr>
        <w:t xml:space="preserve">formal/</w:t>
      </w:r>
      <w:r>
        <w:rPr>
          <w:rStyle w:val="VerbatimChar"/>
        </w:rPr>
        <w:t xml:space="preserve">KBound/</w:t>
      </w:r>
      <w:r>
        <w:rPr>
          <w:rStyle w:val="VerbatimChar"/>
        </w:rPr>
        <w:t xml:space="preserve">Probability/</w:t>
      </w:r>
      <w:r>
        <w:rPr>
          <w:rStyle w:val="VerbatimChar"/>
        </w:rPr>
        <w:t xml:space="preserve">HistoricalExtension.lean</w:t>
      </w:r>
      <w:r>
        <w:t xml:space="preserve"> </w:t>
      </w:r>
      <w:r>
        <w:t xml:space="preserve">proves</w:t>
      </w:r>
      <w:r>
        <w:t xml:space="preserve"> </w:t>
      </w:r>
      <w:r>
        <w:rPr>
          <w:rStyle w:val="VerbatimChar"/>
        </w:rPr>
        <w:t xml:space="preserve">historical_</w:t>
      </w:r>
      <w:r>
        <w:rPr>
          <w:rStyle w:val="VerbatimChar"/>
        </w:rPr>
        <w:t xml:space="preserve">one_bit_</w:t>
      </w:r>
      <w:r>
        <w:rPr>
          <w:rStyle w:val="VerbatimChar"/>
        </w:rPr>
        <w:t xml:space="preserve">decoder_</w:t>
      </w:r>
      <w:r>
        <w:rPr>
          <w:rStyle w:val="VerbatimChar"/>
        </w:rPr>
        <w:t xml:space="preserve">iff_</w:t>
      </w:r>
      <w:r>
        <w:rPr>
          <w:rStyle w:val="VerbatimChar"/>
        </w:rPr>
        <w:t xml:space="preserve">fibre_</w:t>
      </w:r>
      <w:r>
        <w:rPr>
          <w:rStyle w:val="VerbatimChar"/>
        </w:rPr>
        <w:t xml:space="preserve">consistent</w:t>
      </w:r>
      <w:r>
        <w:t xml:space="preserve">: a label-free one-bit</w:t>
      </w:r>
      <w:r>
        <w:t xml:space="preserve"> </w:t>
      </w:r>
      <w:r>
        <w:t xml:space="preserve">decoder exists only when the label is constant on each observable evidence fibre. The</w:t>
      </w:r>
      <w:r>
        <w:t xml:space="preserve"> </w:t>
      </w:r>
      <w:r>
        <w:t xml:space="preserve">stronger historical claim that one representative per swap orbit is sufficient is</w:t>
      </w:r>
      <w:r>
        <w:t xml:space="preserve"> </w:t>
      </w:r>
      <w:r>
        <w:t xml:space="preserve">refuted by the checked counterexample in</w:t>
      </w:r>
      <w:r>
        <w:t xml:space="preserve"> </w:t>
      </w:r>
      <w:r>
        <w:rPr>
          <w:rStyle w:val="VerbatimChar"/>
        </w:rPr>
        <w:t xml:space="preserve">formal/</w:t>
      </w:r>
      <w:r>
        <w:rPr>
          <w:rStyle w:val="VerbatimChar"/>
        </w:rPr>
        <w:t xml:space="preserve">KBound/</w:t>
      </w:r>
      <w:r>
        <w:rPr>
          <w:rStyle w:val="VerbatimChar"/>
        </w:rPr>
        <w:t xml:space="preserve">Probability/</w:t>
      </w:r>
      <w:r>
        <w:rPr>
          <w:rStyle w:val="VerbatimChar"/>
        </w:rPr>
        <w:t xml:space="preserve">ChannelCounterexample.lean</w:t>
      </w:r>
      <w:r>
        <w:t xml:space="preserve">,</w:t>
      </w:r>
      <w:r>
        <w:t xml:space="preserve"> </w:t>
      </w:r>
      <w:r>
        <w:t xml:space="preserve">not silently promoted to a theorem. The former module,</w:t>
      </w:r>
      <w:r>
        <w:t xml:space="preserve"> </w:t>
      </w:r>
      <w:r>
        <w:rPr>
          <w:rStyle w:val="VerbatimChar"/>
        </w:rPr>
        <w:t xml:space="preserve">HistoricalExtension.lean</w:t>
      </w:r>
      <w:r>
        <w:t xml:space="preserve">, formalizes</w:t>
      </w:r>
      <w:r>
        <w:t xml:space="preserve"> </w:t>
      </w:r>
      <w:r>
        <w:rPr>
          <w:rStyle w:val="VerbatimChar"/>
        </w:rPr>
        <w:t xml:space="preserve">h_ratio_rate_transfer</w:t>
      </w:r>
      <w:r>
        <w:t xml:space="preserve"> </w:t>
      </w:r>
      <w:r>
        <w:t xml:space="preserve">only under an explicit episode-level contract</w:t>
      </w:r>
      <w:r>
        <w:t xml:space="preserve"> </w:t>
      </w:r>
      <w:r>
        <w:t xml:space="preserve">(</w:t>
      </w:r>
      <m:oMath>
        <m:sSub>
          <m:e>
            <m:r>
              <m:rPr>
                <m:sty m:val="p"/>
              </m:rPr>
              <m:t>m</m:t>
            </m:r>
            <m:r>
              <m:rPr>
                <m:sty m:val="p"/>
              </m:rPr>
              <m:t>i</m:t>
            </m:r>
            <m:r>
              <m:rPr>
                <m:sty m:val="p"/>
              </m:rPr>
              <m:t>s</m:t>
            </m:r>
            <m:r>
              <m:rPr>
                <m:sty m:val="p"/>
              </m:rPr>
              <m:t>s</m:t>
            </m:r>
          </m:e>
          <m:sub>
            <m:r>
              <m:t>T</m:t>
            </m:r>
          </m:sub>
        </m:sSub>
        <m:r>
          <m:rPr>
            <m:sty m:val="p"/>
          </m:rPr>
          <m:t>≤</m:t>
        </m:r>
        <m:r>
          <m:t>H</m:t>
        </m:r>
        <m:r>
          <m:t> </m:t>
        </m:r>
        <m:sSub>
          <m:e>
            <m:r>
              <m:rPr>
                <m:sty m:val="p"/>
              </m:rPr>
              <m:t>m</m:t>
            </m:r>
            <m:r>
              <m:rPr>
                <m:sty m:val="p"/>
              </m:rPr>
              <m:t>i</m:t>
            </m:r>
            <m:r>
              <m:rPr>
                <m:sty m:val="p"/>
              </m:rPr>
              <m:t>s</m:t>
            </m:r>
            <m:r>
              <m:rPr>
                <m:sty m:val="p"/>
              </m:rPr>
              <m:t>s</m:t>
            </m:r>
          </m:e>
          <m:sub>
            <m:r>
              <m:t>S</m:t>
            </m:r>
          </m:sub>
        </m:sSub>
      </m:oMath>
      <w:r>
        <w:t xml:space="preserve">,</w:t>
      </w:r>
      <w:r>
        <w:t xml:space="preserve"> </w:t>
      </w:r>
      <m:oMath>
        <m:r>
          <m:t>H</m:t>
        </m:r>
        <m:r>
          <m:rPr>
            <m:sty m:val="p"/>
          </m:rPr>
          <m:t>≥</m:t>
        </m:r>
        <m:r>
          <m:t>0</m:t>
        </m:r>
      </m:oMath>
      <w:r>
        <w:t xml:space="preserve">, and</w:t>
      </w:r>
      <w:r>
        <w:t xml:space="preserve"> </w:t>
      </w:r>
      <m:oMath>
        <m:sSub>
          <m:e>
            <m:r>
              <m:rPr>
                <m:sty m:val="p"/>
              </m:rPr>
              <m:t>m</m:t>
            </m:r>
            <m:r>
              <m:rPr>
                <m:sty m:val="p"/>
              </m:rPr>
              <m:t>i</m:t>
            </m:r>
            <m:r>
              <m:rPr>
                <m:sty m:val="p"/>
              </m:rPr>
              <m:t>s</m:t>
            </m:r>
            <m:r>
              <m:rPr>
                <m:sty m:val="p"/>
              </m:rPr>
              <m:t>s</m:t>
            </m:r>
          </m:e>
          <m:sub>
            <m:r>
              <m:t>S</m:t>
            </m:r>
          </m:sub>
        </m:sSub>
        <m:r>
          <m:rPr>
            <m:sty m:val="p"/>
          </m:rPr>
          <m:t>≤</m:t>
        </m:r>
        <m:r>
          <m:t>α</m:t>
        </m:r>
      </m:oMath>
      <w:r>
        <w:t xml:space="preserve">); it does not estimate</w:t>
      </w:r>
      <w:r>
        <w:t xml:space="preserve"> </w:t>
      </w:r>
      <m:oMath>
        <m:r>
          <m:t>H</m:t>
        </m:r>
      </m:oMath>
      <w:r>
        <w:t xml:space="preserve">, prove benchmark</w:t>
      </w:r>
      <w:r>
        <w:t xml:space="preserve"> </w:t>
      </w:r>
      <w:r>
        <w:t xml:space="preserve">exchangeability, or establish prospective population provenance. Thus K-Bound’s</w:t>
      </w:r>
      <w:r>
        <w:t xml:space="preserve"> </w:t>
      </w:r>
      <w:r>
        <w:t xml:space="preserve">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distinct, with the population procedure adding</w:t>
      </w:r>
      <w:r>
        <w:t xml:space="preserve"> </w:t>
      </w:r>
      <w:r>
        <w:t xml:space="preserve">the separately justified sampling radius</w:t>
      </w:r>
      <w:r>
        <w:t xml:space="preserve"> </w:t>
      </w:r>
      <m:oMath>
        <m:r>
          <m:t>b</m:t>
        </m:r>
        <m:r>
          <m:rPr>
            <m:sty m:val="p"/>
          </m:rPr>
          <m:t>(</m:t>
        </m:r>
        <m:r>
          <m:t>m</m:t>
        </m:r>
        <m:r>
          <m:rPr>
            <m:sty m:val="p"/>
          </m:rPr>
          <m:t>,</m:t>
        </m:r>
        <m:r>
          <m:t>δ</m:t>
        </m:r>
        <m:r>
          <m:rPr>
            <m:sty m:val="p"/>
          </m:rPr>
          <m:t>)</m:t>
        </m:r>
      </m:oMath>
      <w:r>
        <w:t xml:space="preserve">.</w:t>
      </w:r>
    </w:p>
    <w:bookmarkEnd w:id="42"/>
    <w:bookmarkStart w:id="43"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numerical Price of Rigor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m:t>Δ</m:t>
            </m:r>
          </m:e>
        </m:acc>
        <m:r>
          <m:rPr>
            <m:sty m:val="p"/>
          </m:rPr>
          <m:t>±</m:t>
        </m:r>
        <m:r>
          <m:t>ε</m:t>
        </m:r>
      </m:oMath>
      <w:r>
        <w:t xml:space="preserve">) vs. compound population interval (</w:t>
      </w:r>
      <m:oMath>
        <m:acc>
          <m:accPr>
            <m:chr m:val="̂"/>
          </m:accPr>
          <m:e>
            <m:r>
              <m:rPr>
                <m:sty m:val="p"/>
              </m:rPr>
              <m:t>Δ</m:t>
            </m:r>
          </m:e>
        </m:acc>
        <m:r>
          <m:rPr>
            <m:sty m:val="p"/>
          </m:rPr>
          <m:t>±</m:t>
        </m:r>
        <m:r>
          <m:rPr>
            <m:sty m:val="p"/>
          </m:rPr>
          <m:t>(</m:t>
        </m:r>
        <m:r>
          <m:t>ε</m:t>
        </m:r>
        <m:r>
          <m:rPr>
            <m:sty m:val="p"/>
          </m:rPr>
          <m:t>+</m:t>
        </m:r>
        <m:r>
          <m:t>b</m:t>
        </m:r>
        <m:r>
          <m:rPr>
            <m:sty m:val="p"/>
          </m:rPr>
          <m:t>)</m:t>
        </m:r>
      </m:oMath>
      <w:r>
        <w:t xml:space="preserve">) under 5-fold cross-fitting (</w:t>
      </w:r>
      <m:oMath>
        <m:sSub>
          <m:e>
            <m:r>
              <m:t>α</m:t>
            </m:r>
          </m:e>
          <m:sub>
            <m:r>
              <m:rPr>
                <m:sty m:val="p"/>
              </m:rPr>
              <m:t>c</m:t>
            </m:r>
            <m:r>
              <m:rPr>
                <m:sty m:val="p"/>
              </m:rPr>
              <m:t>e</m:t>
            </m:r>
            <m:r>
              <m:rPr>
                <m:sty m:val="p"/>
              </m:rPr>
              <m:t>l</m:t>
            </m:r>
            <m:r>
              <m:rPr>
                <m:sty m:val="p"/>
              </m:rPr>
              <m:t>l</m:t>
            </m:r>
          </m:sub>
        </m:sSub>
        <m:r>
          <m:rPr>
            <m:sty m:val="p"/>
          </m:rPr>
          <m:t>=</m:t>
        </m:r>
        <m:r>
          <m:t>δ</m:t>
        </m:r>
        <m:r>
          <m:rPr>
            <m:sty m:val="p"/>
          </m:rPr>
          <m:t>=</m:t>
        </m:r>
        <m:r>
          <m:t>0.05</m:t>
        </m:r>
        <m:r>
          <m:rPr>
            <m:sty m:val="p"/>
          </m:rPr>
          <m:t>,</m:t>
        </m:r>
        <m:sSub>
          <m:e>
            <m:r>
              <m:t>α</m:t>
            </m:r>
          </m:e>
          <m:sub>
            <m:r>
              <m:rPr>
                <m:sty m:val="p"/>
              </m:rPr>
              <m:t>p</m:t>
            </m:r>
            <m:r>
              <m:rPr>
                <m:sty m:val="p"/>
              </m:rPr>
              <m:t>o</m:t>
            </m:r>
            <m:r>
              <m:rPr>
                <m:sty m:val="p"/>
              </m:rPr>
              <m:t>p</m:t>
            </m:r>
          </m:sub>
        </m:sSub>
        <m:r>
          <m:rPr>
            <m:sty m:val="p"/>
          </m:rPr>
          <m:t>=</m:t>
        </m:r>
        <m:r>
          <m:t>0.10</m:t>
        </m:r>
        <m:r>
          <m:rPr>
            <m:sty m:val="p"/>
          </m:rPr>
          <m:t>,</m:t>
        </m:r>
        <m:r>
          <m:t>m</m:t>
        </m:r>
        <m:r>
          <m:rPr>
            <m:sty m:val="p"/>
          </m:rPr>
          <m:t>=</m:t>
        </m:r>
        <m:r>
          <m:t>2</m:t>
        </m:r>
        <m:r>
          <m:rPr>
            <m:sty m:val="p"/>
          </m:rPr>
          <m:t>,</m:t>
        </m:r>
        <m:r>
          <m:t>000</m:t>
        </m:r>
        <m:r>
          <m:rPr>
            <m:sty m:val="p"/>
          </m:rPr>
          <m:t>,</m:t>
        </m:r>
        <m:r>
          <m:t>b</m:t>
        </m:r>
        <m:r>
          <m:rPr>
            <m:sty m:val="p"/>
          </m:rPr>
          <m:t>=</m:t>
        </m:r>
        <m:r>
          <m:t>0.0607</m:t>
        </m:r>
      </m:oMath>
      <w:r>
        <w:t xml:space="preserve">). Full 12-column breakdown with fold details and radii ranges in Table 16.</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3"/>
    <w:bookmarkStart w:id="44"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Conformal cell calibration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t xml:space="preserve">) eliminates directional error (</w:t>
      </w:r>
      <m:oMath>
        <m:r>
          <m:t>0.000</m:t>
        </m:r>
      </m:oMath>
      <w:r>
        <w:t xml:space="preserve">) with empirical cell coverage matching nominal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w:t>
      </w:r>
      <w:r>
        <w:t xml:space="preserve">(</w:t>
      </w:r>
      <m:oMath>
        <m:r>
          <m:t>93.9</m:t>
        </m:r>
        <m:r>
          <m:rPr>
            <m:sty m:val="p"/>
          </m:rPr>
          <m:t>%</m:t>
        </m:r>
      </m:oMath>
      <w:r>
        <w:t xml:space="preserve">–</w:t>
      </w:r>
      <m:oMath>
        <m:r>
          <m:t>96.5</m:t>
        </m:r>
        <m:r>
          <m:rPr>
            <m:sty m:val="p"/>
          </m:rPr>
          <m:t>%</m:t>
        </m:r>
      </m:oMath>
      <w:r>
        <w:t xml:space="preserve">), and already achieves</w:t>
      </w:r>
      <w:r>
        <w:t xml:space="preserve"> </w:t>
      </w:r>
      <m:oMath>
        <m:r>
          <m:rPr>
            <m:sty m:val="p"/>
          </m:rPr>
          <m:t>≈</m:t>
        </m:r>
        <m:r>
          <m:t>100</m:t>
        </m:r>
        <m:r>
          <m:rPr>
            <m:sty m:val="p"/>
          </m:rPr>
          <m:t>%</m:t>
        </m:r>
      </m:oMath>
      <w:r>
        <w:t xml:space="preserve"> </w:t>
      </w:r>
      <w:r>
        <w:t xml:space="preserve">population coverage of</w:t>
      </w:r>
      <w:r>
        <w:t xml:space="preserve"> </w:t>
      </w:r>
      <m:oMath>
        <m:r>
          <m:rPr>
            <m:sty m:val="p"/>
          </m:rPr>
          <m:t>Δ</m:t>
        </m:r>
      </m:oMath>
      <w:r>
        <w:t xml:space="preserve"> </w:t>
      </w:r>
      <w:r>
        <w:t xml:space="preserve">across all configurations in this model. The compound population interval</w:t>
      </w:r>
      <w:r>
        <w:t xml:space="preserve"> </w:t>
      </w:r>
      <m:oMath>
        <m:r>
          <m:rPr>
            <m:sty m:val="p"/>
          </m:rPr>
          <m:t>[</m:t>
        </m:r>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r>
          <m:rPr>
            <m:sty m:val="p"/>
          </m:rPr>
          <m:t>]</m:t>
        </m:r>
      </m:oMath>
      <w:r>
        <w:t xml:space="preserve"> </w:t>
      </w:r>
      <w:r>
        <w:t xml:space="preserve">likewise achieves</w:t>
      </w:r>
      <w:r>
        <w:t xml:space="preserve"> </w:t>
      </w:r>
      <m:oMath>
        <m:r>
          <m:t>100</m:t>
        </m:r>
        <m:r>
          <m:rPr>
            <m:sty m:val="p"/>
          </m:rPr>
          <m:t>%</m:t>
        </m:r>
      </m:oMath>
      <w:r>
        <w:t xml:space="preserve"> </w:t>
      </w:r>
      <w:r>
        <w:t xml:space="preserve">empirical population coverage and zero observed wrong-direction error across these simulated trials (</w:t>
      </w:r>
      <m:oMath>
        <m:r>
          <m:t>0.000</m:t>
        </m:r>
        <m:r>
          <m:rPr>
            <m:sty m:val="p"/>
          </m:rPr>
          <m:t>≤</m:t>
        </m:r>
        <m:sSub>
          <m:e>
            <m:r>
              <m:t>α</m:t>
            </m:r>
          </m:e>
          <m:sub>
            <m:r>
              <m:rPr>
                <m:sty m:val="p"/>
              </m:rPr>
              <m:t>p</m:t>
            </m:r>
            <m:r>
              <m:rPr>
                <m:sty m:val="p"/>
              </m:rPr>
              <m:t>o</m:t>
            </m:r>
            <m:r>
              <m:rPr>
                <m:sty m:val="p"/>
              </m:rPr>
              <m:t>p</m:t>
            </m:r>
          </m:sub>
        </m:sSub>
        <m:r>
          <m:rPr>
            <m:sty m:val="p"/>
          </m:rPr>
          <m:t>=</m:t>
        </m:r>
        <m:r>
          <m:t>0.10</m:t>
        </m:r>
      </m:oMath>
      <w:r>
        <w:t xml:space="preserve">; the population-interval theorem bounds the population miss probability; this simulation reports zero empirically observed misses on this constructed diagnostic), while enforcing conservative abstention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contracting safely to</w:t>
      </w:r>
      <w:r>
        <w:t xml:space="preserve"> </w:t>
      </w:r>
      <m:oMath>
        <m:r>
          <m:rPr>
            <m:sty m:val="p"/>
          </m:rPr>
          <m:t>≈</m:t>
        </m:r>
        <m:r>
          <m:t>33</m:t>
        </m:r>
        <m:r>
          <m:rPr>
            <m:sty m:val="p"/>
          </m:rPr>
          <m:t>%</m:t>
        </m:r>
      </m:oMath>
      <w:r>
        <w:t xml:space="preserve"> </w:t>
      </w:r>
      <w:r>
        <w:t xml:space="preserve">matching the null frequency for</w:t>
      </w:r>
      <w:r>
        <w:t xml:space="preserve"> </w:t>
      </w:r>
      <m:oMath>
        <m:r>
          <m:t>m</m:t>
        </m:r>
        <m:r>
          <m:rPr>
            <m:sty m:val="p"/>
          </m:rPr>
          <m:t>≥</m:t>
        </m:r>
        <m:r>
          <m:t>128</m:t>
        </m:r>
      </m:oMath>
      <w:r>
        <w:t xml:space="preserve">) as a direct consequence of the universal Hoeffding penalty (</w:t>
      </w:r>
      <m:oMath>
        <m:r>
          <m:t>b</m:t>
        </m:r>
        <m:r>
          <m:rPr>
            <m:sty m:val="p"/>
          </m:rPr>
          <m:t>=</m:t>
        </m:r>
        <m:r>
          <m:t>0.4802</m:t>
        </m:r>
      </m:oMath>
      <w:r>
        <w:t xml:space="preserve">), rather than because cell-level calibration failed in this simulated environment.</w:t>
      </w:r>
    </w:p>
    <w:bookmarkEnd w:id="44"/>
    <w:bookmarkEnd w:id="45"/>
    <w:bookmarkStart w:id="50"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(11)</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We distinguish two calibration protocols across the paper:</w:t>
      </w:r>
      <w:r>
        <w:t xml:space="preserve"> </w:t>
      </w:r>
      <w:r>
        <w:t xml:space="preserve">Protocol B is the current outcome-disjoint three-way fit/calibrate/score construction. Protocol A is the historical leave-one-cell-out replay.</w:t>
      </w:r>
      <w:r>
        <w:t xml:space="preserve"> </w:t>
      </w: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rPr>
          <w:i/>
          <w:iCs/>
        </w:rPr>
        <w:t xml:space="preserve">Protocol B: Three-way cell-outcome-disjoint cross-fitting</w:t>
      </w:r>
      <w:r>
        <w:t xml:space="preserve"> </w:t>
      </w:r>
      <w:r>
        <w:t xml:space="preserve">(</w:t>
      </w:r>
      <w:r>
        <w:rPr>
          <w:rStyle w:val="VerbatimChar"/>
        </w:rPr>
        <w:t xml:space="preserve">kga.crossfit.controlled_grid_crossfit</w:t>
      </w:r>
      <w:r>
        <w:t xml:space="preserve">, 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9"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4"/>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4"/>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4"/>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4"/>
        </w:numPr>
      </w:pPr>
      <w:r>
        <w:rPr>
          <w:b/>
          <w:bCs/>
        </w:rPr>
        <w:t xml:space="preserve">If</w:t>
      </w:r>
      <w:r>
        <w:t xml:space="preserve"> </w:t>
      </w:r>
      <w:r>
        <w:t xml:space="preserve">the assessment is unavailable:</w:t>
      </w:r>
    </w:p>
    <w:p>
      <w:pPr>
        <w:widowControl/>
        <w:numPr>
          <w:ilvl w:val="1"/>
          <w:numId w:val="1005"/>
        </w:numPr>
      </w:pPr>
      <w:r>
        <w:t xml:space="preserve">retain</w:t>
      </w:r>
      <w:r>
        <w:t xml:space="preserve"> </w:t>
      </w:r>
      <m:oMath>
        <m:sSub>
          <m:e>
            <m:r>
              <m:t>f</m:t>
            </m:r>
          </m:e>
          <m:sub>
            <m:r>
              <m:t>0</m:t>
            </m:r>
          </m:sub>
        </m:sSub>
      </m:oMath>
      <w:r>
        <w:t xml:space="preserve">, log the reason, and return ABSTAIN</w:t>
      </w:r>
    </w:p>
    <w:p>
      <w:pPr>
        <w:widowControl/>
        <w:numPr>
          <w:ilvl w:val="0"/>
          <w:numId w:val="1004"/>
        </w:numPr>
      </w:pPr>
      <w:r>
        <w:t xml:space="preserve">Obtain</w:t>
      </w:r>
      <w:r>
        <w:t xml:space="preserve"> </w:t>
      </w:r>
      <m:oMath>
        <m:r>
          <m:t>ε</m:t>
        </m:r>
      </m:oMath>
      <w:r>
        <w:t xml:space="preserve"> </w:t>
      </w:r>
      <w:r>
        <w:t xml:space="preserve">from the calibrated residual rule in Eq. (11)</w:t>
      </w:r>
    </w:p>
    <w:p>
      <w:pPr>
        <w:widowControl/>
        <w:numPr>
          <w:ilvl w:val="0"/>
          <w:numId w:val="1004"/>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4"/>
        </w:numPr>
      </w:pPr>
      <w:r>
        <w:rPr>
          <w:b/>
          <w:bCs/>
        </w:rPr>
        <w:t xml:space="preserve">If</w:t>
      </w:r>
      <w:r>
        <w:t xml:space="preserve"> </w:t>
      </w:r>
      <m:oMath>
        <m:r>
          <m:t>L</m:t>
        </m:r>
        <m:r>
          <m:rPr>
            <m:sty m:val="p"/>
          </m:rPr>
          <m:t>&gt;</m:t>
        </m:r>
        <m:r>
          <m:t>0</m:t>
        </m:r>
      </m:oMath>
      <w:r>
        <w:t xml:space="preserve">:</w:t>
      </w:r>
    </w:p>
    <w:p>
      <w:pPr>
        <w:widowControl/>
        <w:numPr>
          <w:ilvl w:val="1"/>
          <w:numId w:val="1006"/>
        </w:numPr>
      </w:pPr>
      <w:r>
        <w:t xml:space="preserve">commit</w:t>
      </w:r>
      <w:r>
        <w:t xml:space="preserve"> </w:t>
      </w:r>
      <m:oMath>
        <m:sSub>
          <m:e>
            <m:r>
              <m:t>f</m:t>
            </m:r>
          </m:e>
          <m:sub>
            <m:r>
              <m:t>a</m:t>
            </m:r>
          </m:sub>
        </m:sSub>
      </m:oMath>
      <w:r>
        <w:t xml:space="preserve"> </w:t>
      </w:r>
      <w:r>
        <w:t xml:space="preserve">and return ADAPT</w:t>
      </w:r>
    </w:p>
    <w:p>
      <w:pPr>
        <w:widowControl/>
        <w:numPr>
          <w:ilvl w:val="0"/>
          <w:numId w:val="1004"/>
        </w:numPr>
      </w:pPr>
      <w:r>
        <w:rPr>
          <w:b/>
          <w:bCs/>
        </w:rPr>
        <w:t xml:space="preserve">Else if</w:t>
      </w:r>
      <w:r>
        <w:t xml:space="preserve"> </w:t>
      </w:r>
      <m:oMath>
        <m:r>
          <m:t>U</m:t>
        </m:r>
        <m:r>
          <m:rPr>
            <m:sty m:val="p"/>
          </m:rPr>
          <m:t>&lt;</m:t>
        </m:r>
        <m:r>
          <m:t>0</m:t>
        </m:r>
      </m:oMath>
      <w:r>
        <w:t xml:space="preserve">:</w:t>
      </w:r>
    </w:p>
    <w:p>
      <w:pPr>
        <w:widowControl/>
        <w:numPr>
          <w:ilvl w:val="1"/>
          <w:numId w:val="1007"/>
        </w:numPr>
      </w:pPr>
      <w:r>
        <w:t xml:space="preserve">discard</w:t>
      </w:r>
      <w:r>
        <w:t xml:space="preserve"> </w:t>
      </w:r>
      <m:oMath>
        <m:sSub>
          <m:e>
            <m:r>
              <m:t>f</m:t>
            </m:r>
          </m:e>
          <m:sub>
            <m:r>
              <m:t>a</m:t>
            </m:r>
          </m:sub>
        </m:sSub>
      </m:oMath>
      <w:r>
        <w:t xml:space="preserve"> </w:t>
      </w:r>
      <w:r>
        <w:t xml:space="preserve">and return FREEZE</w:t>
      </w:r>
    </w:p>
    <w:p>
      <w:pPr>
        <w:widowControl/>
        <w:numPr>
          <w:ilvl w:val="0"/>
          <w:numId w:val="1004"/>
        </w:numPr>
      </w:pPr>
      <w:r>
        <w:rPr>
          <w:b/>
          <w:bCs/>
        </w:rPr>
        <w:t xml:space="preserve">Else</w:t>
      </w:r>
      <w:r>
        <w:t xml:space="preserve">:</w:t>
      </w:r>
    </w:p>
    <w:p>
      <w:pPr>
        <w:widowControl/>
        <w:numPr>
          <w:ilvl w:val="1"/>
          <w:numId w:val="1008"/>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18266"/>
            <wp:effectExtent b="0" l="0" r="0" t="0"/>
            <wp:docPr descr="KGA interval decisions for measured cell benefit; empirical residual coverage is not population-risk coverage." title="KGA interval decisions for measured cell benefit; empirical residual coverage is not population-risk coverage" id="47" name="Picture"/>
            <a:graphic>
              <a:graphicData uri="http://schemas.openxmlformats.org/drawingml/2006/picture">
                <pic:pic>
                  <pic:nvPicPr>
                    <pic:cNvPr descr="figures/fig_certificate.pdf" id="48" name="Picture"/>
                    <pic:cNvPicPr>
                      <a:picLocks noChangeArrowheads="1" noChangeAspect="1"/>
                    </pic:cNvPicPr>
                  </pic:nvPicPr>
                  <pic:blipFill>
                    <a:blip r:embed="rId46"/>
                    <a:stretch>
                      <a:fillRect/>
                    </a:stretch>
                  </pic:blipFill>
                  <pic:spPr bwMode="auto">
                    <a:xfrm>
                      <a:off x="0" y="0"/>
                      <a:ext cx="4267200" cy="2218266"/>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A component runtime profile evaluating feature extraction (</w:t>
      </w:r>
      <m:oMath>
        <m:r>
          <m:t>0.48</m:t>
        </m:r>
        <m:r>
          <m:t> </m:t>
        </m:r>
        <m:r>
          <m:rPr>
            <m:nor/>
            <m:sty m:val="p"/>
          </m:rPr>
          <m:t>ms</m:t>
        </m:r>
      </m:oMath>
      <w:r>
        <w:t xml:space="preserve">,</w:t>
      </w:r>
      <w:r>
        <w:t xml:space="preserve"> </w:t>
      </w:r>
      <m:oMath>
        <m:r>
          <m:t>3.9</m:t>
        </m:r>
        <m:r>
          <m:rPr>
            <m:sty m:val="p"/>
          </m:rPr>
          <m:t>%</m:t>
        </m:r>
      </m:oMath>
      <w:r>
        <w:t xml:space="preserve">), certificate evaluation (</w:t>
      </w:r>
      <m:oMath>
        <m:r>
          <m:t>0.14</m:t>
        </m:r>
        <m:r>
          <m:t> </m:t>
        </m:r>
        <m:r>
          <m:rPr>
            <m:nor/>
            <m:sty m:val="p"/>
          </m:rPr>
          <m:t>ms</m:t>
        </m:r>
      </m:oMath>
      <w:r>
        <w:t xml:space="preserve">,</w:t>
      </w:r>
      <w:r>
        <w:t xml:space="preserve"> </w:t>
      </w:r>
      <m:oMath>
        <m:r>
          <m:t>1.1</m:t>
        </m:r>
        <m:r>
          <m:rPr>
            <m:sty m:val="p"/>
          </m:rPr>
          <m:t>%</m:t>
        </m:r>
      </m:oMath>
      <w:r>
        <w:t xml:space="preserve">), and combined feature-extraction and certificate-evaluation overhead (</w:t>
      </w:r>
      <m:oMath>
        <m:r>
          <m:t>0.62</m:t>
        </m:r>
        <m:r>
          <m:t> </m:t>
        </m:r>
        <m:r>
          <m:rPr>
            <m:nor/>
            <m:sty m:val="p"/>
          </m:rPr>
          <m:t>ms</m:t>
        </m:r>
      </m:oMath>
      <w:r>
        <w:t xml:space="preserve">,</w:t>
      </w:r>
      <w:r>
        <w:t xml:space="preserve"> </w:t>
      </w:r>
      <m:oMath>
        <m:r>
          <m:t>5.0</m:t>
        </m:r>
        <m:r>
          <m:rPr>
            <m:sty m:val="p"/>
          </m:rPr>
          <m:t>%</m:t>
        </m:r>
      </m:oMath>
      <w:r>
        <w:t xml:space="preserve"> </w:t>
      </w:r>
      <w:r>
        <w:t xml:space="preserve">of base forward pass) on Apple Silicon MPS is reported in Table 45; comparable end-to-end deployment latencies across all historical benchmark tracks are not claimed.</w:t>
      </w:r>
    </w:p>
    <w:bookmarkEnd w:id="49"/>
    <w:bookmarkEnd w:id="50"/>
    <w:bookmarkEnd w:id="51"/>
    <w:bookmarkStart w:id="55" w:name="primary-experimental-protocols"/>
    <w:p>
      <w:pPr>
        <w:pStyle w:val="Heading1"/>
        <w:widowControl/>
      </w:pPr>
      <w:r>
        <w:t xml:space="preserve">7 Primary Experimental Protocols</w:t>
      </w:r>
    </w:p>
    <w:bookmarkStart w:id="52"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48"/>
        <w:gridCol w:w="3506"/>
        <w:gridCol w:w="3506"/>
      </w:tblGrid>
      <w:tr>
        <w:trPr>
          <w:tblHeader w:val="true"/>
          <w:cantSplit w:val="true"/>
        </w:trPr>
        <w:tc>
          <w:tcPr>
            <w:tcW w:w="29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safe-utility rule</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development feasibility stopped; no target access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a candidate met the pre-target eligibility checks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52"/>
    <w:bookmarkStart w:id="53" w:name="cct-20-design-and-safe-utility"/>
    <w:p>
      <w:pPr>
        <w:pStyle w:val="Heading2"/>
        <w:widowControl/>
      </w:pPr>
      <w:r>
        <w:t xml:space="preserve">7.2 CCT-20 Design and Safe Utility</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safe-utility</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t> </m:t>
          </m:r>
          <m:r>
            <m:rPr>
              <m:nor/>
              <m:sty m:val="p"/>
            </m:rPr>
            <m:t>(12)</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The word</w:t>
      </w:r>
      <w:r>
        <w:t xml:space="preserve"> </w:t>
      </w:r>
      <w:r>
        <w:rPr>
          <w:i/>
          <w:iCs/>
        </w:rPr>
        <w:t xml:space="preserve">safe</w:t>
      </w:r>
      <w:r>
        <w:t xml:space="preserve"> </w:t>
      </w:r>
      <w:r>
        <w:t xml:space="preserve">names this protocol endpoint, not a population guarantee.</w:t>
      </w:r>
    </w:p>
    <w:bookmarkEnd w:id="53"/>
    <w:bookmarkStart w:id="54"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t> </m:t>
          </m:r>
          <m:r>
            <m:rPr>
              <m:nor/>
              <m:sty m:val="p"/>
            </m:rPr>
            <m:t>(13)</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4"/>
    <w:bookmarkEnd w:id="55"/>
    <w:bookmarkStart w:id="65" w:name="primary-results"/>
    <w:p>
      <w:pPr>
        <w:pStyle w:val="Heading1"/>
        <w:widowControl/>
      </w:pPr>
      <w:r>
        <w:t xml:space="preserve">8 Primary Results</w:t>
      </w:r>
    </w:p>
    <w:bookmarkStart w:id="59"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m:t>(</m:t>
        </m:r>
        <m:r>
          <m:t>A</m:t>
        </m:r>
        <m:r>
          <m:rPr>
            <m:sty m:val="p"/>
          </m:rPr>
          <m:t>+</m:t>
        </m:r>
        <m:r>
          <m:t>F</m:t>
        </m:r>
        <m:r>
          <m:rPr>
            <m:sty m:val="p"/>
          </m:rPr>
          <m:t>)</m:t>
        </m:r>
        <m:r>
          <m:rPr>
            <m:sty m:val="p"/>
          </m:rPr>
          <m:t>/</m:t>
        </m:r>
        <m: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widowControl/>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widowControl/>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this regret-minimization behavior across deployment streams with varying harmful fraction</w:t>
      </w:r>
      <w:r>
        <w:t xml:space="preserve"> </w:t>
      </w:r>
      <m:oMath>
        <m:r>
          <m:t>p</m:t>
        </m:r>
      </m:oMath>
      <w:r>
        <w:t xml:space="preserve">: while unconstrained always-adapt degrades linearly as harmful mass increases, KGA tracks the lower mixture-regret envelope, maintaining lower empirical regret across the constructed mixture than the fixed policies over most mixture proportions.</w:t>
      </w:r>
    </w:p>
    <w:p>
      <w:pPr>
        <w:pStyle w:val="CaptionedFigure"/>
        <w:widowControl/>
        <w:jc w:val="center"/>
      </w:pPr>
      <w:r>
        <w:drawing>
          <wp:inline>
            <wp:extent cx="4267200" cy="2801509"/>
            <wp:effectExtent b="0" l="0" r="0" t="0"/>
            <wp:docPr descr="CIFAR-10-C stress grid mixing-ratio Pareto front comparing mean regret vs harmful fraction for Tent." title="CIFAR-10-C stress grid mixing-ratio Pareto front comparing mean regret vs harmful fraction for Tent" id="57" name="Picture"/>
            <a:graphic>
              <a:graphicData uri="http://schemas.openxmlformats.org/drawingml/2006/picture">
                <pic:pic>
                  <pic:nvPicPr>
                    <pic:cNvPr descr="figures/fig_decisive_pareto_cifar10c.pdf" id="58" name="Picture"/>
                    <pic:cNvPicPr>
                      <a:picLocks noChangeArrowheads="1" noChangeAspect="1"/>
                    </pic:cNvPicPr>
                  </pic:nvPicPr>
                  <pic:blipFill>
                    <a:blip r:embed="rId56"/>
                    <a:stretch>
                      <a:fillRect/>
                    </a:stretch>
                  </pic:blipFill>
                  <pic:spPr bwMode="auto">
                    <a:xfrm>
                      <a:off x="0" y="0"/>
                      <a:ext cx="4267200" cy="2801509"/>
                    </a:xfrm>
                    <a:prstGeom prst="rect">
                      <a:avLst/>
                    </a:prstGeom>
                    <a:noFill/>
                    <a:ln w="9525">
                      <a:noFill/>
                      <a:headEnd/>
                      <a:tailEnd/>
                    </a:ln>
                  </pic:spPr>
                </pic:pic>
              </a:graphicData>
            </a:graphic>
          </wp:inline>
        </w:drawing>
      </w:r>
    </w:p>
    <w:p>
      <w:pPr>
        <w:pStyle w:val="ImageCaption"/>
        <w:widowControl/>
      </w:pPr>
      <w:r>
        <w:t xml:space="preserve">Figure 4. CIFAR-10-C stress grid mixing-ratio regret envelope: mean regret vs. the harmful fraction</w:t>
      </w:r>
      <w:r>
        <w:t xml:space="preserve"> </w:t>
      </w:r>
      <m:oMath>
        <m:r>
          <m:t>p</m:t>
        </m:r>
      </m:oMath>
      <w:r>
        <w:t xml:space="preserve"> </w:t>
      </w:r>
      <w:r>
        <w:t xml:space="preserve">of the deployment stream for Tent, comparing always-adapt, always-freeze, and KGA. While unconstrained always-adapt degrades sharply as the harmful fraction increases and always-freeze stalls on helpful distributions, KGA tracks the lower mixture-regret envelope, maintaining lower empirical regret across the constructed mixture than the fixed policies over most mixture proportions.</w:t>
      </w:r>
    </w:p>
    <w:p>
      <w:pPr>
        <w:pStyle w:val="BodyText"/>
        <w:widowControl/>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0.0058</m:t>
        </m:r>
        <m:r>
          <m:rPr>
            <m:sty m:val="p"/>
          </m:rPr>
          <m:t>,</m:t>
        </m:r>
        <m:r>
          <m:rPr>
            <m:sty m:val="p"/>
          </m:rPr>
          <m:t>+</m:t>
        </m:r>
        <m:r>
          <m:t>0.0065</m:t>
        </m:r>
        <m:r>
          <m:rPr>
            <m:sty m:val="p"/>
          </m:rPr>
          <m:t>,</m:t>
        </m:r>
        <m:r>
          <m:rPr>
            <m:sty m:val="p"/>
          </m:rPr>
          <m:t>+</m:t>
        </m:r>
        <m:r>
          <m:t>0.0061</m:t>
        </m:r>
        <m:r>
          <m:rPr>
            <m:sty m:val="p"/>
          </m:rPr>
          <m:t>,</m:t>
        </m:r>
        <m:r>
          <m:rPr>
            <m:sty m:val="p"/>
          </m:rPr>
          <m:t>+</m:t>
        </m:r>
        <m:r>
          <m:t>0.0072</m:t>
        </m:r>
        <m:r>
          <m:rPr>
            <m:sty m:val="p"/>
          </m:rPr>
          <m:t>,</m:t>
        </m:r>
        <m:r>
          <m:rPr>
            <m:sty m:val="p"/>
          </m:rPr>
          <m:t>+</m:t>
        </m:r>
        <m:r>
          <m:t>0.0054</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59"/>
    <w:bookmarkStart w:id="60"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TableCaption"/>
        <w:widowControl/>
      </w:pPr>
      <w:r>
        <w:t xml:space="preserve">Table 8. Retrospective interval diagnostics for the controlled cells under Protocol B (disjoint fit/calibrate/score cross-fitting), at nominal target</w:t>
      </w:r>
      <w:r>
        <w:t xml:space="preserve"> </w:t>
      </w:r>
      <m:oMath>
        <m:r>
          <m:t>1</m:t>
        </m:r>
        <m:r>
          <m:rPr>
            <m:sty m:val="p"/>
          </m:rPr>
          <m:t>−</m:t>
        </m:r>
        <m:r>
          <m:t>α</m:t>
        </m:r>
        <m:r>
          <m:rPr>
            <m:sty m:val="p"/>
          </m:rPr>
          <m:t>=</m:t>
        </m:r>
        <m:r>
          <m:t>0.90</m:t>
        </m:r>
      </m:oMath>
      <w:r>
        <w:t xml:space="preserve">. Observed inclusion concerns</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r>
                <m:rPr>
                  <m:sty m:val="p"/>
                </m:rPr>
                <m:t>/</m:t>
              </m:r>
              <m:sSub>
                <m:e>
                  <m:r>
                    <m:rPr>
                      <m:sty m:val="p"/>
                    </m:rPr>
                    <m:t>F</m:t>
                  </m:r>
                  <m:r>
                    <m:rPr>
                      <m:sty m:val="p"/>
                    </m:rPr>
                    <m:t>A</m:t>
                  </m:r>
                </m:e>
                <m:sub>
                  <m: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r>
                <m:rPr>
                  <m:sty m:val="p"/>
                </m:rPr>
                <m:t>/</m:t>
              </m:r>
              <m:sSub>
                <m:e>
                  <m:r>
                    <m:rPr>
                      <m:sty m:val="p"/>
                    </m:rPr>
                    <m:t>F</m:t>
                  </m:r>
                  <m:r>
                    <m:rPr>
                      <m:sty m:val="p"/>
                    </m:rPr>
                    <m:t>F</m:t>
                  </m:r>
                </m:e>
                <m:sub>
                  <m: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This retrospective diagnostic is rank-constrained and is not independent validation of interval coverage under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60"/>
    <w:bookmarkStart w:id="61" w:name="X263277f01fe1bec7cb727d812c392382a529493"/>
    <w:p>
      <w:pPr>
        <w:pStyle w:val="Heading2"/>
        <w:widowControl/>
      </w:pPr>
      <w:r>
        <w:t xml:space="preserve">8.3 Synchronized Development Baseline Comparison</w:t>
      </w:r>
    </w:p>
    <w:p>
      <w:pPr>
        <w:pStyle w:val="FirstParagraph"/>
        <w:widowControl/>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TableCaption"/>
        <w:widowControl/>
      </w:pPr>
      <w:r>
        <w:t xml:space="preserve">Table 9. Current outcome-disjoint saved-feature comparison on 2,160 CIFAR-10-C</w:t>
      </w:r>
      <w:r>
        <w:t xml:space="preserve"> </w:t>
      </w:r>
      <w:r>
        <w:t xml:space="preserve">Tent rows, generated from one authenticated paired-score authority.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m:t>F</m:t>
            </m:r>
            <m:r>
              <m:rPr>
                <m:sty m:val="p"/>
              </m:rPr>
              <m:t>A</m:t>
            </m:r>
          </m:e>
          <m:sub>
            <m:r>
              <m:rPr>
                <m:sty m:val="p"/>
              </m:rPr>
              <m:t>u</m:t>
            </m:r>
          </m:sub>
        </m:sSub>
      </m:oMath>
      <w:r>
        <w:t xml:space="preserve"> </w:t>
      </w:r>
      <w:r>
        <w:t xml:space="preserve">is the fraction of all rows</w:t>
      </w:r>
      <w:r>
        <w:t xml:space="preserve"> </w:t>
      </w:r>
      <w:r>
        <w:t xml:space="preserve">with ADAPT and</w:t>
      </w:r>
      <w:r>
        <w:t xml:space="preserve"> </w:t>
      </w:r>
      <m:oMath>
        <m:r>
          <m:t>B</m:t>
        </m:r>
        <m:r>
          <m:rPr>
            <m:sty m:val="p"/>
          </m:rPr>
          <m:t>≤</m:t>
        </m:r>
        <m:r>
          <m:t>0</m:t>
        </m:r>
      </m:oMath>
      <w:r>
        <w:t xml:space="preserve">; commitment is</w:t>
      </w:r>
      <w:r>
        <w:t xml:space="preserve"> </w:t>
      </w:r>
      <m:oMath>
        <m:r>
          <m:rPr>
            <m:sty m:val="p"/>
          </m:rPr>
          <m:t>(</m:t>
        </m:r>
        <m:r>
          <m:t>A</m:t>
        </m:r>
        <m:r>
          <m:rPr>
            <m:sty m:val="p"/>
          </m:rPr>
          <m:t>+</m:t>
        </m:r>
        <m:r>
          <m:t>F</m:t>
        </m:r>
        <m:r>
          <m:rPr>
            <m:sty m:val="p"/>
          </m:rPr>
          <m:t>)</m:t>
        </m:r>
        <m:r>
          <m:rPr>
            <m:sty m:val="p"/>
          </m:rPr>
          <m:t>/</m:t>
        </m:r>
        <m:r>
          <m:t>n</m:t>
        </m:r>
      </m:oMath>
      <w:r>
        <w:t xml:space="preserve">.</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generated from one authenticated paired-score authority. All rows have the same oracle and weights; both fitted gates use identical predictions. Lower regret is better. \mathrm{FA}_{\mathrm u} is the fraction of all rows with ADAPT and B\le0; commitment is (A+F)/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however, this unhedged stance causes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withholding commitment on 732 ambiguous cells,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 Detailed exact-replay receipts are indexed in Appendix N.</w:t>
      </w:r>
    </w:p>
    <w:bookmarkEnd w:id="61"/>
    <w:bookmarkStart w:id="62" w:name="X34df60e14288daee5bfa689f9e7844a27c3cc63"/>
    <w:p>
      <w:pPr>
        <w:pStyle w:val="Heading2"/>
        <w:widowControl/>
      </w:pPr>
      <w:r>
        <w:t xml:space="preserve">8.4 CCT-20: Conservative Retention, Not Selective Routing</w:t>
      </w:r>
    </w:p>
    <w:p>
      <w:pPr>
        <w:pStyle w:val="FirstParagraph"/>
        <w:widowControl/>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p>
      <w:pPr>
        <w:pStyle w:val="TableCaption"/>
        <w:widowControl/>
      </w:pPr>
      <w:r>
        <w:t xml:space="preserve">Table 10. CCT-20 safe-utility endpoint defined in Eq. (12).</w:t>
      </w:r>
      <w:r>
        <w:t xml:space="preserve"> </w:t>
      </w:r>
      <w:r>
        <w:t xml:space="preserve">Contrasts are baseline regret minus KGA regret on the set-membership accuracy-proportion scale.</w:t>
      </w:r>
      <w:r>
        <w:t xml:space="preserve"> </w:t>
      </w:r>
      <w:r>
        <w:t xml:space="preserve">Contrasts report nominal pointwise 95% two-way bootstrap intervals.</w:t>
      </w:r>
      <w:r>
        <w:t xml:space="preserve"> </w:t>
      </w:r>
      <w:r>
        <w:t xml:space="preserve">Location-level records are detailed in the supplement.</w:t>
      </w:r>
    </w:p>
    <w:tbl>
      <w:tblPr>
        <w:tblStyle w:val="Table"/>
        <w:tblW w:type="dxa" w:w="9960"/>
        <w:jc w:val="left"/>
        <w:tblLayout w:type="fixed"/>
        <w:tblLook w:firstRow="1" w:lastRow="0" w:firstColumn="0" w:lastColumn="0" w:noHBand="0" w:noVBand="0" w:val="0020"/>
        <w:tblCaption w:val="Table 10. CCT-20 safe-utility endpoint defined in Eq. (12). Contrasts are baseline regret minus KGA regret on the set-membership accuracy-proportion scale. Contrasts report nominal pointwise 95% two-way bootstrap intervals. Location-level records are detail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m:t>L</m:t>
              </m:r>
              <m:r>
                <m:rPr>
                  <m:sty m:val="p"/>
                </m:rPr>
                <m:t>&gt;</m:t>
              </m:r>
              <m: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m:t>L</m:t>
              </m:r>
              <m:r>
                <m:rPr>
                  <m:sty m:val="p"/>
                </m:rPr>
                <m:t>&gt;</m:t>
              </m:r>
              <m:r>
                <m:rPr>
                  <m:sty m:val="p"/>
                </m:rPr>
                <m:t>−</m:t>
              </m:r>
              <m:r>
                <m:t>0.0050</m:t>
              </m:r>
            </m:oMath>
          </w:p>
        </w:tc>
      </w:tr>
    </w:tbl>
    <w:p>
      <w:pPr>
        <w:pStyle w:val="BodyText"/>
        <w:widowControl/>
      </w:pPr>
      <w:r>
        <w:t xml:space="preserve">KGA matched always-freeze exactly and avoided the measured degradation of always-adapt.</w:t>
      </w:r>
      <w:r>
        <w:t xml:space="preserve"> </w:t>
      </w:r>
      <w:r>
        <w:t xml:space="preserve">The unchanged locked rule therefore returns pass on the stored cells, with generated flag</w:t>
      </w:r>
      <w:r>
        <w:t xml:space="preserve"> </w:t>
      </w:r>
      <w:r>
        <w:t xml:space="preserve">yes</w:t>
      </w:r>
      <w:r>
        <w:t xml:space="preserve">.</w:t>
      </w:r>
      <w:r>
        <w:t xml:space="preserve"> </w:t>
      </w:r>
      <w:r>
        <w:t xml:space="preserve">The recorded verdict remains</w:t>
      </w:r>
      <w:r>
        <w:t xml:space="preserve"> </w:t>
      </w:r>
      <w:r>
        <w:t xml:space="preserve">SAFE UTILITY ONLY</w:t>
      </w:r>
      <w:r>
        <w:t xml:space="preserve">: a scoped safe-utility result, not a finite-sample population-safety guarantee.</w:t>
      </w:r>
      <w:r>
        <w:t xml:space="preserve"> </w:t>
      </w:r>
      <w:r>
        <w:t xml:space="preserve">However, the stronger opportunistic routing criterion was not met:</w:t>
      </w:r>
      <w:r>
        <w:t xml:space="preserve"> </w:t>
      </w:r>
      <w:r>
        <w:t xml:space="preserve">the candidate was helpful in 1 cell, tied in 0, and harmful in 44.</w:t>
      </w:r>
      <w:r>
        <w:t xml:space="preserve"> </w:t>
      </w:r>
      <w:r>
        <w:t xml:space="preserve">Among the 44 harmful updates, the gate strictly rejected 43 (issuing FREEZE) and issued ABSTAIN</w:t>
      </w:r>
      <w:r>
        <w:t xml:space="preserve"> </w:t>
      </w:r>
      <w:r>
        <w:t xml:space="preserve">on the remaining 1 (which defaults to serving the frozen model), while also issuing FREEZE on the single helpful candidate.</w:t>
      </w:r>
      <w:r>
        <w:t xml:space="preserve"> </w:t>
      </w:r>
      <w:r>
        <w:t xml:space="preserve">Because all development cells for Tent were harmful, the training distribution supplied no positive examples, leading the</w:t>
      </w:r>
      <w:r>
        <w:t xml:space="preserve"> </w:t>
      </w:r>
      <w:r>
        <w:t xml:space="preserve">model to predict negative benefit throughout.</w:t>
      </w:r>
      <w:r>
        <w:t xml:space="preserve"> </w:t>
      </w:r>
      <w:r>
        <w:t xml:space="preserve">This demonstrates retention in that study, not general harm avoidance or successful selection of beneficial updates on</w:t>
      </w:r>
      <w:r>
        <w:t xml:space="preserve"> </w:t>
      </w:r>
      <w:r>
        <w:t xml:space="preserve">unseen environments; prospective selective opportunistic routing on unopened natural shifts remains an open empirical challenge.</w:t>
      </w:r>
    </w:p>
    <w:bookmarkEnd w:id="62"/>
    <w:bookmarkStart w:id="63" w:name="X11f3a107a07ce58173a54feac1b802ddd83c657"/>
    <w:p>
      <w:pPr>
        <w:pStyle w:val="Heading2"/>
        <w:widowControl/>
      </w:pPr>
      <w:r>
        <w:t xml:space="preserve">8.5 Development Stops and Adverse Diagnostics</w:t>
      </w:r>
    </w:p>
    <w:p>
      <w:pPr>
        <w:pStyle w:val="FirstParagraph"/>
        <w:widowControl/>
      </w:pPr>
      <w:r>
        <w:t xml:space="preserve">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whereas the opened Camelyon17 OOD panel adapts throughout.</w:t>
      </w:r>
      <w:r>
        <w:t xml:space="preserve"> </w:t>
      </w:r>
      <w:r>
        <w:t xml:space="preserve">The opened Camelyon17 panel shows that KGA can issue ADAPT decisions on natural data;</w:t>
      </w:r>
      <w:r>
        <w:t xml:space="preserve"> </w:t>
      </w:r>
      <w:r>
        <w:t xml:space="preserve">it does not establish why CCT-20 produced no such decisions. On the observed CCT-20 cells,</w:t>
      </w:r>
      <w:r>
        <w:t xml:space="preserve"> </w:t>
      </w:r>
      <w:r>
        <w:t xml:space="preserve">KGA retains the frozen model, whereas the one-sided Camelyon17 panel retains adaptation</w:t>
      </w:r>
      <w:r>
        <w:t xml:space="preserve"> </w:t>
      </w:r>
      <w:r>
        <w:t xml:space="preserve">exposure. A separate retrospective mixed-sign Camelyon17 diagnostic (Appendix B.5) contains both helpful and harmful adaptation cells and shows nontrivial ADAPT/FREEZE/ABSTAIN exposure with lower measured point regret than both fixed policies; because the target was already opened, it is treated as diagnostic rather than prospective confirmation. These candidate-specific outcomes do not demonstrate prospective selective routing.</w:t>
      </w:r>
      <w:r>
        <w:t xml:space="preserve"> </w:t>
      </w:r>
      <w:r>
        <w:t xml:space="preserve">Transferring a fixed benefit predictor</w:t>
      </w:r>
      <w:r>
        <w:t xml:space="preserve"> </w:t>
      </w:r>
      <w:r>
        <w:t xml:space="preserve">across completely unseen wild domains without target calibration remains an open empirical challenge.</w:t>
      </w:r>
    </w:p>
    <w:bookmarkEnd w:id="63"/>
    <w:bookmarkStart w:id="64" w:name="Xd1fe0aab8509a6f02c54f27f6bdf495deecbcfd"/>
    <w:p>
      <w:pPr>
        <w:pStyle w:val="Heading2"/>
        <w:widowControl/>
      </w:pPr>
      <w:r>
        <w:t xml:space="preserve">8.6 Cross-Architecture and Parameter-Restricted Adaptation Probes</w:t>
      </w:r>
    </w:p>
    <w:p>
      <w:pPr>
        <w:pStyle w:val="FirstParagraph"/>
        <w:widowControl/>
      </w:pPr>
      <w:r>
        <w:t xml:space="preserve">As a preliminary diagnostic probe into whether certificate scale varies across model topologies, we inspected four distinct architectures under systematic covariate shift: ResNet-18 (standard residual), ResNet-50 (bottleneck residual), ViT-B/16 (vision transformer), and ConvNeXt-Tiny (depthwise convolutional; Table 11).</w:t>
      </w:r>
    </w:p>
    <w:p>
      <w:pPr>
        <w:pStyle w:val="TableCaption"/>
        <w:widowControl/>
      </w:pPr>
      <w:r>
        <w:t xml:space="preserve">Table 11. Preliminary cross-architecture diagnostic probe across four model topologies under synthetic covariate shift. Disagreement measure</w:t>
      </w:r>
      <w:r>
        <w:t xml:space="preserve"> </w:t>
      </w:r>
      <m:oMath>
        <m:r>
          <m:t>μ</m:t>
        </m:r>
        <m:r>
          <m:rPr>
            <m:sty m:val="p"/>
          </m:rPr>
          <m:t>(</m:t>
        </m:r>
        <m:r>
          <m:t>D</m:t>
        </m:r>
        <m:r>
          <m:rPr>
            <m:sty m:val="p"/>
          </m:rPr>
          <m:t>)</m:t>
        </m:r>
      </m:oMath>
      <w:r>
        <w:t xml:space="preserve">, conformal radius</w:t>
      </w:r>
      <w:r>
        <w:t xml:space="preserve"> </w:t>
      </w:r>
      <m:oMath>
        <m:r>
          <m:t>r</m:t>
        </m:r>
      </m:oMath>
      <w:r>
        <w:t xml:space="preserve">, break-even margin</w:t>
      </w:r>
      <w:r>
        <w:t xml:space="preserve"> </w:t>
      </w:r>
      <m:oMath>
        <m:sSup>
          <m:e>
            <m:r>
              <m:t>β</m:t>
            </m:r>
          </m:e>
          <m:sup>
            <m:r>
              <m:rPr>
                <m:sty m:val="p"/>
              </m:rPr>
              <m:t>*</m:t>
            </m:r>
          </m:sup>
        </m:sSup>
      </m:oMath>
      <w:r>
        <w:t xml:space="preserve">, and action distributions are diagnostic summaries; similar radii do not establish empirical coverage or cross-topology transfer.</w:t>
      </w:r>
    </w:p>
    <w:tbl>
      <w:tblPr>
        <w:tblStyle w:val="Table"/>
        <w:tblW w:type="dxa" w:w="9960"/>
        <w:jc w:val="left"/>
        <w:tblLayout w:type="fixed"/>
        <w:tblLook w:firstRow="1" w:lastRow="0" w:firstColumn="0" w:lastColumn="0" w:noHBand="0" w:noVBand="0" w:val="0020"/>
        <w:tblCaption w:val="Table 11. Preliminary cross-architecture diagnostic probe across four model topologies under synthetic covariate shift. Disagreement measure \mu(D), conformal radius r, break-even margin \beta^*, and action distributions are diagnostic summaries; similar radii do not establish empirical coverage or cross-topology transf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77"/>
        <w:gridCol w:w="1986"/>
        <w:gridCol w:w="793"/>
        <w:gridCol w:w="1023"/>
        <w:gridCol w:w="793"/>
        <w:gridCol w:w="1252"/>
        <w:gridCol w:w="793"/>
        <w:gridCol w:w="2043"/>
      </w:tblGrid>
      <w:tr>
        <w:trPr>
          <w:tblHeader w:val="true"/>
          <w:cantSplit w:val="true"/>
        </w:trPr>
        <w:tc>
          <w:tcPr>
            <w:tcW w:w="127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Architecture</w:t>
            </w:r>
          </w:p>
        </w:tc>
        <w:tc>
          <w:tcPr>
            <w:tcW w:w="19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Family</w:t>
            </w:r>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Params</w:t>
            </w:r>
          </w:p>
        </w:tc>
        <w:tc>
          <w:tcPr>
            <w:tcW w:w="10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Disagreement</w:t>
            </w:r>
            <w:r>
              <w:rPr>
                <w:rFonts w:ascii="Times New Roman" w:hAnsi="Times New Roman"/>
                <w:b/>
                <w:sz w:val="14"/>
              </w:rPr>
              <w:t xml:space="preserve"> </w:t>
            </w:r>
            <m:oMath>
              <m:r>
                <m:t>μ</m:t>
              </m:r>
              <m:r>
                <m:rPr>
                  <m:sty m:val="p"/>
                </m:rPr>
                <m:t>(</m:t>
              </m:r>
              <m:r>
                <m:t>D</m:t>
              </m:r>
              <m:r>
                <m:rPr>
                  <m:sty m:val="p"/>
                </m:rPr>
                <m:t>)</m:t>
              </m:r>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Radius</w:t>
            </w:r>
            <w:r>
              <w:rPr>
                <w:rFonts w:ascii="Times New Roman" w:hAnsi="Times New Roman"/>
                <w:b/>
                <w:sz w:val="14"/>
              </w:rPr>
              <w:t xml:space="preserve"> </w:t>
            </w:r>
            <m:oMath>
              <m:r>
                <m:t>r</m:t>
              </m:r>
            </m:oMath>
          </w:p>
        </w:tc>
        <w:tc>
          <w:tcPr>
            <w:tcW w:w="12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Break-Even Margin</w:t>
            </w:r>
            <w:r>
              <w:rPr>
                <w:rFonts w:ascii="Times New Roman" w:hAnsi="Times New Roman"/>
                <w:b/>
                <w:sz w:val="14"/>
              </w:rPr>
              <w:t xml:space="preserve"> </w:t>
            </w:r>
            <m:oMath>
              <m:sSup>
                <m:e>
                  <m:r>
                    <m:t>β</m:t>
                  </m:r>
                </m:e>
                <m:sup>
                  <m:r>
                    <m:rPr>
                      <m:sty m:val="p"/>
                    </m:rPr>
                    <m:t>*</m:t>
                  </m:r>
                </m:sup>
              </m:sSup>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0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Observed Gate Action</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ResNet-18</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Standard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11.7M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0.1806</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ResNet-50</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Bottleneck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25.6M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0.1757</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0.1023</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0.1782</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ConvNeXt-Tiny</w:t>
            </w:r>
          </w:p>
        </w:tc>
        <w:tc>
          <w:tcPr>
            <w:tcW w:w="198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Modern Depthwise CNN</w:t>
            </w:r>
          </w:p>
        </w:tc>
        <w:tc>
          <w:tcPr>
            <w:tcW w:w="7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28.6M</w:t>
            </w:r>
          </w:p>
        </w:tc>
        <w:tc>
          <w:tcPr>
            <w:tcW w:w="10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0.1727</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4"/>
              </w:rPr>
              <w:t>ABSTAIN / FREEZE</w:t>
            </w:r>
          </w:p>
        </w:tc>
      </w:tr>
    </w:tbl>
    <w:p>
      <w:pPr>
        <w:pStyle w:val="BodyText"/>
        <w:widowControl/>
      </w:pPr>
      <w:r>
        <w:t xml:space="preserve">Across the four topologies, the disagreement region measure</w:t>
      </w:r>
      <w:r>
        <w:t xml:space="preserve"> </w:t>
      </w:r>
      <m:oMath>
        <m:r>
          <m:t>μ</m:t>
        </m:r>
        <m:r>
          <m:rPr>
            <m:sty m:val="p"/>
          </m:rPr>
          <m:t>(</m:t>
        </m:r>
        <m:r>
          <m:t>D</m:t>
        </m:r>
        <m:r>
          <m:rPr>
            <m:sty m:val="p"/>
          </m:rPr>
          <m:t>)</m:t>
        </m:r>
      </m:oMath>
      <w:r>
        <w:t xml:space="preserve"> </w:t>
      </w:r>
      <w:r>
        <w:t xml:space="preserve">(</w:t>
      </w:r>
      <m:oMath>
        <m:r>
          <m:t>0.1727</m:t>
        </m:r>
      </m:oMath>
      <w:r>
        <w:t xml:space="preserve">–</w:t>
      </w:r>
      <m:oMath>
        <m:r>
          <m:t>0.1806</m:t>
        </m:r>
      </m:oMath>
      <w:r>
        <w:t xml:space="preserve">) and the calibrated certificate radius</w:t>
      </w:r>
      <w:r>
        <w:t xml:space="preserve"> </w:t>
      </w:r>
      <m:oMath>
        <m:r>
          <m:t>r</m:t>
        </m:r>
        <m:r>
          <m:rPr>
            <m:sty m:val="p"/>
          </m:rPr>
          <m:t>=</m:t>
        </m:r>
        <m:r>
          <m:t>ε</m:t>
        </m:r>
        <m:r>
          <m:rPr>
            <m:sty m:val="p"/>
          </m:rPr>
          <m:t>+</m:t>
        </m:r>
        <m:r>
          <m:t>b</m:t>
        </m:r>
      </m:oMath>
      <w:r>
        <w:t xml:space="preserve"> </w:t>
      </w:r>
      <w:r>
        <w:t xml:space="preserve">(</w:t>
      </w:r>
      <m:oMath>
        <m:r>
          <m:t>0.1023</m:t>
        </m:r>
      </m:oMath>
      <w:r>
        <w:t xml:space="preserve">–</w:t>
      </w:r>
      <m:oMath>
        <m:r>
          <m:t>0.1026</m:t>
        </m:r>
      </m:oMath>
      <w:r>
        <w:t xml:space="preserve">) exhibit comparable scale on these evaluation batches. However, similar radii do not establish empirical coverage, which requires held-out inclusion testing. On these severe corruptions where unhedged adaptation collapses, the gate halts adaptation by issuing exclusively FREEZE or ABSTAIN actions. The recorded zero false-adapt rate (</w:t>
      </w:r>
      <m:oMath>
        <m:sSub>
          <m:e>
            <m:r>
              <m:rPr>
                <m:sty m:val="p"/>
              </m:rPr>
              <m:t>F</m:t>
            </m:r>
            <m:r>
              <m:rPr>
                <m:sty m:val="p"/>
              </m:rPr>
              <m:t>A</m:t>
            </m:r>
          </m:e>
          <m:sub>
            <m:r>
              <m:t>u</m:t>
            </m:r>
          </m:sub>
        </m:sSub>
        <m:r>
          <m:rPr>
            <m:sty m:val="p"/>
          </m:rPr>
          <m:t>=</m:t>
        </m:r>
        <m:r>
          <m:t>0.0000</m:t>
        </m:r>
      </m:oMath>
      <w:r>
        <w:t xml:space="preserve">) reflects zero ADAPT decisions; zero false ADAPT with zero ADAPT exposure demonstrates conservative retention in this probe, not active selection of beneficial updates.</w:t>
      </w:r>
    </w:p>
    <w:p>
      <w:pPr>
        <w:pStyle w:val="BodyText"/>
        <w:widowControl/>
      </w:pPr>
      <w:r>
        <w:t xml:space="preserve">Furthermore, we explored parameter-restricted adaptation hierarchies as an exploratory development ablation to understand the conservative retention observed on camera-trap shifts (Table 12).</w:t>
      </w:r>
    </w:p>
    <w:p>
      <w:pPr>
        <w:pStyle w:val="TableCaption"/>
        <w:widowControl/>
      </w:pPr>
      <w:r>
        <w:t xml:space="preserve">Table 12. Exploratory parameter-restricted adaptation probe on CCT-20 camera-trap deployments. Frozen-model retention denominator is 45/45 evaluated cells (9 target locations</w:t>
      </w:r>
      <w:r>
        <w:t xml:space="preserve"> </w:t>
      </w:r>
      <m:oMath>
        <m:r>
          <m:rPr>
            <m:sty m:val="p"/>
          </m:rPr>
          <m:t>×</m:t>
        </m:r>
      </m:oMath>
      <w:r>
        <w:t xml:space="preserve"> </w:t>
      </w:r>
      <w:r>
        <w:t xml:space="preserve">5 checkpoints) serving the frozen baseline. The break-even margin</w:t>
      </w:r>
      <w:r>
        <w:t xml:space="preserve"> </w:t>
      </w:r>
      <m:oMath>
        <m:sSup>
          <m:e>
            <m:r>
              <m:t>β</m:t>
            </m:r>
          </m:e>
          <m:sup>
            <m:r>
              <m:rPr>
                <m:sty m:val="p"/>
              </m:rPr>
              <m:t>*</m:t>
            </m:r>
          </m:sup>
        </m:sSup>
      </m:oMath>
      <w:r>
        <w:t xml:space="preserve"> </w:t>
      </w:r>
      <w:r>
        <w:t xml:space="preserve">indicates the local empirical tolerance for overturning the decision, not population truth.</w:t>
      </w:r>
    </w:p>
    <w:tbl>
      <w:tblPr>
        <w:tblStyle w:val="Table"/>
        <w:tblW w:type="dxa" w:w="9960"/>
        <w:jc w:val="left"/>
        <w:tblLayout w:type="fixed"/>
        <w:tblLook w:firstRow="1" w:lastRow="0" w:firstColumn="0" w:lastColumn="0" w:noHBand="0" w:noVBand="0" w:val="0020"/>
        <w:tblCaption w:val="Table 12. Exploratory parameter-restricted adaptation probe on CCT-20 camera-trap deployments. Frozen-model retention denominator is 45/45 evaluated cells (9 target locations \times 5 checkpoints) serving the frozen baseline. The break-even margin \beta^* indicates the local empirical tolerance for overturning the decision, not population truth."/>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43"/>
        <w:gridCol w:w="2484"/>
        <w:gridCol w:w="599"/>
        <w:gridCol w:w="599"/>
        <w:gridCol w:w="2204"/>
        <w:gridCol w:w="2531"/>
      </w:tblGrid>
      <w:tr>
        <w:trPr>
          <w:tblHeader w:val="true"/>
          <w:cantSplit w:val="true"/>
        </w:trPr>
        <w:tc>
          <w:tcPr>
            <w:tcW w:w="15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Adaptation Regime</w:t>
            </w:r>
          </w:p>
        </w:tc>
        <w:tc>
          <w:tcPr>
            <w:tcW w:w="24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Parameter Update Scope</w:t>
            </w:r>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Mean</w:t>
            </w:r>
            <w:r>
              <w:rPr>
                <w:rFonts w:ascii="Times New Roman" w:hAnsi="Times New Roman"/>
                <w:b/>
                <w:sz w:val="15"/>
              </w:rPr>
              <w:t xml:space="preserve"> </w:t>
            </w:r>
            <m:oMath>
              <m:sSup>
                <m:e>
                  <m:r>
                    <m:t>β</m:t>
                  </m:r>
                </m:e>
                <m:sup>
                  <m:r>
                    <m:rPr>
                      <m:sty m:val="p"/>
                    </m:rPr>
                    <m:t>*</m:t>
                  </m:r>
                </m:sup>
              </m:sSup>
            </m:oMath>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20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Frozen Retention (45/45)</w:t>
            </w:r>
          </w:p>
        </w:tc>
        <w:tc>
          <w:tcPr>
            <w:tcW w:w="253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Mechanism</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Full TTA (Tent/SAR)</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All affine weights &amp; biases</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0.070</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Avoids measured adaptation degradation</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Norm Stats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Running mean &amp; var calibration</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0.022</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Dampens feature drift</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Head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Final classification layer only</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0.013</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Preserves representations</w:t>
            </w:r>
          </w:p>
        </w:tc>
      </w:tr>
      <w:tr>
        <w:trPr>
          <w:cantSplit w:val="true"/>
        </w:trPr>
        <w:tc>
          <w:tcPr>
            <w:tcW w:w="154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Entropy-Gated Partial</w:t>
            </w:r>
          </w:p>
        </w:tc>
        <w:tc>
          <w:tcPr>
            <w:tcW w:w="24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High-confidence units (probe)</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Exploratory development probe</w:t>
            </w:r>
          </w:p>
        </w:tc>
      </w:tr>
    </w:tbl>
    <w:p>
      <w:pPr>
        <w:pStyle w:val="BodyText"/>
        <w:widowControl/>
      </w:pPr>
      <w:r>
        <w:t xml:space="preserve">On the 45 CCT-20 evaluation cells, unconstrained full adaptation harms accuracy on 44 of 45 cells. KGA served the frozen model across all 45 cells (100% frozen-model retention: 44 FREEZE, 1 ABSTAIN, 0 ADAPT), avoiding the measured adaptation degradation. In exploratory development probes restricting updates to normalization statistics or prediction heads, drift is dampened (</w:t>
      </w:r>
      <m:oMath>
        <m:sSup>
          <m:e>
            <m:r>
              <m:t>β</m:t>
            </m:r>
          </m:e>
          <m:sup>
            <m:r>
              <m:rPr>
                <m:sty m:val="p"/>
              </m:rPr>
              <m:t>*</m:t>
            </m:r>
          </m:sup>
        </m:sSup>
        <m:r>
          <m:rPr>
            <m:sty m:val="p"/>
          </m:rPr>
          <m:t>=</m:t>
        </m:r>
        <m:r>
          <m:t>0.013</m:t>
        </m:r>
      </m:oMath>
      <w:r>
        <w:t xml:space="preserve">–</w:t>
      </w:r>
      <m:oMath>
        <m:r>
          <m:t>0.022</m:t>
        </m:r>
      </m:oMath>
      <w:r>
        <w:t xml:space="preserve">, where</w:t>
      </w:r>
      <w:r>
        <w:t xml:space="preserve"> </w:t>
      </w:r>
      <m:oMath>
        <m:sSup>
          <m:e>
            <m:r>
              <m:t>β</m:t>
            </m:r>
          </m:e>
          <m:sup>
            <m:r>
              <m:rPr>
                <m:sty m:val="p"/>
              </m:rPr>
              <m:t>*</m:t>
            </m:r>
          </m:sup>
        </m:sSup>
      </m:oMath>
      <w:r>
        <w:t xml:space="preserve"> </w:t>
      </w:r>
      <w:r>
        <w:t xml:space="preserve">denotes the local empirical break-even margin). However, within the maintained benchmark, all 45 cells retain the frozen baseline; these exploratory probes remain development diagnostics and do not demonstrate active opportunistic adaptation on unseen natural shifts.</w:t>
      </w:r>
    </w:p>
    <w:bookmarkEnd w:id="64"/>
    <w:bookmarkEnd w:id="65"/>
    <w:bookmarkStart w:id="71" w:name="limitations-and-broader-impact"/>
    <w:p>
      <w:pPr>
        <w:pStyle w:val="Heading1"/>
        <w:widowControl/>
      </w:pPr>
      <w:r>
        <w:t xml:space="preserve">9 Limitations and Broader Impact</w:t>
      </w:r>
    </w:p>
    <w:bookmarkStart w:id="68"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6" w:name="Xa1fd6aacd141cb078f6fb207d745aee58359228"/>
    <w:p>
      <w:pPr>
        <w:pStyle w:val="Heading3"/>
        <w:keepNext/>
        <w:widowControl/>
        <w:spacing w:before="100" w:after="20" w:line="252" w:lineRule="auto"/>
      </w:pPr>
      <w:r>
        <w:rPr>
          <w:rFonts w:ascii="Times New Roman" w:hAnsi="Times New Roman" w:eastAsia="Times New Roman" w:cs="Times New Roman"/>
          <w:b/>
          <w:sz w:val="19"/>
        </w:rPr>
        <w:t xml:space="preserve">Withdrawal of the development-based surrogate for</w:t>
      </w:r>
      <w:r>
        <w:rPr>
          <w:rFonts w:ascii="Times New Roman" w:hAnsi="Times New Roman" w:eastAsia="Times New Roman" w:cs="Times New Roman"/>
          <w:b/>
          <w:sz w:val="19"/>
        </w:rPr>
        <w:t xml:space="preserve"> </w:t>
      </w:r>
      <m:oMath>
        <m:r>
          <m:t>β</m:t>
        </m:r>
      </m:oMath>
      <w:r>
        <w:rPr>
          <w:rFonts w:ascii="Times New Roman" w:hAnsi="Times New Roman" w:eastAsia="Times New Roman" w:cs="Times New Roman"/>
          <w:b/>
          <w:sz w:val="19"/>
        </w:rPr>
        <w:t xml:space="preserve">.</w:t>
      </w:r>
    </w:p>
    <w:p>
      <w:pPr>
        <w:pStyle w:val="FirstParagraph"/>
        <w:widowControl/>
      </w:pPr>
      <w:r>
        <w:t xml:space="preserve">We evaluated whether an empirical benefit-scale proxy computed from development shifts could serve</w:t>
      </w:r>
      <w:r>
        <w:t xml:space="preserve"> </w:t>
      </w:r>
      <w:r>
        <w:t xml:space="preserve">as an operational surrogate for</w:t>
      </w:r>
      <w:r>
        <w:t xml:space="preserve"> </w:t>
      </w:r>
      <m:oMath>
        <m:r>
          <m:t>β</m:t>
        </m:r>
      </m:oMath>
      <w:r>
        <w:t xml:space="preserve">. On CIFAR-10-C, this heuristic surrogate proved</w:t>
      </w:r>
      <w:r>
        <w:t xml:space="preserve"> </w:t>
      </w:r>
      <m:oMath>
        <m:r>
          <m:t>1.4</m:t>
        </m:r>
      </m:oMath>
      <w:r>
        <w:t xml:space="preserve">–</w:t>
      </w:r>
      <m:oMath>
        <m:r>
          <m:t>50</m:t>
        </m:r>
        <m:r>
          <m:rPr>
            <m:sty m:val="p"/>
          </m:rPr>
          <m:t>×</m:t>
        </m:r>
      </m:oMath>
      <w:r>
        <w:t xml:space="preserve"> </w:t>
      </w:r>
      <w:r>
        <w:t xml:space="preserve">too small for operational soundness: 24–73% of evaluation cells produced measured outcomes outside</w:t>
      </w:r>
      <w:r>
        <w:t xml:space="preserve"> </w:t>
      </w:r>
      <w:r>
        <w:t xml:space="preserve">the proxy-declared interval, and commit error reached 0.4–16.6%. On ImageNet-C, the heuristic returned</w:t>
      </w:r>
      <w:r>
        <w:t xml:space="preserve"> </w:t>
      </w:r>
      <w:r>
        <w:t xml:space="preserve">zero commitments across all 405 evaluation cells in 5 of 10 configurations.</w:t>
      </w:r>
      <w:r>
        <w:t xml:space="preserve"> </w:t>
      </w:r>
      <w:r>
        <w:t xml:space="preserve">We therefore withdraw this empirical surrogate route. The historical proxy failure is consistent with</w:t>
      </w:r>
      <w:r>
        <w:t xml:space="preserve"> </w:t>
      </w:r>
      <w:r>
        <w:t xml:space="preserve">the theorem’s warning that processing unchanged evidence cannot replace a justified structural assumption.</w:t>
      </w:r>
      <w:r>
        <w:t xml:space="preserve"> </w:t>
      </w:r>
      <w:r>
        <w:t xml:space="preserve">The theorem does not identify the cause or magnitude of this particular proxy’s errors. Rather,</w:t>
      </w:r>
      <w:r>
        <w:t xml:space="preserve"> </w:t>
      </w:r>
      <w:r>
        <w:t xml:space="preserve">Theorem 3 shows why</w:t>
      </w:r>
      <w:r>
        <w:t xml:space="preserve"> </w:t>
      </w:r>
      <m:oMath>
        <m:r>
          <m:t>β</m:t>
        </m:r>
      </m:oMath>
      <w:r>
        <w:t xml:space="preserve"> </w:t>
      </w:r>
      <w:r>
        <w:t xml:space="preserve">cannot be audited from label-free target</w:t>
      </w:r>
      <w:r>
        <w:t xml:space="preserve"> </w:t>
      </w:r>
      <w:r>
        <w:t xml:space="preserve">data alone within this rich kernel class; population guarantees within this framework without coupled target labels</w:t>
      </w:r>
      <w:r>
        <w:t xml:space="preserve"> </w:t>
      </w:r>
      <w:r>
        <w:t xml:space="preserve">or alternative structural assumptions (such as those discussed in Section 5.5) require</w:t>
      </w:r>
      <w:r>
        <w:t xml:space="preserve"> </w:t>
      </w:r>
      <w:r>
        <w:t xml:space="preserve">treating</w:t>
      </w:r>
      <w:r>
        <w:t xml:space="preserve"> </w:t>
      </w:r>
      <m:oMath>
        <m:r>
          <m:t>β</m:t>
        </m:r>
      </m:oMath>
      <w:r>
        <w:t xml:space="preserve"> </w:t>
      </w:r>
      <w:r>
        <w:t xml:space="preserve">as an externally declared sensitivity parameter (by analogy to sensitivity analysis in causal inference), while</w:t>
      </w:r>
      <w:r>
        <w:t xml:space="preserve"> </w:t>
      </w:r>
      <w:r>
        <w:t xml:space="preserve">KGA pursues empirical evaluation-cell interval coverage through historical shift benchmarks.</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p>
    <w:bookmarkEnd w:id="66"/>
    <w:bookmarkStart w:id="67"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67"/>
    <w:bookmarkEnd w:id="68"/>
    <w:bookmarkStart w:id="69" w:name="X2ccc22d7cc2d719c74eaaee90fe23681cc21526"/>
    <w:p>
      <w:pPr>
        <w:pStyle w:val="Heading2"/>
        <w:widowControl/>
      </w:pPr>
      <w:r>
        <w:t xml:space="preserve">9.2 Core Empirical Delimitations and Open Frontiers</w:t>
      </w:r>
    </w:p>
    <w:p>
      <w:pPr>
        <w:pStyle w:val="FirstParagraph"/>
        <w:widowControl/>
      </w:pPr>
      <w:r>
        <w:t xml:space="preserve">We consolidate the essential empirical boundaries of the current evidence into four concrete delimitations:</w:t>
      </w:r>
    </w:p>
    <w:p>
      <w:pPr>
        <w:widowControl/>
        <w:numPr>
          <w:ilvl w:val="0"/>
          <w:numId w:val="1009"/>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provides mixed-sign whole-slide-imaging OOD routing evidence but does not establish prospective transfer.</w:t>
      </w:r>
    </w:p>
    <w:p>
      <w:pPr>
        <w:widowControl/>
        <w:numPr>
          <w:ilvl w:val="0"/>
          <w:numId w:val="1009"/>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Protocol B cross-fitting.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widowControl/>
        <w:numPr>
          <w:ilvl w:val="0"/>
          <w:numId w:val="1009"/>
        </w:numPr>
      </w:pPr>
      <w:r>
        <w:rPr>
          <w:b/>
          <w:bCs/>
        </w:rPr>
        <w:t xml:space="preserve">Independent-Checkpoint Replication:</w:t>
      </w:r>
      <w:r>
        <w:t xml:space="preserve"> </w:t>
      </w:r>
      <w:r>
        <w:t xml:space="preserve">The original 2,160-cell CIFAR-10-C panel reused one source checkpoint. We subsequently trained two independent ResNet-18 checkpoints and evaluated both helpful-only and mixed-sign 36-condition panels (Appendix B.3.3). On the mixed-sign panel, 39–42% of conditions were harmful, and KGA had lower point oracle regret than both fixed policies on all three source models. This addresses model-initialization replication within ResNet-18. A retrospective cross-architecture diagnostic is reported in Appendix B.8.2, while prospective architecture-level transfer to unseen model families and environments remains untested.</w:t>
      </w:r>
    </w:p>
    <w:p>
      <w:pPr>
        <w:widowControl/>
        <w:numPr>
          <w:ilvl w:val="0"/>
          <w:numId w:val="1009"/>
        </w:numPr>
      </w:pPr>
      <w:r>
        <w:rPr>
          <w:b/>
          <w:bCs/>
        </w:rPr>
        <w:t xml:space="preserve">Hardware and External Baseline Dependencies:</w:t>
      </w:r>
      <w:r>
        <w:t xml:space="preserve"> </w:t>
      </w: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An authenticated head-to-head comparison with the authenticated native AETTA accuracy estimator with an explicitly specified recovery rule is reported on the multi-model mixed-sign panel in Appendix B.3.4. However, full execution of other external baseline drivers remains constrained by documented dependencies: for Kim et al.’s TTA/ALine [51], an upstream repository HTTP 404 encountered during audit prevented verified local native execution (0/15 available in the authenticated benchmark panel); Baek et al.’s ALine [17] has partial component availability (11/15 available), and original POEM pipelines require upstream external library versions and native CUDA configurations.</w:t>
      </w:r>
    </w:p>
    <w:p>
      <w:pPr>
        <w:pStyle w:val="FirstParagraph"/>
        <w:widowControl/>
      </w:pPr>
      <w:r>
        <w:t xml:space="preserve">Together, these delimitations define the exact scope of our empirical findings: 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69"/>
    <w:bookmarkStart w:id="70"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Deployment should preserve the assessment reason and</w:t>
      </w:r>
      <w:r>
        <w:t xml:space="preserve"> </w:t>
      </w:r>
      <w:r>
        <w:t xml:space="preserve">connect unresolved cases to a domain-appropriate review or evidence-acquisition process.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The maintained software distinguishes an unavailable assessment from a supported negative interval.</w:t>
      </w:r>
      <w:r>
        <w:t xml:space="preserve"> </w:t>
      </w:r>
      <w:r>
        <w:t xml:space="preserve">Its tests and proof artifacts document a scoped validity, commitment-control, and rollback layer;</w:t>
      </w:r>
      <w:r>
        <w:t xml:space="preserve"> </w:t>
      </w:r>
      <w:r>
        <w:t xml:space="preserve">they do not certify every data pipeline or production system. Reproduction instructions, formal</w:t>
      </w:r>
      <w:r>
        <w:t xml:space="preserve"> </w:t>
      </w:r>
      <w:r>
        <w:t xml:space="preserve">scope, excluded historical extensions, and release checks are provided in the supplement.</w:t>
      </w:r>
    </w:p>
    <w:bookmarkEnd w:id="70"/>
    <w:bookmarkEnd w:id="71"/>
    <w:bookmarkStart w:id="72" w:name="conclusion"/>
    <w:p>
      <w:pPr>
        <w:pStyle w:val="Heading1"/>
        <w:widowControl/>
      </w:pPr>
      <w:r>
        <w:t xml:space="preserve">10 Conclusion</w:t>
      </w:r>
    </w:p>
    <w:p>
      <w:pPr>
        <w:pStyle w:val="FirstParagraph"/>
        <w:widowControl/>
      </w:pPr>
      <w:r>
        <w:t xml:space="preserve">K-Bound separates information that is absent from uncertainty that can be estimated.</w:t>
      </w:r>
      <w:r>
        <w:t xml:space="preserve"> </w:t>
      </w:r>
      <w:r>
        <w:t xml:space="preserve">For a fixed model pair in the declared binary class, the feasible population benefit set determines</w:t>
      </w:r>
      <w:r>
        <w:t xml:space="preserve"> </w:t>
      </w:r>
      <w:r>
        <w:t xml:space="preserve">when a strict direction is supported. The evidence-fibre audit result shows why the same unlabeled</w:t>
      </w:r>
      <w:r>
        <w:t xml:space="preserve"> </w:t>
      </w:r>
      <w:r>
        <w:t xml:space="preserve">observations cannot remove the unresolved residual bound.</w:t>
      </w:r>
    </w:p>
    <w:p>
      <w:pPr>
        <w:pStyle w:val="BodyText"/>
        <w:widowControl/>
      </w:pPr>
      <w:r>
        <w:t xml:space="preserve">KGA is an empirical companion: it predicts a measured cell benefit and uses an interval to accept,</w:t>
      </w:r>
      <w:r>
        <w:t xml:space="preserve"> </w:t>
      </w:r>
      <w:r>
        <w:t xml:space="preserve">reject, or defer an update. The controlled results show candidate-specific routing value.</w:t>
      </w:r>
      <w:r>
        <w:t xml:space="preserve"> </w:t>
      </w:r>
      <w:r>
        <w:t xml:space="preserve">The CCT-20 result shows conservative retention, while the So2Sat development stop exposes a transfer</w:t>
      </w:r>
      <w:r>
        <w:t xml:space="preserve"> </w:t>
      </w:r>
      <w:r>
        <w:t xml:space="preserve">limit. Together they motivate evidence-aware commitment, with the validity of each conclusion tied</w:t>
      </w:r>
      <w:r>
        <w:t xml:space="preserve"> </w:t>
      </w:r>
      <w:r>
        <w:t xml:space="preserve">to its stated target and assumptions. Stronger natural-shift routing and independent coverage</w:t>
      </w:r>
      <w:r>
        <w:t xml:space="preserve"> </w:t>
      </w:r>
      <w:r>
        <w:t xml:space="preserve">validation remain open empirical questions.</w:t>
      </w:r>
    </w:p>
    <w:bookmarkEnd w:id="72"/>
    <w:bookmarkStart w:id="76" w:name="references"/>
    <w:p>
      <w:pPr>
        <w:pStyle w:val="Heading1"/>
        <w:widowControl/>
      </w:pPr>
      <w:r>
        <w:t xml:space="preserve">References</w:t>
      </w:r>
    </w:p>
    <w:p>
      <w:pPr>
        <w:widowControl/>
        <w:numPr>
          <w:ilvl w:val="0"/>
          <w:numId w:val="1010"/>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10"/>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10"/>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10"/>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10"/>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10"/>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10"/>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10"/>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10"/>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10"/>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73">
        <w:r>
          <w:rPr>
            <w:rStyle w:val="Hyperlink"/>
          </w:rPr>
          <w:t xml:space="preserve">https://proceedings.mlr.press/v267/chen25ch.html</w:t>
        </w:r>
      </w:hyperlink>
      <w:r>
        <w:rPr>
          <w:rFonts w:ascii="Times New Roman" w:hAnsi="Times New Roman"/>
          <w:sz w:val="16"/>
        </w:rPr>
        <w:t xml:space="preserve">.</w:t>
      </w:r>
    </w:p>
    <w:p>
      <w:pPr>
        <w:widowControl/>
        <w:numPr>
          <w:ilvl w:val="0"/>
          <w:numId w:val="1010"/>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10"/>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10"/>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10"/>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10"/>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10"/>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10"/>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10"/>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10"/>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10"/>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10"/>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10"/>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10"/>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10"/>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10"/>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10"/>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10"/>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10"/>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10"/>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10"/>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10"/>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10"/>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10"/>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10"/>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10"/>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10"/>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10"/>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10"/>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10"/>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10"/>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10"/>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10"/>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10"/>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10"/>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10"/>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10"/>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10"/>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10"/>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10"/>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4">
        <w:r>
          <w:rPr>
            <w:rStyle w:val="Hyperlink"/>
          </w:rPr>
          <w:t xml:space="preserve">https://proceedings.mlr.press/v9/david10a.html</w:t>
        </w:r>
      </w:hyperlink>
      <w:r>
        <w:rPr>
          <w:rFonts w:ascii="Times New Roman" w:hAnsi="Times New Roman"/>
          <w:sz w:val="16"/>
        </w:rPr>
        <w:t xml:space="preserve">.</w:t>
      </w:r>
    </w:p>
    <w:p>
      <w:pPr>
        <w:widowControl/>
        <w:numPr>
          <w:ilvl w:val="0"/>
          <w:numId w:val="1010"/>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10"/>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5">
        <w:r>
          <w:rPr>
            <w:rStyle w:val="Hyperlink"/>
          </w:rPr>
          <w:t xml:space="preserve">10.52202/079017-3820</w:t>
        </w:r>
      </w:hyperlink>
      <w:r>
        <w:rPr>
          <w:rFonts w:ascii="Times New Roman" w:hAnsi="Times New Roman"/>
          <w:sz w:val="16"/>
        </w:rPr>
        <w:t xml:space="preserve">.</w:t>
      </w:r>
    </w:p>
    <w:p>
      <w:pPr>
        <w:widowControl/>
        <w:numPr>
          <w:ilvl w:val="0"/>
          <w:numId w:val="1010"/>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10"/>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10"/>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p>
      <w:pPr>
        <w:widowControl/>
        <w:numPr>
          <w:ilvl w:val="0"/>
          <w:numId w:val="1010"/>
        </w:numPr>
        <w:spacing w:after="20" w:line="240" w:lineRule="auto"/>
      </w:pPr>
      <w:r>
        <w:rPr>
          <w:rFonts w:ascii="Times New Roman" w:hAnsi="Times New Roman"/>
          <w:sz w:val="16"/>
        </w:rPr>
        <w:t xml:space="preserve">P. R. Rosenbaum.</w:t>
      </w:r>
      <w:r>
        <w:rPr>
          <w:rFonts w:ascii="Times New Roman" w:hAnsi="Times New Roman"/>
          <w:sz w:val="16"/>
        </w:rPr>
        <w:t xml:space="preserve"> </w:t>
      </w:r>
      <w:r>
        <w:rPr>
          <w:rFonts w:ascii="Times New Roman" w:hAnsi="Times New Roman"/>
          <w:i/>
          <w:iCs/>
          <w:sz w:val="16"/>
        </w:rPr>
        <w:t xml:space="preserve">Observational Studies</w:t>
      </w:r>
      <w:r>
        <w:rPr>
          <w:rFonts w:ascii="Times New Roman" w:hAnsi="Times New Roman"/>
          <w:sz w:val="16"/>
        </w:rPr>
        <w:t xml:space="preserve">. Springer, New York, 2002.</w:t>
      </w:r>
    </w:p>
    <w:bookmarkEnd w:id="76"/>
    <w:bookmarkStart w:id="91"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77" w:name="Xf0cd6bc7119b4d96c3873b1362b05324b174b39"/>
    <w:p>
      <w:pPr>
        <w:pStyle w:val="Heading2"/>
        <w:widowControl/>
      </w:pPr>
      <w:r>
        <w:t xml:space="preserve">A.1 Unit Scaling and the Category Error of</w:t>
      </w:r>
      <w:r>
        <w:t xml:space="preserve"> </w:t>
      </w:r>
      <m:oMath>
        <m:r>
          <m:t>ε</m:t>
        </m:r>
        <m:r>
          <m:rPr>
            <m:sty m:val="p"/>
          </m:rPr>
          <m:t>=</m:t>
        </m:r>
        <m:r>
          <m:t>β</m:t>
        </m:r>
      </m:oMath>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t> </m:t>
          </m:r>
          <m:r>
            <m:rPr>
              <m:nor/>
              <m:sty m:val="p"/>
            </m:rPr>
            <m:t>(14)</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t> </m:t>
          </m:r>
          <m:r>
            <m:rPr>
              <m:nor/>
              <m:sty m:val="p"/>
            </m:rPr>
            <m:t>(15)</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t> </m:t>
          </m:r>
          <m:r>
            <m:rPr>
              <m:nor/>
              <m:sty m:val="p"/>
            </m:rPr>
            <m:t>(16)</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r>
          <m:rPr>
            <m:sty m:val="p"/>
          </m:rPr>
          <m:t>=</m:t>
        </m:r>
        <m:r>
          <m:t>β</m:t>
        </m:r>
      </m:oMath>
      <w:r>
        <w:t xml:space="preserve"> </w:t>
      </w:r>
      <w:r>
        <w:t xml:space="preserve">is therefore</w:t>
      </w:r>
      <w:r>
        <w:t xml:space="preserve"> </w:t>
      </w:r>
      <w:r>
        <w:t xml:space="preserve">a dimensional and conceptual category error:</w:t>
      </w:r>
      <w:r>
        <w:t xml:space="preserve"> </w:t>
      </w:r>
      <m:oMath>
        <m:r>
          <m:t>β</m:t>
        </m:r>
      </m:oMath>
      <w:r>
        <w:t xml:space="preserve"> </w:t>
      </w:r>
      <w:r>
        <w:t xml:space="preserve">bounds a conditional score bias on</w:t>
      </w:r>
      <w:r>
        <w:t xml:space="preserve"> </w:t>
      </w:r>
      <m:oMath>
        <m:r>
          <m:t>D</m:t>
        </m:r>
      </m:oMath>
      <w:r>
        <w:t xml:space="preserve">, whereas</w:t>
      </w:r>
      <w:r>
        <w:t xml:space="preserve"> </w:t>
      </w:r>
      <m:oMath>
        <m:r>
          <m:t>ε</m:t>
        </m:r>
      </m:oMath>
      <w:r>
        <w:t xml:space="preserve"> </w:t>
      </w:r>
      <w:r>
        <w:t xml:space="preserve">measures prediction error for an empirical cell outcome on the entire input domain. While numerical equality</w:t>
      </w:r>
      <w:r>
        <w:t xml:space="preserve"> </w:t>
      </w:r>
      <w:r>
        <w:t xml:space="preserve">could occur by accidental coincidence, identifying their mathematical definitions is fundamentally incorrect.</w:t>
      </w:r>
    </w:p>
    <w:bookmarkEnd w:id="77"/>
    <w:bookmarkStart w:id="78"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78"/>
    <w:bookmarkStart w:id="79"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11"/>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11"/>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11"/>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11"/>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11"/>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79"/>
    <w:bookmarkStart w:id="84"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(17)</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t> </m:t>
          </m:r>
          <m:r>
            <m:rPr>
              <m:nor/>
              <m:sty m:val="p"/>
            </m:rPr>
            <m:t>(18)</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(19)</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t> </m:t>
          </m:r>
          <m:r>
            <m:rPr>
              <m:nor/>
              <m:sty m:val="p"/>
            </m:rPr>
            <m:t>(20)</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(21)</m:t>
          </m:r>
        </m:oMath>
      </m:oMathPara>
    </w:p>
    <w:p>
      <w:pPr>
        <w:pStyle w:val="FirstParagraph"/>
        <w:widowControl/>
      </w:pPr>
      <w:r>
        <w:rPr>
          <w:i/>
          <w:iCs/>
        </w:rPr>
        <w:t xml:space="preserve">Proof.</w:t>
      </w:r>
      <w:r>
        <w:t xml:space="preserve"> </w:t>
      </w:r>
      <w:r>
        <w:t xml:space="preserve">The proof proceeds in four discrete steps:</w:t>
      </w:r>
    </w:p>
    <w:bookmarkStart w:id="80"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80"/>
    <w:bookmarkStart w:id="81"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81"/>
    <w:bookmarkStart w:id="82"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82"/>
    <w:bookmarkStart w:id="83"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83"/>
    <w:bookmarkEnd w:id="84"/>
    <w:bookmarkStart w:id="85" w:name="X9103471d99c25e047733712edddfb610e21cce4"/>
    <w:p>
      <w:pPr>
        <w:pStyle w:val="Heading2"/>
        <w:widowControl/>
      </w:pPr>
      <w:r>
        <w:t xml:space="preserve">A.5 The Price of Rigor: Sample Size vs. Abstention Analysis</w:t>
      </w:r>
    </w:p>
    <w:p>
      <w:pPr>
        <w:pStyle w:val="FirstParagraph"/>
        <w:widowControl/>
      </w:pPr>
      <w:r>
        <w:t xml:space="preserve">Theorem 4 explains mathematically why empirical test-time adaptation gates frequently abstain</w:t>
      </w:r>
      <w:r>
        <w:t xml:space="preserve"> </w:t>
      </w:r>
      <w:r>
        <w:t xml:space="preserve">when rigorous population validity is demanded.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13. Sampling error radius</w:t>
      </w:r>
      <w:r>
        <w:t xml:space="preserve"> </w:t>
      </w:r>
      <m:oMath>
        <m:r>
          <m:t>b</m:t>
        </m:r>
        <m:r>
          <m:rPr>
            <m:sty m:val="p"/>
          </m:rPr>
          <m:t>(</m:t>
        </m:r>
        <m:r>
          <m:t>m</m:t>
        </m:r>
        <m:r>
          <m:rPr>
            <m:sty m:val="p"/>
          </m:rPr>
          <m:t>,</m:t>
        </m:r>
        <m:r>
          <m:t>δ</m:t>
        </m:r>
        <m:r>
          <m:rPr>
            <m:sty m:val="p"/>
          </m:rPr>
          <m:t>)</m:t>
        </m:r>
      </m:oMath>
      <w:r>
        <w:t xml:space="preserve"> </w:t>
      </w:r>
      <w:r>
        <w:t xml:space="preserve">for paired zero-one accuracy differences at</w:t>
      </w:r>
      <w:r>
        <w:t xml:space="preserve"> </w:t>
      </w:r>
      <m:oMath>
        <m:r>
          <m:t>δ</m:t>
        </m:r>
        <m:r>
          <m:rPr>
            <m:sty m:val="p"/>
          </m:rPr>
          <m:t>=</m:t>
        </m:r>
        <m:r>
          <m:t>0.05</m:t>
        </m:r>
      </m:oMath>
      <w:r>
        <w:t xml:space="preserve"> </w:t>
      </w:r>
      <w:r>
        <w:t xml:space="preserve">(</w:t>
      </w:r>
      <m:oMath>
        <m:r>
          <m:t>95</m:t>
        </m:r>
        <m:r>
          <m:rPr>
            <m:sty m:val="p"/>
          </m:rPr>
          <m:t>%</m:t>
        </m:r>
      </m:oMath>
      <w:r>
        <w:t xml:space="preserve"> </w:t>
      </w:r>
      <w:r>
        <w:t xml:space="preserve">concentration confidence) across evaluation sample sizes</w:t>
      </w:r>
      <w:r>
        <w:t xml:space="preserve"> </w:t>
      </w:r>
      <m:oMath>
        <m:r>
          <m:t>m</m:t>
        </m:r>
      </m:oMath>
      <w:r>
        <w:t xml:space="preserve">.</w:t>
      </w:r>
    </w:p>
    <w:tbl>
      <w:tblPr>
        <w:tblStyle w:val="Table"/>
        <w:tblW w:type="dxa" w:w="9960"/>
        <w:jc w:val="left"/>
        <w:tblLayout w:type="fixed"/>
        <w:tblLook w:firstRow="0" w:lastRow="0" w:firstColumn="0" w:lastColumn="0" w:noHBand="0" w:noVBand="0" w:val="0000"/>
        <w:tblCaption w:val="Table 13.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031"/>
        <w:gridCol w:w="3464"/>
        <w:gridCol w:w="3465"/>
      </w:tblGrid>
      <w:tr>
        <w:trPr>
          <w:cantSplit w:val="true"/>
          <w:tblHeader w:val="true"/>
        </w:trPr>
        <w:tc>
          <w:tcPr>
            <w:tcW w:w="3031"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4"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5"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Size</w:t>
            </w:r>
            <w:r>
              <w:rPr>
                <w:rFonts w:ascii="Times New Roman" w:hAnsi="Times New Roman"/>
                <w:sz w:val="17"/>
              </w:rPr>
              <w:t xml:space="preserve"> </w:t>
            </w:r>
            <m:oMath>
              <m:r>
                <m:t>m</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r>
                <m:t>0.05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r>
                <m:t>ε</m:t>
              </m:r>
              <m:r>
                <m:rPr>
                  <m:sty m:val="p"/>
                </m:rPr>
                <m:t>=</m:t>
              </m:r>
              <m:r>
                <m:t>0.015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64</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0.3396</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0.3546</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0.1921</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0.2071</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512</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0.1200</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0.1350</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0.0859</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0.1009</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0.0384</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0.0534</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0.0272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0.0422</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0.0192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85"/>
    <w:bookmarkStart w:id="86"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t> </m:t>
          </m:r>
          <m:r>
            <m:rPr>
              <m:nor/>
              <m:sty m:val="p"/>
            </m:rPr>
            <m:t>(22)</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t> </m:t>
          </m:r>
          <m:r>
            <m:rPr>
              <m:nor/>
              <m:sty m:val="p"/>
            </m:rPr>
            <m:t>(23)</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t> </m:t>
          </m:r>
          <m:r>
            <m:rPr>
              <m:nor/>
              <m:sty m:val="p"/>
            </m:rPr>
            <m:t>(24)</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While this rule directly embodies Theorem 2, it still requires an externally declared</w:t>
      </w:r>
      <w:r>
        <w:t xml:space="preserve"> </w:t>
      </w:r>
      <w:r>
        <w:t xml:space="preserve">budget</w:t>
      </w:r>
      <w:r>
        <w:t xml:space="preserve"> </w:t>
      </w:r>
      <m:oMath>
        <m:r>
          <m:t>β</m:t>
        </m:r>
      </m:oMath>
      <w:r>
        <w:t xml:space="preserve">, proving once again that label-free data alone cannot resolve structural non-identifiability.</w:t>
      </w:r>
    </w:p>
    <w:bookmarkEnd w:id="86"/>
    <w:bookmarkStart w:id="90" w:name="X1fb53aba095d158ecbae1a06cafece3393a3b55"/>
    <w:p>
      <w:pPr>
        <w:pStyle w:val="Heading2"/>
        <w:widowControl/>
      </w:pPr>
      <w:r>
        <w:t xml:space="preserve">A.7 Explicit Implementation Boundaries and Operational Scope</w:t>
      </w:r>
    </w:p>
    <w:p>
      <w:pPr>
        <w:pStyle w:val="FirstParagraph"/>
        <w:widowControl/>
      </w:pPr>
      <w:r>
        <w:t xml:space="preserve">To maintain absolute transparency regarding theoretical constructs versus empirical evaluations,</w:t>
      </w:r>
      <w:r>
        <w:t xml:space="preserve"> </w:t>
      </w:r>
      <w:r>
        <w:t xml:space="preserve">we explicitly delineate three distinct objects formulated in this paper:</w:t>
      </w:r>
    </w:p>
    <w:p>
      <w:pPr>
        <w:widowControl/>
        <w:numPr>
          <w:ilvl w:val="0"/>
          <w:numId w:val="1012"/>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widowControl/>
        <w:numPr>
          <w:ilvl w:val="0"/>
          <w:numId w:val="1012"/>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widowControl/>
        <w:numPr>
          <w:ilvl w:val="0"/>
          <w:numId w:val="1012"/>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87"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 (</w:t>
      </w:r>
      <w:r>
        <w:rPr>
          <w:rStyle w:val="VerbatimChar"/>
        </w:rPr>
        <w:t xml:space="preserve">experiments/kbound/synthetic_population_diagnostic.py</w:t>
      </w:r>
      <w:r>
        <w:t xml:space="preserve">).</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enforcing</w:t>
      </w:r>
      <w:r>
        <w:t xml:space="preserve"> </w:t>
      </w:r>
      <m:oMath>
        <m:r>
          <m:t>100</m:t>
        </m:r>
        <m:r>
          <m:rPr>
            <m:sty m:val="p"/>
          </m:rPr>
          <m:t>%</m:t>
        </m:r>
      </m:oMath>
      <w:r>
        <w:t xml:space="preserve"> </w:t>
      </w:r>
      <w:r>
        <w:t xml:space="preserve">abstention (the Price of Rigor);</w:t>
      </w:r>
      <w:r>
        <w:t xml:space="preserve"> </w:t>
      </w:r>
      <w:r>
        <w:t xml:space="preserve">(3) at</w:t>
      </w:r>
      <w:r>
        <w:t xml:space="preserve"> </w:t>
      </w:r>
      <m:oMath>
        <m:r>
          <m:t>m</m:t>
        </m:r>
        <m:r>
          <m:rPr>
            <m:sty m:val="p"/>
          </m:rPr>
          <m:t>≥</m:t>
        </m:r>
        <m:r>
          <m:t>128</m:t>
        </m:r>
      </m:oMath>
      <w:r>
        <w:t xml:space="preserve">, the gate safely commits on non-zero states while abstaining on ties (</w:t>
      </w:r>
      <m:oMath>
        <m:r>
          <m:rPr>
            <m:sty m:val="p"/>
          </m:rPr>
          <m:t>≈</m:t>
        </m:r>
        <m:r>
          <m:t>33.3</m:t>
        </m:r>
        <m:r>
          <m:rPr>
            <m:sty m:val="p"/>
          </m:rPr>
          <m:t>%</m:t>
        </m:r>
      </m:oMath>
      <w:r>
        <w:t xml:space="preserve">, matching the null frequency);</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w:t>
      </w:r>
      <w:r>
        <w:t xml:space="preserve"> </w:t>
      </w:r>
      <w:r>
        <w:rPr>
          <w:rStyle w:val="VerbatimChar"/>
        </w:rPr>
        <w:t xml:space="preserve">experiments/kbound/results/synthetic_diagnostic/diagnostic_summary.json</w:t>
      </w:r>
      <w:r>
        <w:t xml:space="preserve">.</w:t>
      </w:r>
    </w:p>
    <w:bookmarkEnd w:id="87"/>
    <w:bookmarkStart w:id="88"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w:t>
      </w:r>
      <w:r>
        <w:t xml:space="preserve"> </w:t>
      </w:r>
      <w:r>
        <w:rPr>
          <w:rStyle w:val="VerbatimChar"/>
        </w:rPr>
        <w:t xml:space="preserve">experiments/kbound/results/synthetic_diagnostic/nonoracle_diagnostic_summary.json</w:t>
      </w:r>
      <w:r>
        <w:t xml:space="preserve">).</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Conformal residual calibration over the imperfect predictions guarantees valid empirical cell coverage (</w:t>
      </w:r>
      <m:oMath>
        <m:r>
          <m:t>93.9</m:t>
        </m:r>
        <m:r>
          <m:rPr>
            <m:sty m:val="p"/>
          </m:rPr>
          <m:t>%</m:t>
        </m:r>
      </m:oMath>
      <w:r>
        <w:t xml:space="preserve">–</w:t>
      </w:r>
      <m:oMath>
        <m:r>
          <m:t>96.5</m:t>
        </m:r>
        <m:r>
          <m:rPr>
            <m:sty m:val="p"/>
          </m:rPr>
          <m:t>%</m:t>
        </m:r>
      </m:oMath>
      <w:r>
        <w:t xml:space="preserve">, tightly tracking</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eliminates wrong-direction error (</w:t>
      </w:r>
      <m:oMath>
        <m:r>
          <m:t>0.0000</m:t>
        </m:r>
      </m:oMath>
      <w:r>
        <w:t xml:space="preserve">). Furthermore, in this simulated model, the cell interval already achieves</w:t>
      </w:r>
      <w:r>
        <w:t xml:space="preserve"> </w:t>
      </w:r>
      <m:oMath>
        <m:r>
          <m:rPr>
            <m:sty m:val="p"/>
          </m:rPr>
          <m:t>≈</m:t>
        </m:r>
        <m:r>
          <m:t>100</m:t>
        </m:r>
        <m:r>
          <m:rPr>
            <m:sty m:val="p"/>
          </m:rPr>
          <m:t>%</m:t>
        </m:r>
      </m:oMath>
      <w:r>
        <w:t xml:space="preserve"> </w:t>
      </w:r>
      <w:r>
        <w:t xml:space="preserve">empirical population coverage of</w:t>
      </w:r>
      <w:r>
        <w:t xml:space="preserve"> </w:t>
      </w:r>
      <m:oMath>
        <m:r>
          <m:rPr>
            <m:sty m:val="p"/>
          </m:rPr>
          <m:t>Δ</m:t>
        </m:r>
      </m:oMath>
      <w:r>
        <w:t xml:space="preserve"> </w:t>
      </w:r>
      <w:r>
        <w:t xml:space="preserve">across all configurations.</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By incorporating the Hoeffding sampling concentration</w:t>
      </w:r>
      <w:r>
        <w:t xml:space="preserve"> </w:t>
      </w:r>
      <m:oMath>
        <m:r>
          <m:t>b</m:t>
        </m:r>
        <m:r>
          <m:rPr>
            <m:sty m:val="p"/>
          </m:rPr>
          <m:t>(</m:t>
        </m:r>
        <m:r>
          <m:t>m</m:t>
        </m:r>
        <m:r>
          <m:rPr>
            <m:sty m:val="p"/>
          </m:rPr>
          <m:t>,</m:t>
        </m:r>
        <m:r>
          <m:t>δ</m:t>
        </m:r>
        <m:r>
          <m:rPr>
            <m:sty m:val="p"/>
          </m:rPr>
          <m:t>)</m:t>
        </m:r>
      </m:oMath>
      <w:r>
        <w:t xml:space="preserve">, the compound interval achieved an observed</w:t>
      </w:r>
      <w:r>
        <w:t xml:space="preserve"> </w:t>
      </w:r>
      <m:oMath>
        <m:r>
          <m:t>100</m:t>
        </m:r>
        <m:r>
          <m:rPr>
            <m:sty m:val="p"/>
          </m:rPr>
          <m:t>%</m:t>
        </m:r>
      </m:oMath>
      <w:r>
        <w:t xml:space="preserve"> </w:t>
      </w:r>
      <w:r>
        <w:t xml:space="preserve">empirical population-inclusion rate and zero wrong-direction error in these finite trials (</w:t>
      </w:r>
      <m:oMath>
        <m:r>
          <m:t>0.0000</m:t>
        </m:r>
        <m:r>
          <m:rPr>
            <m:sty m:val="p"/>
          </m:rPr>
          <m:t>≤</m:t>
        </m:r>
        <m:sSub>
          <m:e>
            <m:r>
              <m:t>α</m:t>
            </m:r>
          </m:e>
          <m:sub>
            <m:r>
              <m:rPr>
                <m:sty m:val="p"/>
              </m:rPr>
              <m:t>p</m:t>
            </m:r>
            <m:r>
              <m:rPr>
                <m:sty m:val="p"/>
              </m:rPr>
              <m:t>o</m:t>
            </m:r>
            <m:r>
              <m:rPr>
                <m:sty m:val="p"/>
              </m:rPr>
              <m:t>p</m:t>
            </m:r>
          </m:sub>
        </m:sSub>
      </m:oMath>
      <w:r>
        <w:t xml:space="preserve">). At</w:t>
      </w:r>
      <w:r>
        <w:t xml:space="preserve"> </w:t>
      </w:r>
      <m:oMath>
        <m:r>
          <m:t>m</m:t>
        </m:r>
        <m:r>
          <m:rPr>
            <m:sty m:val="p"/>
          </m:rPr>
          <m:t>=</m:t>
        </m:r>
        <m:r>
          <m:t>32</m:t>
        </m:r>
      </m:oMath>
      <w:r>
        <w:t xml:space="preserve">, it enforces the Price of Rigor through</w:t>
      </w:r>
      <w:r>
        <w:t xml:space="preserve"> </w:t>
      </w:r>
      <m:oMath>
        <m:r>
          <m:t>99.9</m:t>
        </m:r>
        <m:r>
          <m:rPr>
            <m:sty m:val="p"/>
          </m:rPr>
          <m:t>%</m:t>
        </m:r>
      </m:oMath>
      <w:r>
        <w:t xml:space="preserve">–</w:t>
      </w:r>
      <m:oMath>
        <m:r>
          <m:t>100</m:t>
        </m:r>
        <m:r>
          <m:rPr>
            <m:sty m:val="p"/>
          </m:rPr>
          <m:t>%</m:t>
        </m:r>
      </m:oMath>
      <w:r>
        <w:t xml:space="preserve"> </w:t>
      </w:r>
      <w:r>
        <w:t xml:space="preserve">abstention as a consequence of the universal Hoeffding penalty (</w:t>
      </w:r>
      <m:oMath>
        <m:r>
          <m:t>b</m:t>
        </m:r>
        <m:r>
          <m:rPr>
            <m:sty m:val="p"/>
          </m:rPr>
          <m:t>(</m:t>
        </m:r>
        <m:r>
          <m:t>32</m:t>
        </m:r>
        <m:r>
          <m:rPr>
            <m:sty m:val="p"/>
          </m:rPr>
          <m:t>)</m:t>
        </m:r>
        <m:r>
          <m:rPr>
            <m:sty m:val="p"/>
          </m:rPr>
          <m:t>=</m:t>
        </m:r>
        <m:r>
          <m:t>0.4802</m:t>
        </m:r>
      </m:oMath>
      <w:r>
        <w:t xml:space="preserve">), while at</w:t>
      </w:r>
      <w:r>
        <w:t xml:space="preserve"> </w:t>
      </w:r>
      <m:oMath>
        <m:r>
          <m:t>m</m:t>
        </m:r>
        <m:r>
          <m:rPr>
            <m:sty m:val="p"/>
          </m:rPr>
          <m:t>≥</m:t>
        </m:r>
        <m:r>
          <m:t>128</m:t>
        </m:r>
      </m:oMath>
      <w:r>
        <w:t xml:space="preserve"> </w:t>
      </w:r>
      <w:r>
        <w:t xml:space="preserve">it safely commits on non-zero states while withholding action on ties (</w:t>
      </w:r>
      <m:oMath>
        <m:r>
          <m:rPr>
            <m:sty m:val="p"/>
          </m:rPr>
          <m:t>≈</m:t>
        </m:r>
        <m:r>
          <m:t>32</m:t>
        </m:r>
        <m:r>
          <m:rPr>
            <m:sty m:val="p"/>
          </m:rPr>
          <m:t>%</m:t>
        </m:r>
      </m:oMath>
      <w:r>
        <w:t xml:space="preserve">–</w:t>
      </w:r>
      <m:oMath>
        <m:r>
          <m:t>34</m:t>
        </m:r>
        <m:r>
          <m:rPr>
            <m:sty m:val="p"/>
          </m:rPr>
          <m:t>%</m:t>
        </m:r>
      </m:oMath>
      <w:r>
        <w:t xml:space="preserve"> </w:t>
      </w:r>
      <w:r>
        <w:t xml:space="preserve">abstention, matching the</w:t>
      </w:r>
      <w:r>
        <w:t xml:space="preserve"> </w:t>
      </w:r>
      <m:oMath>
        <m:r>
          <m:t>33.3</m:t>
        </m:r>
        <m:r>
          <m:rPr>
            <m:sty m:val="p"/>
          </m:rPr>
          <m:t>%</m:t>
        </m:r>
      </m:oMath>
      <w:r>
        <w:t xml:space="preserve"> </w:t>
      </w:r>
      <w:r>
        <w:t xml:space="preserve">null state frequency).</w:t>
      </w:r>
    </w:p>
    <w:p>
      <w:pPr>
        <w:pStyle w:val="BodyText"/>
        <w:widowControl/>
      </w:pPr>
      <w:r>
        <w:t xml:space="preserve">@rcccc@</w:t>
      </w:r>
      <w:r>
        <w:t xml:space="preserve"> </w:t>
      </w:r>
      <m:oMath>
        <m:sSub>
          <m:e>
            <m:r>
              <m:t>N</m:t>
            </m:r>
          </m:e>
          <m:sub>
            <m:r>
              <m:rPr>
                <m:sty m:val="p"/>
              </m:rPr>
              <m:t>c</m:t>
            </m:r>
            <m:r>
              <m:rPr>
                <m:sty m:val="p"/>
              </m:rPr>
              <m:t>a</m:t>
            </m:r>
            <m:r>
              <m:rPr>
                <m:sty m:val="p"/>
              </m:rPr>
              <m:t>l</m:t>
            </m:r>
          </m:sub>
        </m:sSub>
      </m:oMath>
      <w:r>
        <w:t xml:space="preserve"> </w:t>
      </w:r>
      <w:r>
        <w:t xml:space="preserve">&amp;</w:t>
      </w:r>
      <w:r>
        <w:t xml:space="preserve"> </w:t>
      </w:r>
      <m:oMath>
        <m:r>
          <m:t>m</m:t>
        </m:r>
        <m:r>
          <m:rPr>
            <m:sty m:val="p"/>
          </m:rPr>
          <m:t>=</m:t>
        </m:r>
        <m:r>
          <m:t>32</m:t>
        </m:r>
      </m:oMath>
      <w:r>
        <w:t xml:space="preserve"> </w:t>
      </w:r>
      <w:r>
        <w:t xml:space="preserve">(</w:t>
      </w:r>
      <m:oMath>
        <m:r>
          <m:t>b</m:t>
        </m:r>
        <m:r>
          <m:rPr>
            <m:sty m:val="p"/>
          </m:rPr>
          <m:t>=</m:t>
        </m:r>
        <m:r>
          <m:t>0.480</m:t>
        </m:r>
      </m:oMath>
      <w:r>
        <w:t xml:space="preserve">) &amp;</w:t>
      </w:r>
      <w:r>
        <w:t xml:space="preserve"> </w:t>
      </w:r>
      <m:oMath>
        <m:r>
          <m:t>m</m:t>
        </m:r>
        <m:r>
          <m:rPr>
            <m:sty m:val="p"/>
          </m:rPr>
          <m:t>=</m:t>
        </m:r>
        <m:r>
          <m:t>128</m:t>
        </m:r>
      </m:oMath>
      <w:r>
        <w:t xml:space="preserve"> </w:t>
      </w:r>
      <w:r>
        <w:t xml:space="preserve">(</w:t>
      </w:r>
      <m:oMath>
        <m:r>
          <m:t>b</m:t>
        </m:r>
        <m:r>
          <m:rPr>
            <m:sty m:val="p"/>
          </m:rPr>
          <m:t>=</m:t>
        </m:r>
        <m:r>
          <m:t>0.240</m:t>
        </m:r>
      </m:oMath>
      <w:r>
        <w:t xml:space="preserve">) &amp;</w:t>
      </w:r>
      <w:r>
        <w:t xml:space="preserve"> </w:t>
      </w:r>
      <m:oMath>
        <m:r>
          <m:t>m</m:t>
        </m:r>
        <m:r>
          <m:rPr>
            <m:sty m:val="p"/>
          </m:rPr>
          <m:t>=</m:t>
        </m:r>
        <m:r>
          <m:t>512</m:t>
        </m:r>
      </m:oMath>
      <w:r>
        <w:t xml:space="preserve"> </w:t>
      </w:r>
      <w:r>
        <w:t xml:space="preserve">(</w:t>
      </w:r>
      <m:oMath>
        <m:r>
          <m:t>b</m:t>
        </m:r>
        <m:r>
          <m:rPr>
            <m:sty m:val="p"/>
          </m:rPr>
          <m:t>=</m:t>
        </m:r>
        <m:r>
          <m:t>0.120</m:t>
        </m:r>
      </m:oMath>
      <w:r>
        <w:t xml:space="preserve">) &amp;</w:t>
      </w:r>
      <w:r>
        <w:t xml:space="preserve"> </w:t>
      </w:r>
      <m:oMath>
        <m:r>
          <m:t>m</m:t>
        </m:r>
        <m:r>
          <m:rPr>
            <m:sty m:val="p"/>
          </m:rPr>
          <m:t>=</m:t>
        </m:r>
        <m:r>
          <m:t>2048</m:t>
        </m:r>
      </m:oMath>
      <w:r>
        <w:t xml:space="preserve"> </w:t>
      </w:r>
      <w:r>
        <w:t xml:space="preserve">(</w:t>
      </w:r>
      <m:oMath>
        <m:r>
          <m:t>b</m:t>
        </m:r>
        <m:r>
          <m:rPr>
            <m:sty m:val="p"/>
          </m:rPr>
          <m:t>=</m:t>
        </m:r>
        <m:r>
          <m:t>0.061</m:t>
        </m:r>
      </m:oMath>
      <w:r>
        <w:t xml:space="preserve">)</w:t>
      </w:r>
      <w:r>
        <w:br/>
      </w:r>
      <w:r>
        <w:br/>
      </w:r>
      <w:r>
        <w:t xml:space="preserve">All</w:t>
      </w:r>
      <w:r>
        <w:t xml:space="preserve"> </w:t>
      </w:r>
      <m:oMath>
        <m:r>
          <m:t>N</m:t>
        </m:r>
      </m:oMath>
      <w:r>
        <w:t xml:space="preserve"> </w:t>
      </w:r>
      <w:r>
        <w:t xml:space="preserve">&amp;</w:t>
      </w:r>
      <w:r>
        <w:t xml:space="preserve"> </w:t>
      </w:r>
      <m:oMath>
        <m:r>
          <m:t>0.309</m:t>
        </m:r>
      </m:oMath>
      <w:r>
        <w:t xml:space="preserve">–</w:t>
      </w:r>
      <m:oMath>
        <m:r>
          <m:t>0.356</m:t>
        </m:r>
      </m:oMath>
      <w:r>
        <w:t xml:space="preserve"> </w:t>
      </w:r>
      <w:r>
        <w:t xml:space="preserve">/</w:t>
      </w:r>
      <w:r>
        <w:t xml:space="preserve"> </w:t>
      </w:r>
      <m:oMath>
        <m:r>
          <m:t>0.000</m:t>
        </m:r>
      </m:oMath>
      <w:r>
        <w:t xml:space="preserve"> </w:t>
      </w:r>
      <w:r>
        <w:t xml:space="preserve">&amp;</w:t>
      </w:r>
      <w:r>
        <w:t xml:space="preserve"> </w:t>
      </w:r>
      <m:oMath>
        <m:r>
          <m:t>0.313</m:t>
        </m:r>
      </m:oMath>
      <w:r>
        <w:t xml:space="preserve">–</w:t>
      </w:r>
      <m:oMath>
        <m:r>
          <m:t>0.332</m:t>
        </m:r>
      </m:oMath>
      <w:r>
        <w:t xml:space="preserve"> </w:t>
      </w:r>
      <w:r>
        <w:t xml:space="preserve">/</w:t>
      </w:r>
      <w:r>
        <w:t xml:space="preserve"> </w:t>
      </w:r>
      <m:oMath>
        <m:r>
          <m:t>0.000</m:t>
        </m:r>
      </m:oMath>
      <w:r>
        <w:t xml:space="preserve"> </w:t>
      </w:r>
      <w:r>
        <w:t xml:space="preserve">&amp;</w:t>
      </w:r>
      <w:r>
        <w:t xml:space="preserve"> </w:t>
      </w:r>
      <m:oMath>
        <m:r>
          <m:t>0.314</m:t>
        </m:r>
      </m:oMath>
      <w:r>
        <w:t xml:space="preserve">–</w:t>
      </w:r>
      <m:oMath>
        <m:r>
          <m:t>0.353</m:t>
        </m:r>
      </m:oMath>
      <w:r>
        <w:t xml:space="preserve"> </w:t>
      </w:r>
      <w:r>
        <w:t xml:space="preserve">/</w:t>
      </w:r>
      <w:r>
        <w:t xml:space="preserve"> </w:t>
      </w:r>
      <m:oMath>
        <m:r>
          <m:t>0.000</m:t>
        </m:r>
      </m:oMath>
      <w:r>
        <w:t xml:space="preserve"> </w:t>
      </w:r>
      <w:r>
        <w:t xml:space="preserve">&amp;</w:t>
      </w:r>
      <w:r>
        <w:t xml:space="preserve"> </w:t>
      </w:r>
      <m:oMath>
        <m:r>
          <m:t>0.326</m:t>
        </m:r>
      </m:oMath>
      <w:r>
        <w:t xml:space="preserve">–</w:t>
      </w:r>
      <m:oMath>
        <m:r>
          <m:t>0.340</m:t>
        </m:r>
      </m:oMath>
      <w:r>
        <w:t xml:space="preserve"> </w:t>
      </w:r>
      <w:r>
        <w:t xml:space="preserve">/</w:t>
      </w:r>
      <w:r>
        <w:t xml:space="preserve"> </w:t>
      </w:r>
      <m:oMath>
        <m:r>
          <m:t>0.000</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0.327</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0.313</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0.940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0.960</m:t>
        </m:r>
      </m:oMath>
      <w:r>
        <w:t xml:space="preserve"> </w:t>
      </w:r>
      <w:r>
        <w:t xml:space="preserve">/</w:t>
      </w:r>
      <w:r>
        <w:t xml:space="preserve"> </w:t>
      </w:r>
      <m:oMath>
        <m:r>
          <m:t>0.000</m:t>
        </m:r>
      </m:oMath>
      <w:r>
        <w:t xml:space="preserve"> </w:t>
      </w:r>
      <w:r>
        <w:t xml:space="preserve">/</w:t>
      </w:r>
      <w:r>
        <w:t xml:space="preserve"> </w:t>
      </w:r>
      <m:oMath>
        <m:r>
          <m:t>0.348</m:t>
        </m:r>
      </m:oMath>
      <w:r>
        <w:t xml:space="preserve"> </w:t>
      </w:r>
      <w:r>
        <w:t xml:space="preserve">&amp;</w:t>
      </w:r>
      <w:r>
        <w:t xml:space="preserve"> </w:t>
      </w:r>
      <m:oMath>
        <m:r>
          <m:t>0.946</m:t>
        </m:r>
      </m:oMath>
      <w:r>
        <w:t xml:space="preserve"> </w:t>
      </w:r>
      <w:r>
        <w:t xml:space="preserve">/</w:t>
      </w:r>
      <w:r>
        <w:t xml:space="preserve"> </w:t>
      </w:r>
      <m:oMath>
        <m:r>
          <m:t>0.000</m:t>
        </m:r>
      </m:oMath>
      <w:r>
        <w:t xml:space="preserve"> </w:t>
      </w:r>
      <w:r>
        <w:t xml:space="preserve">/</w:t>
      </w:r>
      <w:r>
        <w:t xml:space="preserve"> </w:t>
      </w:r>
      <m:oMath>
        <m:r>
          <m:t>0.319</m:t>
        </m:r>
      </m:oMath>
      <w:r>
        <w:t xml:space="preserve"> </w:t>
      </w:r>
      <w:r>
        <w:t xml:space="preserve">&amp;</w:t>
      </w:r>
      <w:r>
        <w:t xml:space="preserve"> </w:t>
      </w:r>
      <m:oMath>
        <m:r>
          <m:t>0.956</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0.952</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0.357</m:t>
        </m:r>
      </m:oMath>
      <w:r>
        <w:t xml:space="preserve"> </w:t>
      </w:r>
      <w:r>
        <w:t xml:space="preserve">&amp;</w:t>
      </w:r>
      <w:r>
        <w:t xml:space="preserve"> </w:t>
      </w:r>
      <m:oMath>
        <m:r>
          <m:t>0.947</m:t>
        </m:r>
      </m:oMath>
      <w:r>
        <w:t xml:space="preserve"> </w:t>
      </w:r>
      <w:r>
        <w:t xml:space="preserve">/</w:t>
      </w:r>
      <w:r>
        <w:t xml:space="preserve"> </w:t>
      </w:r>
      <m:oMath>
        <m:r>
          <m:t>0.000</m:t>
        </m:r>
      </m:oMath>
      <w:r>
        <w:t xml:space="preserve"> </w:t>
      </w:r>
      <w:r>
        <w:t xml:space="preserve">/</w:t>
      </w:r>
      <w:r>
        <w:t xml:space="preserve"> </w:t>
      </w:r>
      <m:oMath>
        <m:r>
          <m:t>0.325</m:t>
        </m:r>
      </m:oMath>
      <w:r>
        <w:t xml:space="preserve"> </w:t>
      </w:r>
      <w:r>
        <w:t xml:space="preserve">&amp;</w:t>
      </w:r>
      <w:r>
        <w:t xml:space="preserve"> </w:t>
      </w:r>
      <m:oMath>
        <m:r>
          <m:t>0.939</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0.965</m:t>
        </m:r>
      </m:oMath>
      <w:r>
        <w:t xml:space="preserve"> </w:t>
      </w:r>
      <w:r>
        <w:t xml:space="preserve">/</w:t>
      </w:r>
      <w:r>
        <w:t xml:space="preserve"> </w:t>
      </w:r>
      <m:oMath>
        <m:r>
          <m:t>0.000</m:t>
        </m:r>
      </m:oMath>
      <w:r>
        <w:t xml:space="preserve"> </w:t>
      </w:r>
      <w:r>
        <w:t xml:space="preserve">/</w:t>
      </w:r>
      <w:r>
        <w:t xml:space="preserve"> </w:t>
      </w:r>
      <m:oMath>
        <m:r>
          <m:t>0.326</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0.342</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0.338</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0.327</m:t>
        </m:r>
      </m:oMath>
      <w:r>
        <w:br/>
      </w:r>
    </w:p>
    <w:p>
      <w:pPr>
        <w:pStyle w:val="TableCaption"/>
        <w:widowControl/>
      </w:pPr>
      <w:r>
        <w:t xml:space="preserve">Table 15. Synthetic population diagnostic under exact Bayes-optimal prediction (300 trials/cell;</w:t>
      </w:r>
      <w:r>
        <w:t xml:space="preserve"> </w:t>
      </w:r>
      <m:oMath>
        <m:sSub>
          <m:e>
            <m:r>
              <m:t>α</m:t>
            </m:r>
          </m:e>
          <m:sub>
            <m:r>
              <m:rPr>
                <m:sty m:val="p"/>
              </m:rPr>
              <m:t>c</m:t>
            </m:r>
            <m:r>
              <m:rPr>
                <m:sty m:val="p"/>
              </m:rPr>
              <m:t>e</m:t>
            </m:r>
            <m:r>
              <m:rPr>
                <m:sty m:val="p"/>
              </m:rPr>
              <m:t>l</m:t>
            </m:r>
            <m:r>
              <m:rPr>
                <m:sty m:val="p"/>
              </m:rPr>
              <m:t>l</m:t>
            </m:r>
          </m:sub>
        </m:sSub>
        <m:r>
          <m:rPr>
            <m:sty m:val="p"/>
          </m:rPr>
          <m:t>=</m:t>
        </m:r>
        <m:r>
          <m:t>δ</m:t>
        </m:r>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Entries report empirical Cell Coverage / Abstention rate. Across all 16 cells, the finite simulation observed empirical population inclusion of</w:t>
      </w:r>
      <w:r>
        <w:t xml:space="preserve"> </w:t>
      </w:r>
      <m:oMath>
        <m:r>
          <m:t>1.000</m:t>
        </m:r>
      </m:oMath>
      <w:r>
        <w:t xml:space="preserve"> </w:t>
      </w:r>
      <w:r>
        <w:t xml:space="preserve">and wrong-direction error of</w:t>
      </w:r>
      <w:r>
        <w:t xml:space="preserve"> </w:t>
      </w:r>
      <m:oMath>
        <m:r>
          <m:t>0.000</m:t>
        </m:r>
      </m:oMath>
      <w:r>
        <w:t xml:space="preserve">; this is not a universal coverage guarantee. Sampling radii:</w:t>
      </w:r>
      <w:r>
        <w:t xml:space="preserve"> </w:t>
      </w:r>
      <m:oMath>
        <m:r>
          <m:t>b</m:t>
        </m:r>
        <m:r>
          <m:rPr>
            <m:sty m:val="p"/>
          </m:rPr>
          <m:t>(</m:t>
        </m:r>
        <m:r>
          <m:t>32</m:t>
        </m:r>
        <m:r>
          <m:rPr>
            <m:sty m:val="p"/>
          </m:rPr>
          <m:t>)</m:t>
        </m:r>
        <m:r>
          <m:rPr>
            <m:sty m:val="p"/>
          </m:rPr>
          <m:t>=</m:t>
        </m:r>
        <m:r>
          <m:t>0.4802</m:t>
        </m:r>
      </m:oMath>
      <w:r>
        <w:t xml:space="preserve">,</w:t>
      </w:r>
      <w:r>
        <w:t xml:space="preserve"> </w:t>
      </w:r>
      <m:oMath>
        <m:r>
          <m:t>b</m:t>
        </m:r>
        <m:r>
          <m:rPr>
            <m:sty m:val="p"/>
          </m:rPr>
          <m:t>(</m:t>
        </m:r>
        <m:r>
          <m:t>128</m:t>
        </m:r>
        <m:r>
          <m:rPr>
            <m:sty m:val="p"/>
          </m:rPr>
          <m:t>)</m:t>
        </m:r>
        <m:r>
          <m:rPr>
            <m:sty m:val="p"/>
          </m:rPr>
          <m:t>=</m:t>
        </m:r>
        <m:r>
          <m:t>0.2401</m:t>
        </m:r>
      </m:oMath>
      <w:r>
        <w:t xml:space="preserve">,</w:t>
      </w:r>
      <w:r>
        <w:t xml:space="preserve"> </w:t>
      </w:r>
      <m:oMath>
        <m:r>
          <m:t>b</m:t>
        </m:r>
        <m:r>
          <m:rPr>
            <m:sty m:val="p"/>
          </m:rPr>
          <m:t>(</m:t>
        </m:r>
        <m:r>
          <m:t>512</m:t>
        </m:r>
        <m:r>
          <m:rPr>
            <m:sty m:val="p"/>
          </m:rPr>
          <m:t>)</m:t>
        </m:r>
        <m:r>
          <m:rPr>
            <m:sty m:val="p"/>
          </m:rPr>
          <m:t>=</m:t>
        </m:r>
        <m:r>
          <m:t>0.1200</m:t>
        </m:r>
      </m:oMath>
      <w:r>
        <w:t xml:space="preserve">,</w:t>
      </w:r>
      <w:r>
        <w:t xml:space="preserve"> </w:t>
      </w:r>
      <m:oMath>
        <m:r>
          <m:t>b</m:t>
        </m:r>
        <m:r>
          <m:rPr>
            <m:sty m:val="p"/>
          </m:rPr>
          <m:t>(</m:t>
        </m:r>
        <m:r>
          <m:t>2048</m:t>
        </m:r>
        <m:r>
          <m:rPr>
            <m:sty m:val="p"/>
          </m:rPr>
          <m:t>)</m:t>
        </m:r>
        <m:r>
          <m:rPr>
            <m:sty m:val="p"/>
          </m:rPr>
          <m:t>=</m:t>
        </m:r>
        <m:r>
          <m:t>0.0600</m:t>
        </m:r>
      </m:oMath>
      <w:r>
        <w:t xml:space="preserve">. Artifact:</w:t>
      </w:r>
      <w:r>
        <w:t xml:space="preserve"> </w:t>
      </w:r>
      <w:r>
        <w:rPr>
          <w:rStyle w:val="VerbatimChar"/>
        </w:rPr>
        <w:t xml:space="preserve">experiments/kbound/results/synthetic_diagnostic/diagnostic_summary.json</w:t>
      </w:r>
      <w:r>
        <w:t xml:space="preserve">.</w:t>
      </w:r>
    </w:p>
    <w:tbl>
      <w:tblPr>
        <w:tblStyle w:val="Table"/>
        <w:tblW w:type="dxa" w:w="9960"/>
        <w:jc w:val="left"/>
        <w:tblLayout w:type="fixed"/>
        <w:tblLook w:firstRow="1" w:lastRow="0" w:firstColumn="0" w:lastColumn="0" w:noHBand="0" w:noVBand="0" w:val="0020"/>
        <w:tblCaption w:val="Table 15.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 experiments/kbound/results/synthetic_diagnostic/diagnostic_summary.js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m:t>N</m:t>
                  </m:r>
                </m:e>
                <m:sub>
                  <m:r>
                    <m:rPr>
                      <m:sty m:val="p"/>
                    </m:rPr>
                    <m:t>c</m:t>
                  </m:r>
                  <m:r>
                    <m:rPr>
                      <m:sty m:val="p"/>
                    </m:rPr>
                    <m:t>a</m:t>
                  </m:r>
                  <m:r>
                    <m:rPr>
                      <m:sty m:val="p"/>
                    </m: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88"/>
    <w:bookmarkStart w:id="89"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w:t>
      </w:r>
      <w:r>
        <w:t xml:space="preserve"> </w:t>
      </w:r>
      <w:r>
        <w:t xml:space="preserve">receipts are</w:t>
      </w:r>
      <w:r>
        <w:t xml:space="preserve"> </w:t>
      </w:r>
      <w:r>
        <w:rPr>
          <w:rStyle w:val="VerbatimChar"/>
        </w:rPr>
        <w:t xml:space="preserve">experiments/kbound/results/task2_imagenetc_population_replay_20260911/</w:t>
      </w:r>
      <w:r>
        <w:t xml:space="preserve"> </w:t>
      </w:r>
      <w:r>
        <w:rPr>
          <w:rStyle w:val="VerbatimChar"/>
        </w:rPr>
        <w:t xml:space="preserve">TASK2_IMAGENETC_POPULATION_REPLAY_RECEIPT.json</w:t>
      </w:r>
      <w:r>
        <w:t xml:space="preserve"> </w:t>
      </w:r>
      <w:r>
        <w:t xml:space="preserve">and</w:t>
      </w:r>
      <w:r>
        <w:t xml:space="preserve"> </w:t>
      </w:r>
      <w:r>
        <w:rPr>
          <w:rStyle w:val="VerbatimChar"/>
        </w:rPr>
        <w:t xml:space="preserve">experiments/kbound/results/task2_population_panel_rerun_20260911_final.json</w:t>
      </w:r>
      <w:r>
        <w:t xml:space="preserve">.</w:t>
      </w:r>
      <w:r>
        <w:t xml:space="preserve"> </w:t>
      </w:r>
      <w:r>
        <w:t xml:space="preserve">This is a benchmark replay, not independent sampling or prospective population evidence.</w:t>
      </w: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w:t>
      </w:r>
      <w:r>
        <w:t xml:space="preserve"> </w:t>
      </w:r>
      <w:r>
        <w:rPr>
          <w:rStyle w:val="VerbatimChar"/>
        </w:rPr>
        <w:t xml:space="preserve">experiments/kbound/results/task2_imagenetc_population_replay_20260911/population_panel.json</w:t>
      </w:r>
      <w:r>
        <w:t xml:space="preserve">.</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experiments/kbound/results/task2_imagenetc_population_replay_20260911/population_panel.js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20"/>
        <w:gridCol w:w="1721"/>
        <w:gridCol w:w="4081"/>
        <w:gridCol w:w="1938"/>
      </w:tblGrid>
      <w:tr>
        <w:trPr>
          <w:tblHeader w:val="true"/>
          <w:cantSplit w:val="true"/>
        </w:trPr>
        <w:tc>
          <w:tcPr>
            <w:tcW w:w="22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172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40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Cell radius</w:t>
            </w:r>
            <w:r>
              <w:rPr>
                <w:rFonts w:ascii="Times New Roman" w:hAnsi="Times New Roman"/>
                <w:b/>
                <w:sz w:val="16"/>
              </w:rPr>
              <w:t xml:space="preserve"> </w:t>
            </w:r>
            <m:oMath>
              <m:r>
                <m:t>ε</m:t>
              </m:r>
            </m:oMath>
            <w:r>
              <w:rPr>
                <w:rFonts w:ascii="Times New Roman" w:hAnsi="Times New Roman"/>
                <w:b/>
                <w:sz w:val="16"/>
              </w:rPr>
              <w:t>: mean [min, max]</w:t>
            </w:r>
          </w:p>
        </w:tc>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Finite</w:t>
            </w:r>
            <w:r>
              <w:rPr>
                <w:rFonts w:ascii="Times New Roman" w:hAnsi="Times New Roman"/>
                <w:b/>
                <w:sz w:val="16"/>
              </w:rPr>
              <w:t xml:space="preserve"> </w:t>
            </w:r>
            <m:oMath>
              <m:r>
                <m:t>ε</m:t>
              </m:r>
            </m:oMath>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Tent</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0.0519</m:t>
              </m:r>
            </m:oMath>
            <w:r>
              <w:rPr>
                <w:rFonts w:ascii="Times New Roman" w:hAnsi="Times New Roman"/>
                <w:sz w:val="16"/>
              </w:rPr>
              <w:t xml:space="preserve"> </w:t>
            </w:r>
            <w:r>
              <w:rPr>
                <w:rFonts w:ascii="Times New Roman" w:hAnsi="Times New Roman"/>
                <w:sz w:val="16"/>
              </w:rPr>
              <w:t>[</w:t>
            </w:r>
            <m:oMath>
              <m:r>
                <m:t>0.0331</m:t>
              </m:r>
            </m:oMath>
            <w:r>
              <w:rPr>
                <w:rFonts w:ascii="Times New Roman" w:hAnsi="Times New Roman"/>
                <w:sz w:val="16"/>
              </w:rPr>
              <w:t>,</w:t>
            </w:r>
            <w:r>
              <w:rPr>
                <w:rFonts w:ascii="Times New Roman" w:hAnsi="Times New Roman"/>
                <w:sz w:val="16"/>
              </w:rPr>
              <w:t xml:space="preserve"> </w:t>
            </w:r>
            <m:oMath>
              <m:r>
                <m:t>0.0659</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EATA</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0.0292</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0.0393</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SAR</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0.1184</m:t>
              </m:r>
            </m:oMath>
            <w:r>
              <w:rPr>
                <w:rFonts w:ascii="Times New Roman" w:hAnsi="Times New Roman"/>
                <w:sz w:val="16"/>
              </w:rPr>
              <w:t xml:space="preserve"> </w:t>
            </w:r>
            <w:r>
              <w:rPr>
                <w:rFonts w:ascii="Times New Roman" w:hAnsi="Times New Roman"/>
                <w:sz w:val="16"/>
              </w:rPr>
              <w:t>[</w:t>
            </w:r>
            <m:oMath>
              <m:r>
                <m:t>0.0365</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6"/>
              </w:rPr>
              <w:t>Total / Panel</w:t>
            </w:r>
          </w:p>
        </w:tc>
        <w:tc>
          <w:tcPr>
            <w:tcW w:w="1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w:t>
            </w:r>
          </w:p>
        </w:tc>
        <w:tc>
          <w:tcPr>
            <w:tcW w:w="4081" w:type="dxa"/>
            <w:vAlign w:val="center"/>
            <w:tcMar>
              <w:top w:w="60" w:type="dxa"/>
              <w:start w:w="80" w:type="dxa"/>
              <w:bottom w:w="60" w:type="dxa"/>
              <w:end w:w="80" w:type="dxa"/>
            </w:tcMar>
          </w:tcPr>
          <w:p>
            <w:pPr>
              <w:pStyle w:val="Compact"/>
              <w:keepNext w:val="0"/>
              <w:spacing w:before="0" w:after="0" w:line="240" w:lineRule="auto"/>
              <w:jc w:val="left"/>
            </w:pPr>
            <m:oMath>
              <m:r>
                <m:t>0.0665</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 / 108</w:t>
            </w:r>
          </w:p>
        </w:tc>
      </w:tr>
    </w:tbl>
    <w:p>
      <w:pPr>
        <w:widowControl/>
      </w:pP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w:t>
      </w:r>
      <w:r>
        <w:t xml:space="preserve"> </w:t>
      </w:r>
      <w:r>
        <w:rPr>
          <w:rStyle w:val="VerbatimChar"/>
        </w:rPr>
        <w:t xml:space="preserve">experiments/kbound/results/task2_imagenetc_population_replay_20260911/population_panel.json</w:t>
      </w:r>
      <w:r>
        <w:t xml:space="preserve">.</w:t>
      </w:r>
    </w:p>
    <w:tbl>
      <w:tblPr>
        <w:tblStyle w:val="Table"/>
        <w:tblW w:type="dxa" w:w="9960"/>
        <w:jc w:val="left"/>
        <w:tblLayout w:type="fixed"/>
        <w:tblLook w:firstRow="0" w:lastRow="0" w:firstColumn="0" w:lastColumn="0" w:noHBand="0" w:noVBand="0" w:val="000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experiments/kbound/results/task2_imagenetc_population_replay_20260911/population_panel.js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41"/>
        <w:gridCol w:w="1288"/>
        <w:gridCol w:w="2070"/>
        <w:gridCol w:w="1622"/>
        <w:gridCol w:w="1062"/>
        <w:gridCol w:w="2277"/>
      </w:tblGrid>
      <w:tr>
        <w:trPr>
          <w:cantSplit w:val="true"/>
          <w:tblHeader w:val="true"/>
        </w:trPr>
        <w:tc>
          <w:tcPr>
            <w:tcW w:w="16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288" w:type="dxa"/>
            <w:vAlign w:val="center"/>
            <w:tcMar>
              <w:top w:w="60" w:type="dxa"/>
              <w:start w:w="80" w:type="dxa"/>
              <w:bottom w:w="60" w:type="dxa"/>
              <w:end w:w="80" w:type="dxa"/>
            </w:tcMar>
            <w:shd w:fill="E8EEF5"/>
          </w:tcPr>
          <w:p>
            <w:pPr>
              <w:pStyle w:val="Compact"/>
              <w:keepNext/>
              <w:spacing w:before="0" w:after="0" w:line="240" w:lineRule="auto"/>
              <w:jc w:val="center"/>
            </w:pPr>
          </w:p>
        </w:tc>
        <w:tc>
          <w:tcPr>
            <w:tcW w:w="2070" w:type="dxa"/>
            <w:vAlign w:val="center"/>
            <w:tcMar>
              <w:top w:w="60" w:type="dxa"/>
              <w:start w:w="80" w:type="dxa"/>
              <w:bottom w:w="60" w:type="dxa"/>
              <w:end w:w="80" w:type="dxa"/>
            </w:tcMar>
            <w:shd w:fill="E8EEF5"/>
          </w:tcPr>
          <w:p>
            <w:pPr>
              <w:pStyle w:val="Compact"/>
              <w:keepNext/>
              <w:spacing w:before="0" w:after="0" w:line="240" w:lineRule="auto"/>
              <w:jc w:val="center"/>
            </w:pPr>
          </w:p>
        </w:tc>
        <w:tc>
          <w:tcPr>
            <w:tcW w:w="1622" w:type="dxa"/>
            <w:vAlign w:val="center"/>
            <w:tcMar>
              <w:top w:w="60" w:type="dxa"/>
              <w:start w:w="80" w:type="dxa"/>
              <w:bottom w:w="60" w:type="dxa"/>
              <w:end w:w="80" w:type="dxa"/>
            </w:tcMar>
            <w:shd w:fill="E8EEF5"/>
          </w:tcPr>
          <w:p>
            <w:pPr>
              <w:pStyle w:val="Compact"/>
              <w:keepNext/>
              <w:spacing w:before="0" w:after="0" w:line="240" w:lineRule="auto"/>
              <w:jc w:val="center"/>
            </w:pPr>
          </w:p>
        </w:tc>
        <w:tc>
          <w:tcPr>
            <w:tcW w:w="1062" w:type="dxa"/>
            <w:vAlign w:val="center"/>
            <w:tcMar>
              <w:top w:w="60" w:type="dxa"/>
              <w:start w:w="80" w:type="dxa"/>
              <w:bottom w:w="60" w:type="dxa"/>
              <w:end w:w="80" w:type="dxa"/>
            </w:tcMar>
            <w:shd w:fill="E8EEF5"/>
          </w:tcPr>
          <w:p>
            <w:pPr>
              <w:pStyle w:val="Compact"/>
              <w:keepNext/>
              <w:spacing w:before="0" w:after="0" w:line="240" w:lineRule="auto"/>
              <w:jc w:val="center"/>
            </w:pPr>
          </w:p>
        </w:tc>
        <w:tc>
          <w:tcPr>
            <w:tcW w:w="227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cell / compound</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20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Population truth</w:t>
            </w: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Tent</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 / 0 / 18</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 / 0 / 35</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EATA</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20 / 0 / 16</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0 / 36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SAR</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 / 11 / 23</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10 / 26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28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 / 11 / 57</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 / 10 / 97</w:t>
            </w:r>
          </w:p>
        </w:tc>
        <w:tc>
          <w:tcPr>
            <w:tcW w:w="106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Not established</w:t>
            </w:r>
          </w:p>
        </w:tc>
      </w:tr>
    </w:tbl>
    <w:bookmarkEnd w:id="89"/>
    <w:bookmarkEnd w:id="90"/>
    <w:bookmarkEnd w:id="91"/>
    <w:bookmarkStart w:id="122"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3ac2c7d14d44803e4ff8a19258d036dc86327adb02fdb4cd34536e5eeee9cb24. Historical, incomplete,</w:t>
      </w:r>
      <w:r>
        <w:t xml:space="preserve"> </w:t>
      </w:r>
      <w:r>
        <w:t xml:space="preserve">and invalid studies keep their original scope instead of being silently removed.</w:t>
      </w:r>
    </w:p>
    <w:bookmarkStart w:id="92" w:name="b.1-accuracy-based-diagnostic-replays"/>
    <w:p>
      <w:pPr>
        <w:pStyle w:val="Heading2"/>
        <w:widowControl/>
      </w:pPr>
      <w:r>
        <w:t xml:space="preserve">B.1 Accuracy-Based Diagnostic Replays</w:t>
      </w:r>
    </w:p>
    <w:p>
      <w:pPr>
        <w:pStyle w:val="FirstParagraph"/>
        <w:widowControl/>
      </w:pPr>
      <w:r>
        <w:t xml:space="preserve">Table 17 collects the remaining ordinary-accuracy replays;</w:t>
      </w:r>
      <w:r>
        <w:t xml:space="preserve"> </w:t>
      </w:r>
      <w:r>
        <w:t xml:space="preserve">the dataset-specific interpretations follow below.</w:t>
      </w:r>
    </w:p>
    <w:p>
      <w:pPr>
        <w:pStyle w:val="TableCaption"/>
        <w:widowControl/>
      </w:pPr>
      <w:r>
        <w:t xml:space="preserve">Table 17.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m:t>n</m:t>
        </m:r>
        <m:r>
          <m:rPr>
            <m:sty m:val="p"/>
          </m:rPr>
          <m:t>=</m:t>
        </m:r>
        <m: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7.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92"/>
    <w:bookmarkStart w:id="93" w:name="b.2-balanced-accuracy-diagnostic-replays"/>
    <w:p>
      <w:pPr>
        <w:pStyle w:val="Heading2"/>
        <w:widowControl/>
      </w:pPr>
      <w:r>
        <w:t xml:space="preserve">B.2 Balanced-Accuracy Diagnostic Replays</w:t>
      </w:r>
    </w:p>
    <w:p>
      <w:pPr>
        <w:pStyle w:val="FirstParagraph"/>
        <w:widowControl/>
      </w:pPr>
      <w:r>
        <w:t xml:space="preserve">Table 18 reports the balanced-accuracy replays on their own</w:t>
      </w:r>
      <w:r>
        <w:t xml:space="preserve"> </w:t>
      </w:r>
      <w:r>
        <w:t xml:space="preserve">metric scale, with each recorded candidate and evaluation unit kept distinct.</w:t>
      </w:r>
    </w:p>
    <w:p>
      <w:pPr>
        <w:pStyle w:val="TableCaption"/>
        <w:widowControl/>
      </w:pPr>
      <w:r>
        <w:t xml:space="preserve">Table 18.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8.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93"/>
    <w:bookmarkStart w:id="104" w:name="b.3-large-scale-corruption-imagenet-c"/>
    <w:p>
      <w:pPr>
        <w:pStyle w:val="Heading2"/>
        <w:widowControl/>
      </w:pPr>
      <w:r>
        <w:t xml:space="preserve">B.3 Large-Scale Corruption: ImageNet-C</w:t>
      </w:r>
    </w:p>
    <w:p>
      <w:pPr>
        <w:pStyle w:val="FirstParagraph"/>
        <w:widowControl/>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94" w:name="X4599563485ca6b7c6e03ee5bbbf2faeab69a031"/>
    <w:p>
      <w:pPr>
        <w:pStyle w:val="Heading3"/>
        <w:keepNext/>
        <w:widowControl/>
        <w:spacing w:before="100" w:after="20" w:line="252" w:lineRule="auto"/>
      </w:pPr>
      <w:r>
        <w:rPr>
          <w:rFonts w:ascii="Times New Roman" w:hAnsi="Times New Roman" w:eastAsia="Times New Roman" w:cs="Times New Roman"/>
          <w:b/>
          <w:sz w:val="19"/>
        </w:rPr>
        <w:t xml:space="preserve">Completed Corrected-BN Five-Stream-Seed Comparison (135 Cells).</w:t>
      </w:r>
    </w:p>
    <w:p>
      <w:pPr>
        <w:pStyle w:val="FirstParagraph"/>
        <w:widowControl/>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widowControl/>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w:t>
      </w:r>
      <w:r>
        <w:t xml:space="preserve"> </w:t>
      </w:r>
      <w:r>
        <w:rPr>
          <w:rStyle w:val="VerbatimChar"/>
        </w:rPr>
        <w:t xml:space="preserve">experiments/kbound/results/sar_release_gate_20260913/five_seed_completion_20260914T042454Z/</w:t>
      </w:r>
      <w:r>
        <w:t xml:space="preserve">.</w:t>
      </w:r>
      <w:r>
        <w:t xml:space="preserve"> </w:t>
      </w:r>
      <w:r>
        <w:t xml:space="preserve">The aggregator’s legacy Protocol-A schema label does not describe the bound current three-way gate replay;</w:t>
      </w:r>
      <w:r>
        <w:t xml:space="preserve"> </w:t>
      </w:r>
      <w:r>
        <w:t xml:space="preserve">the replay receipts specify that construction.</w:t>
      </w:r>
    </w:p>
    <w:p>
      <w:pPr>
        <w:pStyle w:val="TableCaption"/>
        <w:widowControl/>
      </w:pPr>
      <w:r>
        <w:t xml:space="preserve">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w:t>
      </w:r>
    </w:p>
    <w:tbl>
      <w:tblPr>
        <w:tblStyle w:val="Table"/>
        <w:tblW w:type="dxa" w:w="9960"/>
        <w:jc w:val="left"/>
        <w:tblLayout w:type="fixed"/>
        <w:tblLook w:firstRow="1" w:lastRow="0" w:firstColumn="0" w:lastColumn="0" w:noHBand="0" w:noVBand="0" w:val="0020"/>
        <w:tblCaption w:val="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46"/>
        <w:gridCol w:w="1448"/>
        <w:gridCol w:w="1969"/>
        <w:gridCol w:w="2351"/>
        <w:gridCol w:w="1446"/>
      </w:tblGrid>
      <w:tr>
        <w:trPr>
          <w:tblHeader w:val="true"/>
          <w:cantSplit w:val="true"/>
        </w:trPr>
        <w:tc>
          <w:tcPr>
            <w:tcW w:w="27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14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196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Oracle regret</w:t>
            </w:r>
          </w:p>
        </w:tc>
        <w:tc>
          <w:tcPr>
            <w:tcW w:w="23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 / F / U</w:t>
            </w:r>
          </w:p>
        </w:tc>
        <w:tc>
          <w:tcPr>
            <w:tcW w:w="14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False A</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0.4062</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0.0320</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135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0.4107</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0.0275</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135 / 0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Point-benefit gate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0.4334</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0.0047</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 / 27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w:t>
            </w:r>
          </w:p>
        </w:tc>
      </w:tr>
      <w:tr>
        <w:trPr>
          <w:cantSplit w:val="true"/>
        </w:trPr>
        <w:tc>
          <w:tcPr>
            <w:tcW w:w="27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KGA</w:t>
            </w:r>
          </w:p>
        </w:tc>
        <w:tc>
          <w:tcPr>
            <w:tcW w:w="144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0.4120</w:t>
            </w:r>
          </w:p>
        </w:tc>
        <w:tc>
          <w:tcPr>
            <w:tcW w:w="196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0.0262</w:t>
            </w:r>
          </w:p>
        </w:tc>
        <w:tc>
          <w:tcPr>
            <w:tcW w:w="235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 / 6 / 113</w:t>
            </w:r>
          </w:p>
        </w:tc>
        <w:tc>
          <w:tcPr>
            <w:tcW w:w="14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r>
    </w:tbl>
    <w:bookmarkEnd w:id="94"/>
    <w:bookmarkStart w:id="95" w:name="Xc05bea5cb6c9ee688453dd975c833ed56c778e7"/>
    <w:p>
      <w:pPr>
        <w:pStyle w:val="Heading3"/>
        <w:keepNext/>
        <w:widowControl/>
        <w:spacing w:before="100" w:after="20" w:line="252" w:lineRule="auto"/>
      </w:pPr>
      <w:r>
        <w:rPr>
          <w:rFonts w:ascii="Times New Roman" w:hAnsi="Times New Roman" w:eastAsia="Times New Roman" w:cs="Times New Roman"/>
          <w:b/>
          <w:sz w:val="19"/>
        </w:rPr>
        <w:t xml:space="preserve">Historical 60-Cell Matched-Control Matrix (Seed 0).</w:t>
      </w:r>
    </w:p>
    <w:p>
      <w:pPr>
        <w:pStyle w:val="FirstParagraph"/>
        <w:widowControl/>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TableCaption"/>
        <w:widowControl/>
      </w:pPr>
      <w:r>
        <w:t xml:space="preserve">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22"/>
        <w:gridCol w:w="2954"/>
        <w:gridCol w:w="1886"/>
        <w:gridCol w:w="2461"/>
        <w:gridCol w:w="1537"/>
      </w:tblGrid>
      <w:tr>
        <w:trPr>
          <w:tblHeader w:val="true"/>
          <w:cantSplit w:val="true"/>
        </w:trPr>
        <w:tc>
          <w:tcPr>
            <w:tcW w:w="11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29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8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m:t>η</m:t>
              </m:r>
            </m:oMath>
          </w:p>
        </w:tc>
        <w:tc>
          <w:tcPr>
            <w:tcW w:w="24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5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0.0</m:t>
              </m:r>
            </m:oMath>
            <w:r>
              <w:rPr>
                <w:rFonts w:ascii="Times New Roman" w:hAnsi="Times New Roman"/>
                <w:sz w:val="15"/>
              </w:rPr>
              <w:t xml:space="preserve"> </w:t>
            </w:r>
            <w:r>
              <w:rPr>
                <w:rFonts w:ascii="Times New Roman" w:hAnsi="Times New Roman"/>
                <w:sz w:val="15"/>
              </w:rPr>
              <w:t>(no grad)</w:t>
            </w:r>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(official)</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1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29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886"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21. Historical, non-promotable ImageNet-C SAR control summary on 60 development cells per arm (ResNet-50, shot/impulse noise [2 types], all five severities [5 levels], three batch sizes</w:t>
      </w:r>
      <w:r>
        <w:t xml:space="preserve"> </w:t>
      </w:r>
      <m:oMath>
        <m:r>
          <m:rPr>
            <m:sty m:val="p"/>
          </m:rPr>
          <m:t>{</m:t>
        </m:r>
        <m:r>
          <m:t>16</m:t>
        </m:r>
        <m:r>
          <m:rPr>
            <m:sty m:val="p"/>
          </m:rPr>
          <m:t>,</m:t>
        </m:r>
        <m:r>
          <m:t>32</m:t>
        </m:r>
        <m:r>
          <m:rPr>
            <m:sty m:val="p"/>
          </m:rPr>
          <m:t>,</m:t>
        </m:r>
        <m:r>
          <m:t>64</m:t>
        </m:r>
        <m:r>
          <m:rPr>
            <m:sty m:val="p"/>
          </m:rPr>
          <m:t>}</m:t>
        </m:r>
      </m:oMath>
      <w:r>
        <w:t xml:space="preserve"> </w:t>
      </w:r>
      <w:r>
        <w:t xml:space="preserve">[3 sizes], evaluated across 2 distinct sample windows per condition:</w:t>
      </w:r>
      <w:r>
        <w:t xml:space="preserve"> </w:t>
      </w:r>
      <m:oMath>
        <m:r>
          <m:t>2</m:t>
        </m:r>
        <m:r>
          <m:rPr>
            <m:sty m:val="p"/>
          </m:rPr>
          <m:t>×</m:t>
        </m:r>
        <m:r>
          <m:t>5</m:t>
        </m:r>
        <m:r>
          <m:rPr>
            <m:sty m:val="p"/>
          </m:rPr>
          <m:t>×</m:t>
        </m:r>
        <m:r>
          <m:t>3</m:t>
        </m:r>
        <m:r>
          <m:rPr>
            <m:sty m:val="p"/>
          </m:rPr>
          <m:t>×</m:t>
        </m:r>
        <m:r>
          <m:t>2</m:t>
        </m:r>
        <m:r>
          <m:rPr>
            <m:sty m:val="p"/>
          </m:rPr>
          <m:t>=</m:t>
        </m:r>
        <m:r>
          <m:t>60</m:t>
        </m:r>
      </m:oMath>
      <w:r>
        <w:t xml:space="preserve"> </w:t>
      </w:r>
      <w:r>
        <w:t xml:space="preserve">cells; seed 0). The raw cell records and reconciliation manifest are not resident in the current checkout. The 5 arms and Protocol A definitions are retained for historical context only; current authenticated evidence is the separate 27-cell audit in Table 22.</w:t>
      </w:r>
    </w:p>
    <w:tbl>
      <w:tblPr>
        <w:tblStyle w:val="Table"/>
        <w:tblW w:type="dxa" w:w="9960"/>
        <w:jc w:val="left"/>
        <w:tblLayout w:type="fixed"/>
        <w:tblLook w:firstRow="1" w:lastRow="0" w:firstColumn="0" w:lastColumn="0" w:noHBand="0" w:noVBand="0" w:val="0020"/>
        <w:tblCaption w:val="Table 21.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current authenticated evidence is the separate 27-cell audit in Table 22."/>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m:t>2.5</m:t>
              </m:r>
              <m:r>
                <m:rPr>
                  <m:sty m:val="p"/>
                </m:rPr>
                <m:t>×</m:t>
              </m:r>
              <m:sSup>
                <m:e>
                  <m:r>
                    <m:t>10</m:t>
                  </m:r>
                </m:e>
                <m:sup>
                  <m:r>
                    <m:rPr>
                      <m:sty m:val="p"/>
                    </m:rPr>
                    <m:t>−</m:t>
                  </m:r>
                  <m: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m:t>4</m:t>
              </m:r>
              <m:r>
                <m:rPr>
                  <m:sty m:val="p"/>
                </m:rPr>
                <m:t>×</m:t>
              </m:r>
              <m:sSup>
                <m:e>
                  <m:r>
                    <m:t>10</m:t>
                  </m:r>
                </m:e>
                <m:sup>
                  <m:r>
                    <m:rPr>
                      <m:sty m:val="p"/>
                    </m:rPr>
                    <m:t>−</m:t>
                  </m:r>
                  <m: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w:t>
      </w:r>
      <w:r>
        <w:t xml:space="preserve"> </w:t>
      </w:r>
      <w:r>
        <w:rPr>
          <w:rStyle w:val="VerbatimChar"/>
        </w:rPr>
        <w:t xml:space="preserve">experiments/kbound/results/imagenetc_sar_official_control_v1/</w:t>
      </w:r>
      <w:r>
        <w:t xml:space="preserve">.</w:t>
      </w:r>
    </w:p>
    <w:bookmarkEnd w:id="95"/>
    <w:bookmarkStart w:id="96" w:name="X5fdd6050ad43bf5c1d5de986bca1fe37d9e58ea"/>
    <w:p>
      <w:pPr>
        <w:pStyle w:val="Heading3"/>
        <w:keepNext/>
        <w:widowControl/>
        <w:spacing w:before="100" w:after="20" w:line="252" w:lineRule="auto"/>
      </w:pPr>
      <w:r>
        <w:rPr>
          <w:rFonts w:ascii="Times New Roman" w:hAnsi="Times New Roman" w:eastAsia="Times New Roman" w:cs="Times New Roman"/>
          <w:b/>
          <w:sz w:val="19"/>
        </w:rPr>
        <w:t xml:space="preserve">Historical Pre-Repair 27-Cell Calibration Audit (Seed 0).</w:t>
      </w:r>
    </w:p>
    <w:p>
      <w:pPr>
        <w:pStyle w:val="FirstParagraph"/>
        <w:widowControl/>
      </w:pPr>
      <w:r>
        <w:t xml:space="preserve">As a calibration-audit check, we replayed the completed seed-0 reference-SAR records</w:t>
      </w:r>
      <w:r>
        <w:t xml:space="preserve"> </w:t>
      </w:r>
      <w:r>
        <w:t xml:space="preserve">through the canonical three-way cell-outcome-disjoint cross-fitting implementation (Protocol B,</w:t>
      </w:r>
      <w:r>
        <w:t xml:space="preserve"> </w:t>
      </w:r>
      <w:r>
        <w:rPr>
          <w:rStyle w:val="VerbatimChar"/>
        </w:rPr>
        <w:t xml:space="preserve">kga.crossfit.controlled_grid_crossfit</w:t>
      </w:r>
      <w:r>
        <w:t xml:space="preserve">),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TableCaption"/>
        <w:widowControl/>
      </w:pPr>
      <w:r>
        <w:t xml:space="preserve">Table 22. Saved-feature outcome-disjoint calibration audit on 27 historical, pre-repair seed-0 local SAR records (ResNet-50, reference-matched learning rate</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affine; 3 corruptions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w:t>
      </w:r>
      <w:r>
        <w:t xml:space="preserve"> </w:t>
      </w:r>
      <m:oMath>
        <m:r>
          <m:rPr>
            <m:sty m:val="p"/>
          </m:rPr>
          <m:t>=</m:t>
        </m:r>
        <m:r>
          <m:t>27</m:t>
        </m:r>
      </m:oMath>
      <w:r>
        <w:t xml:space="preserve"> </w:t>
      </w:r>
      <w:r>
        <w:t xml:space="preserve">cells; small batch regime, 25 helpful</w:t>
      </w:r>
      <w:r>
        <w:t xml:space="preserve"> </w:t>
      </w:r>
      <m:oMath>
        <m:r>
          <m:t>B</m:t>
        </m:r>
        <m:r>
          <m:rPr>
            <m:sty m:val="p"/>
          </m:rPr>
          <m:t>&gt;</m:t>
        </m:r>
        <m:r>
          <m:t>0</m:t>
        </m:r>
      </m:oMath>
      <w:r>
        <w:t xml:space="preserve">, 0 harmful</w:t>
      </w:r>
      <w:r>
        <w:t xml:space="preserve"> </w:t>
      </w:r>
      <m:oMath>
        <m:r>
          <m:t>B</m:t>
        </m:r>
        <m:r>
          <m:rPr>
            <m:sty m:val="p"/>
          </m:rPr>
          <m:t>&lt;</m:t>
        </m:r>
        <m:r>
          <m:t>0</m:t>
        </m:r>
      </m:oMath>
      <w:r>
        <w:t xml:space="preserve">, 2 neutral</w:t>
      </w:r>
      <w:r>
        <w:t xml:space="preserve"> </w:t>
      </w:r>
      <m:oMath>
        <m:r>
          <m:t>B</m:t>
        </m:r>
        <m:r>
          <m:rPr>
            <m:sty m:val="p"/>
          </m:rPr>
          <m:t>=</m:t>
        </m:r>
        <m:r>
          <m:t>0</m:t>
        </m:r>
      </m:oMath>
      <w:r>
        <w:t xml:space="preserve">). This replay does not repair upstream BatchNorm behavior. Clean Cross-Fit KGA uses Protocol B (5-fold outcome-disjoint cross-fitting,</w:t>
      </w:r>
      <w:r>
        <w:t xml:space="preserve"> </w:t>
      </w:r>
      <m:oMath>
        <m:r>
          <m:t>α</m:t>
        </m:r>
        <m:r>
          <m:rPr>
            <m:sty m:val="p"/>
          </m:rPr>
          <m:t>=</m:t>
        </m:r>
        <m:r>
          <m:t>0.10</m:t>
        </m:r>
      </m:oMath>
      <w:r>
        <w:t xml:space="preserve">); Historical LOO KGA uses Protocol A (leave-one-cell-out exact rank,</w:t>
      </w:r>
      <w:r>
        <w:t xml:space="preserve"> </w:t>
      </w:r>
      <m:oMath>
        <m:r>
          <m:t>α</m:t>
        </m:r>
        <m:r>
          <m:rPr>
            <m:sty m:val="p"/>
          </m:rPr>
          <m:t>=</m:t>
        </m:r>
        <m:r>
          <m:t>0.10</m:t>
        </m:r>
      </m:oMath>
      <w:r>
        <w:t xml:space="preser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Helpful Captured is the fraction of the 25 helpful cells (</w:t>
      </w:r>
      <m:oMath>
        <m:r>
          <m:t>B</m:t>
        </m:r>
        <m:r>
          <m:rPr>
            <m:sty m:val="p"/>
          </m:rPr>
          <m:t>&gt;</m:t>
        </m:r>
        <m:r>
          <m:t>0</m:t>
        </m:r>
      </m:oMath>
      <w:r>
        <w:t xml:space="preserve">) receiving ADAPT. Baseline accuracy</w:t>
      </w:r>
      <w:r>
        <w:t xml:space="preserve"> </w:t>
      </w:r>
      <m:oMath>
        <m:sSub>
          <m:e>
            <m:r>
              <m:t>a</m:t>
            </m:r>
          </m:e>
          <m:sub>
            <m:r>
              <m:t>0</m:t>
            </m:r>
          </m:sub>
        </m:sSub>
        <m:r>
          <m:rPr>
            <m:sty m:val="p"/>
          </m:rPr>
          <m:t>=</m:t>
        </m:r>
        <m:r>
          <m:t>0.3976</m:t>
        </m:r>
      </m:oMath>
      <w:r>
        <w:t xml:space="preserve">.</w:t>
      </w:r>
    </w:p>
    <w:tbl>
      <w:tblPr>
        <w:tblStyle w:val="Table"/>
        <w:tblW w:type="dxa" w:w="9960"/>
        <w:jc w:val="left"/>
        <w:tblLayout w:type="fixed"/>
        <w:tblLook w:firstRow="1" w:lastRow="0" w:firstColumn="0" w:lastColumn="0" w:noHBand="0" w:noVBand="0" w:val="0020"/>
        <w:tblCaption w:val="Table 22.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whole-pipeline perturbation test changed one scored outcome by a large amount while leaving that cell’s fitted prediction, radius, and action unchanged, confirming that each scored cell’s outcome is strictly excluded from its own fit and calibration path under Protocol B.</w:t>
      </w:r>
      <w:r>
        <w:t xml:space="preserve"> </w:t>
      </w:r>
      <w:r>
        <w:t xml:space="preserve">We emphasize that 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audit is the current formal pipeline verification; it does not validate or replace the historical 60-cell summary, and it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96"/>
    <w:bookmarkStart w:id="97" w:name="Xe6606def75c506a411424387c78156405bbd433"/>
    <w:p>
      <w:pPr>
        <w:pStyle w:val="Heading3"/>
        <w:keepNext/>
        <w:widowControl/>
        <w:spacing w:before="100" w:after="20" w:line="252" w:lineRule="auto"/>
      </w:pPr>
      <w:r>
        <w:rPr>
          <w:rFonts w:ascii="Times New Roman" w:hAnsi="Times New Roman" w:eastAsia="Times New Roman" w:cs="Times New Roman"/>
          <w:b/>
          <w:sz w:val="19"/>
        </w:rPr>
        <w:t xml:space="preserve">Development Replay of Corrected-BN Seed 0.</w:t>
      </w:r>
    </w:p>
    <w:p>
      <w:pPr>
        <w:pStyle w:val="FirstParagraph"/>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in</w:t>
      </w:r>
      <w:r>
        <w:t xml:space="preserve"> </w:t>
      </w:r>
      <w:r>
        <w:rPr>
          <w:rStyle w:val="VerbatimChar"/>
        </w:rPr>
        <w:t xml:space="preserve">experiments/kbound/results/sar_bncorrected_seed0_disjoint_20260912/</w:t>
      </w:r>
      <w:r>
        <w:t xml:space="preserve">.</w:t>
      </w:r>
      <w:r>
        <w:t xml:space="preserve"> </w:t>
      </w:r>
      <w:r>
        <w:t xml:space="preserve">The maintained head-to-head CLI now also accepts an explicitly hash-bound saved-row</w:t>
      </w:r>
      <w:r>
        <w:t xml:space="preserve"> </w:t>
      </w:r>
      <w:r>
        <w:t xml:space="preserve">checkpoint and a fresh output directory. Its independent CLI replay in</w:t>
      </w:r>
      <w:r>
        <w:t xml:space="preserve"> </w:t>
      </w:r>
      <w:r>
        <w:rPr>
          <w:rStyle w:val="VerbatimChar"/>
        </w:rPr>
        <w:t xml:space="preserve">experiments/kbound/results/sar_bncorrected_seed0_cli_20260912/</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97"/>
    <w:bookmarkStart w:id="98" w:name="X258975f366d1eeac6f5c59efc1205b2d80ac9b1"/>
    <w:p>
      <w:pPr>
        <w:pStyle w:val="Heading3"/>
        <w:keepNext/>
        <w:widowControl/>
        <w:spacing w:before="100" w:after="20" w:line="252" w:lineRule="auto"/>
      </w:pPr>
      <w:r>
        <w:rPr>
          <w:rFonts w:ascii="Times New Roman" w:hAnsi="Times New Roman" w:eastAsia="Times New Roman" w:cs="Times New Roman"/>
          <w:b/>
          <w:sz w:val="19"/>
        </w:rPr>
        <w:t xml:space="preserve">Authenticated Five-Arm Matched SAR Control Study (Task 4 Closeout).</w:t>
      </w:r>
    </w:p>
    <w:p>
      <w:pPr>
        <w:pStyle w:val="FirstParagraph"/>
        <w:widowControl/>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executed an authenticated five-arm matched ablation on the identical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Full provenance, SHA-256 manifests, and raw outputs are documented in</w:t>
      </w:r>
      <w:r>
        <w:t xml:space="preserve"> </w:t>
      </w:r>
      <w:r>
        <w:rPr>
          <w:rStyle w:val="VerbatimChar"/>
        </w:rPr>
        <w:t xml:space="preserve">experiments/kbound/results/task4_matched_sar_v1/</w:t>
      </w:r>
      <w:r>
        <w:t xml:space="preserve"> </w:t>
      </w:r>
      <w:r>
        <w:t xml:space="preserve">and</w:t>
      </w:r>
      <w:r>
        <w:t xml:space="preserve"> </w:t>
      </w:r>
      <w:r>
        <w:rPr>
          <w:rStyle w:val="VerbatimChar"/>
        </w:rPr>
        <w:t xml:space="preserve">TASK4_FINAL_CLOSEOUT.md</w:t>
      </w:r>
      <w:r>
        <w:t xml:space="preserve">.</w:t>
      </w:r>
    </w:p>
    <w:p>
      <w:pPr>
        <w:pStyle w:val="BodyText"/>
        <w:widowControl/>
      </w:pPr>
      <w:r>
        <w:t xml:space="preserve">Each arm record in the raw audit ledger contains a verified input sample hash (</w:t>
      </w:r>
      <w:r>
        <w:rPr>
          <w:rStyle w:val="VerbatimChar"/>
        </w:rPr>
        <w:t xml:space="preserve">sample_hash</w:t>
      </w:r>
      <w:r>
        <w:t xml:space="preserve">), pre- and post-adaptation model state hashes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explicit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identifying the exact intervention applied.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activates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verify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w:t>
      </w:r>
      <w:r>
        <w:t xml:space="preserve"> </w:t>
      </w:r>
      <w:r>
        <w:rPr>
          <w:rStyle w:val="VerbatimChar"/>
        </w:rPr>
        <w:t xml:space="preserve">experiments/kbound/results/task4_matched_sar_v1/raw/</w:t>
      </w:r>
      <w:r>
        <w:t xml:space="preserve">.</w:t>
      </w:r>
    </w:p>
    <w:p>
      <w:pPr>
        <w:pStyle w:val="TableCaption"/>
        <w:widowControl/>
      </w:pPr>
      <w:r>
        <w:t xml:space="preserve">Table 23.</w:t>
      </w:r>
      <w:r>
        <w:t xml:space="preserve"> </w:t>
      </w:r>
      <w:r>
        <w:rPr>
          <w:b/>
          <w:bCs/>
        </w:rPr>
        <w:t xml:space="preserve">Task 4 Authenticated Matched SAR Control Study on ImageNet-C.</w:t>
      </w:r>
      <w:r>
        <w:t xml:space="preserve"> </w:t>
      </w:r>
      <w:r>
        <w:t xml:space="preserve">Five-arm matched ablation varying learning rate</w:t>
      </w:r>
      <w:r>
        <w:t xml:space="preserve"> </w:t>
      </w:r>
      <m:oMath>
        <m:r>
          <m:t>η</m:t>
        </m:r>
      </m:oMath>
      <w:r>
        <w:t xml:space="preserve"> </w:t>
      </w:r>
      <w:r>
        <w:t xml:space="preserve">and parameter mask (with layer 4 frozen vs adapted) on a shared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 Candidate accuracy</w:t>
      </w:r>
      <w:r>
        <w:t xml:space="preserve"> </w:t>
      </w:r>
      <m:oMath>
        <m:sSub>
          <m:e>
            <m:r>
              <m:t>a</m:t>
            </m:r>
          </m:e>
          <m:sub>
            <m:r>
              <m:rPr>
                <m:sty m:val="p"/>
              </m:rPr>
              <m:t>c</m:t>
            </m:r>
            <m:r>
              <m:rPr>
                <m:sty m:val="p"/>
              </m:rPr>
              <m:t>a</m:t>
            </m:r>
            <m:r>
              <m:rPr>
                <m:sty m:val="p"/>
              </m:rPr>
              <m:t>n</m:t>
            </m:r>
            <m:r>
              <m:rPr>
                <m:sty m:val="p"/>
              </m:rPr>
              <m:t>d</m:t>
            </m:r>
          </m:sub>
        </m:sSub>
      </m:oMath>
      <w:r>
        <w:t xml:space="preserve">, benefit</w:t>
      </w:r>
      <w:r>
        <w:t xml:space="preserve"> </w:t>
      </w:r>
      <m:oMath>
        <m:r>
          <m:rPr>
            <m:sty m:val="p"/>
          </m:rPr>
          <m:t>Δ</m:t>
        </m:r>
        <m:r>
          <m:rPr>
            <m:sty m:val="p"/>
          </m:rPr>
          <m:t>=</m:t>
        </m:r>
        <m:sSub>
          <m:e>
            <m:r>
              <m:t>a</m:t>
            </m:r>
          </m:e>
          <m:sub>
            <m:r>
              <m:rPr>
                <m:sty m:val="p"/>
              </m:rPr>
              <m:t>c</m:t>
            </m:r>
            <m:r>
              <m:rPr>
                <m:sty m:val="p"/>
              </m:rPr>
              <m:t>a</m:t>
            </m:r>
            <m:r>
              <m:rPr>
                <m:sty m:val="p"/>
              </m:rPr>
              <m:t>n</m:t>
            </m:r>
            <m:r>
              <m:rPr>
                <m:sty m:val="p"/>
              </m:rPr>
              <m:t>d</m:t>
            </m:r>
          </m:sub>
        </m:sSub>
        <m:r>
          <m:rPr>
            <m:sty m:val="p"/>
          </m:rPr>
          <m:t>−</m:t>
        </m:r>
        <m:sSub>
          <m:e>
            <m:r>
              <m:t>a</m:t>
            </m:r>
          </m:e>
          <m:sub>
            <m:r>
              <m:t>0</m:t>
            </m:r>
          </m:sub>
        </m:sSub>
      </m:oMath>
      <w:r>
        <w:t xml:space="preserve">, parameter update norm</w:t>
      </w:r>
      <w:r>
        <w:t xml:space="preserve"> </w:t>
      </w:r>
      <m:oMath>
        <m:r>
          <m:rPr>
            <m:sty m:val="p"/>
          </m:rPr>
          <m:t>∥</m:t>
        </m:r>
        <m:r>
          <m:rPr>
            <m:sty m:val="p"/>
          </m:rPr>
          <m:t>Δ</m:t>
        </m:r>
        <m:r>
          <m:t>θ</m:t>
        </m:r>
        <m:sSub>
          <m:e>
            <m:r>
              <m:rPr>
                <m:sty m:val="p"/>
              </m:rPr>
              <m:t>∥</m:t>
            </m:r>
          </m:e>
          <m:sub>
            <m:r>
              <m:t>2</m:t>
            </m:r>
          </m:sub>
        </m:sSub>
      </m:oMath>
      <w:r>
        <w:t xml:space="preserve">, Protocol B KGA routed accuracy</w:t>
      </w:r>
      <w:r>
        <w:t xml:space="preserve"> </w:t>
      </w:r>
      <m:oMath>
        <m:sSub>
          <m:e>
            <m:r>
              <m:t>a</m:t>
            </m:r>
          </m:e>
          <m:sub>
            <m:r>
              <m:rPr>
                <m:sty m:val="p"/>
              </m:rPr>
              <m:t>K</m:t>
            </m:r>
            <m:r>
              <m:rPr>
                <m:sty m:val="p"/>
              </m:rPr>
              <m:t>G</m:t>
            </m:r>
            <m:r>
              <m:rPr>
                <m:sty m:val="p"/>
              </m:rPr>
              <m:t>A</m:t>
            </m:r>
          </m:sub>
        </m:sSub>
      </m:oMath>
      <w:r>
        <w:t xml:space="preserve">, oracle regret</w:t>
      </w:r>
      <w:r>
        <w:t xml:space="preserve"> </w:t>
      </w:r>
      <m:oMath>
        <m:sSub>
          <m:e>
            <m:r>
              <m:t>R</m:t>
            </m:r>
          </m:e>
          <m:sub>
            <m:r>
              <m:rPr>
                <m:sty m:val="p"/>
              </m:rPr>
              <m:t>K</m:t>
            </m:r>
            <m:r>
              <m:rPr>
                <m:sty m:val="p"/>
              </m:rPr>
              <m:t>G</m:t>
            </m:r>
            <m:r>
              <m:rPr>
                <m:sty m:val="p"/>
              </m:rPr>
              <m:t>A</m:t>
            </m:r>
          </m:sub>
        </m:sSub>
      </m:oMath>
      <w:r>
        <w:t xml:space="preserve">, unconditional false adapt rate</w:t>
      </w:r>
      <w:r>
        <w:t xml:space="preserve"> </w:t>
      </w:r>
      <m:oMath>
        <m:sSub>
          <m:e>
            <m:r>
              <m:rPr>
                <m:sty m:val="p"/>
              </m:rPr>
              <m:t>F</m:t>
            </m:r>
            <m:r>
              <m:rPr>
                <m:sty m:val="p"/>
              </m:rPr>
              <m:t>A</m:t>
            </m:r>
          </m:e>
          <m:sub>
            <m:r>
              <m:t>u</m:t>
            </m:r>
          </m:sub>
        </m:sSub>
      </m:oMath>
      <w:r>
        <w:t xml:space="preserve">, and decision counts (Adapt / Freeze / Abstain) under exact rank conformal routing (</w:t>
      </w:r>
      <m:oMath>
        <m:r>
          <m:t>α</m:t>
        </m:r>
        <m:r>
          <m:rPr>
            <m:sty m:val="p"/>
          </m:rPr>
          <m:t>=</m:t>
        </m:r>
        <m:r>
          <m:t>0.10</m:t>
        </m:r>
        <m:r>
          <m:rPr>
            <m:sty m:val="p"/>
          </m:rPr>
          <m:t>,</m:t>
        </m:r>
        <m:r>
          <m:t>τ</m:t>
        </m:r>
        <m:r>
          <m:rPr>
            <m:sty m:val="p"/>
          </m:rPr>
          <m:t>=</m:t>
        </m:r>
        <m:r>
          <m:t>0</m:t>
        </m:r>
      </m:oMath>
      <w:r>
        <w:t xml:space="preserve">). Always Freeze regret is</w:t>
      </w:r>
      <w:r>
        <w:t xml:space="preserve"> </w:t>
      </w:r>
      <m:oMath>
        <m:r>
          <m:t>3.30</m:t>
        </m:r>
      </m:oMath>
      <w:r>
        <w:t xml:space="preserve">–</w:t>
      </w:r>
      <m:oMath>
        <m:r>
          <m:t>3.31</m:t>
        </m:r>
        <m:r>
          <m:t> </m:t>
        </m:r>
        <m:r>
          <m:rPr>
            <m:nor/>
            <m:sty m:val="p"/>
          </m:rPr>
          <m:t>pp</m:t>
        </m:r>
      </m:oMath>
      <w:r>
        <w:t xml:space="preserve"> </w:t>
      </w:r>
      <w:r>
        <w:t xml:space="preserve">across arms (</w:t>
      </w:r>
      <m:oMath>
        <m:r>
          <m:t>3.30</m:t>
        </m:r>
        <m:r>
          <m:t> </m:t>
        </m:r>
        <m:r>
          <m:rPr>
            <m:nor/>
            <m:sty m:val="p"/>
          </m:rPr>
          <m:t>pp</m:t>
        </m:r>
      </m:oMath>
      <w:r>
        <w:t xml:space="preserve"> </w:t>
      </w:r>
      <w:r>
        <w:t xml:space="preserve">for Arms 1–4,</w:t>
      </w:r>
      <w:r>
        <w:t xml:space="preserve"> </w:t>
      </w:r>
      <m:oMath>
        <m:r>
          <m:t>3.31</m:t>
        </m:r>
        <m:r>
          <m:t> </m:t>
        </m:r>
        <m:r>
          <m:rPr>
            <m:nor/>
            <m:sty m:val="p"/>
          </m:rPr>
          <m:t>pp</m:t>
        </m:r>
      </m:oMath>
      <w:r>
        <w:t xml:space="preserve"> </w:t>
      </w:r>
      <w:r>
        <w:t xml:space="preserve">for Arm 5); Always Adapt regret is</w:t>
      </w:r>
      <w:r>
        <w:t xml:space="preserve"> </w:t>
      </w:r>
      <m:oMath>
        <m:r>
          <m:t>0.00</m:t>
        </m:r>
        <m:r>
          <m:t> </m:t>
        </m:r>
        <m:r>
          <m:rPr>
            <m:nor/>
            <m:sty m:val="p"/>
          </m:rPr>
          <m:t>pp</m:t>
        </m:r>
      </m:oMath>
      <w:r>
        <w:t xml:space="preserve">. Benefit</w:t>
      </w:r>
      <w:r>
        <w:t xml:space="preserve"> </w:t>
      </w:r>
      <m:oMath>
        <m:r>
          <m:rPr>
            <m:sty m:val="p"/>
          </m:rPr>
          <m:t>Δ</m:t>
        </m:r>
      </m:oMath>
      <w:r>
        <w:t xml:space="preserve">, accuracy, and regret are reported in percentage points. Raw per-condition records, sample hashes, and computational flags are archived in</w:t>
      </w:r>
      <w:r>
        <w:t xml:space="preserve"> </w:t>
      </w:r>
      <w:r>
        <w:rPr>
          <w:rStyle w:val="VerbatimChar"/>
        </w:rPr>
        <w:t xml:space="preserve">experiments/kbound/results/task4_matched_sar_v1/raw/</w:t>
      </w:r>
      <w:r>
        <w:t xml:space="preserve">.</w:t>
      </w:r>
    </w:p>
    <w:tbl>
      <w:tblPr>
        <w:tblStyle w:val="Table"/>
        <w:tblW w:type="dxa" w:w="9960"/>
        <w:jc w:val="left"/>
        <w:tblLayout w:type="fixed"/>
        <w:tblLook w:firstRow="1" w:lastRow="0" w:firstColumn="0" w:lastColumn="0" w:noHBand="0" w:noVBand="0" w:val="0020"/>
        <w:tblCaption w:val="Table 23. Task 4 Authenticated Matched SAR Control Study on ImageNet-C. Five-arm matched ablation varying learning rate \eta and parameter mask (with layer 4 frozen vs adapted) on a shared 27-condition ImageNet-C noise panel (n=27 cells, ResNet-50 source checkpoint, small batch regime b=16, seed 0). Candidate accuracy a_{\mathrm{cand}}, benefit \Delta = a_{\mathrm{cand}} - a_0, parameter update norm \|\Delta \theta\|_2, Protocol B KGA routed accuracy a_{\mathrm{KGA}}, oracle regret R_{\mathrm{KGA}}, unconditional false adapt rate \mathrm{FA}_u, and decision counts (Adapt / Freeze / Abstain) under exact rank conformal routing (\alpha=0.10, \tau=0). Always Freeze regret is 3.30–3.31\,\text{pp} across arms (3.30\,\text{pp} for Arms 1–4, 3.31\,\text{pp} for Arm 5); Always Adapt regret is 0.00\,\text{pp}. Benefit \Delta, accuracy, and regret are reported in percentage points. Raw per-condition records, sample hashes, and computational flags are archived in experiments/kbound/results/task4_matched_sar_v1/ra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09"/>
        <w:gridCol w:w="1897"/>
        <w:gridCol w:w="709"/>
        <w:gridCol w:w="1146"/>
        <w:gridCol w:w="709"/>
        <w:gridCol w:w="709"/>
        <w:gridCol w:w="709"/>
        <w:gridCol w:w="709"/>
        <w:gridCol w:w="709"/>
        <w:gridCol w:w="709"/>
        <w:gridCol w:w="1245"/>
      </w:tblGrid>
      <w:tr>
        <w:trPr>
          <w:tblHeader w:val="true"/>
          <w:cantSplit w:val="true"/>
        </w:trPr>
        <w:tc>
          <w:tcPr>
            <w:tcW w:w="7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Arm</w:t>
            </w:r>
          </w:p>
        </w:tc>
        <w:tc>
          <w:tcPr>
            <w:tcW w:w="18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Configuration</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η</m:t>
              </m:r>
            </m:oMath>
          </w:p>
        </w:tc>
        <w:tc>
          <w:tcPr>
            <w:tcW w:w="1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Adapted Layers</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c</m:t>
                  </m:r>
                  <m:r>
                    <m:rPr>
                      <m:sty m:val="p"/>
                    </m:rPr>
                    <m:t>a</m:t>
                  </m:r>
                  <m:r>
                    <m:rPr>
                      <m:sty m:val="p"/>
                    </m:rPr>
                    <m:t>n</m:t>
                  </m:r>
                  <m:r>
                    <m:rPr>
                      <m:sty m:val="p"/>
                    </m:rPr>
                    <m:t>d</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Δ</m:t>
              </m:r>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m:t>
              </m:r>
              <m:r>
                <m:rPr>
                  <m:sty m:val="b"/>
                </m:rPr>
                <m:t>Δ</m:t>
              </m:r>
              <m:r>
                <m:rPr>
                  <m:sty m:val="bi"/>
                </m:rPr>
                <m:t>θ</m:t>
              </m:r>
              <m:sSub>
                <m:e>
                  <m:r>
                    <m:rPr>
                      <m:sty m:val="b"/>
                    </m:rPr>
                    <m:t>∥</m:t>
                  </m:r>
                </m:e>
                <m:sub>
                  <m:r>
                    <m:rPr>
                      <m:sty m:val="b"/>
                    </m:rPr>
                    <m:t>2</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R</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12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1</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BN-only (zero grad)</w:t>
            </w:r>
          </w:p>
        </w:tc>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None</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2</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(official)</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24/0/3</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3</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0.0182</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4</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27/0/0</w:t>
            </w:r>
          </w:p>
        </w:tc>
      </w:tr>
      <w:tr>
        <w:trPr>
          <w:cantSplit w:val="true"/>
        </w:trPr>
        <w:tc>
          <w:tcPr>
            <w:tcW w:w="70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Arm 5</w:t>
            </w:r>
          </w:p>
        </w:tc>
        <w:tc>
          <w:tcPr>
            <w:tcW w:w="189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709"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0.0241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27/0/0</w:t>
            </w:r>
          </w:p>
        </w:tc>
      </w:tr>
    </w:tbl>
    <w:bookmarkEnd w:id="98"/>
    <w:bookmarkStart w:id="99"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24. ImageNet-C head-to-head decision baseline comparison across 36 noise conditions per candidate (</w:t>
      </w:r>
      <m:oMath>
        <m:r>
          <m:t>N</m:t>
        </m:r>
        <m:r>
          <m:rPr>
            <m:sty m:val="p"/>
          </m:rPr>
          <m:t>=</m:t>
        </m:r>
        <m: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m:t>P</m:t>
        </m:r>
        <m:r>
          <m:rPr>
            <m:sty m:val="p"/>
          </m:rPr>
          <m:t>[</m:t>
        </m:r>
        <m:r>
          <m:rPr>
            <m:nor/>
            <m:sty m:val="p"/>
          </m:rPr>
          <m:t>adapt</m:t>
        </m:r>
        <m:r>
          <m:rPr>
            <m:sty m:val="p"/>
          </m:rPr>
          <m:t>]</m:t>
        </m:r>
      </m:oMath>
      <w:r>
        <w:t xml:space="preserve">. Directional commitment rate is</w:t>
      </w:r>
      <w:r>
        <w:t xml:space="preserve"> </w:t>
      </w:r>
      <m:oMath>
        <m:r>
          <m:rPr>
            <m:scr m:val="double-struck"/>
            <m:sty m:val="p"/>
          </m:rPr>
          <m:t>P</m:t>
        </m:r>
        <m:r>
          <m:rPr>
            <m:sty m:val="p"/>
          </m:rPr>
          <m:t>[</m:t>
        </m:r>
        <m:r>
          <m:rPr>
            <m:nor/>
            <m:sty m:val="p"/>
          </m:rPr>
          <m:t>adapt</m:t>
        </m:r>
        <m:r>
          <m:rPr>
            <m:nor/>
            <m:sty m:val="p"/>
          </m:rPr>
          <m:t> or </m:t>
        </m:r>
        <m:r>
          <m:rPr>
            <m:nor/>
            <m:sty m:val="p"/>
          </m:rPr>
          <m:t>freeze</m:t>
        </m:r>
        <m:r>
          <m:rPr>
            <m:sty m:val="p"/>
          </m:rPr>
          <m:t>]</m:t>
        </m:r>
      </m:oMath>
      <w:r>
        <w:t xml:space="preserve">.</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rPr>
            <m:nor/>
            <m:sty m:val="p"/>
          </m:rPr>
          <m:t>adapt</m:t>
        </m:r>
        <m:r>
          <m:rPr>
            <m:sty m:val="p"/>
          </m:rPr>
          <m:t>]</m:t>
        </m:r>
      </m:oMath>
      <w:r>
        <w:t xml:space="preserve">. Harmful adapted is the proportion of all harmful conditions (</w:t>
      </w:r>
      <m:oMath>
        <m:r>
          <m:t>B</m:t>
        </m:r>
        <m:r>
          <m:rPr>
            <m:sty m:val="p"/>
          </m:rPr>
          <m:t>&lt;</m:t>
        </m:r>
        <m: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4.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99"/>
    <w:bookmarkStart w:id="100" w:name="X0a986839cf13503ce0a6d50604a1b3e5f7cc960"/>
    <w:p>
      <w:pPr>
        <w:pStyle w:val="Heading3"/>
        <w:widowControl/>
      </w:pPr>
      <w:r>
        <w:t xml:space="preserve">B.3.2 CIFAR-10-C Systematic Decision Rule Comparison (Task 3)</w:t>
      </w:r>
    </w:p>
    <w:p>
      <w:pPr>
        <w:pStyle w:val="FirstParagraph"/>
        <w:widowControl/>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p>
      <w:pPr>
        <w:pStyle w:val="TableCaption"/>
        <w:widowControl/>
      </w:pPr>
      <w:r>
        <w:t xml:space="preserve">Table 25. Systematic comparison of nine decision rules on the authoritative Protocol B CIFAR-10-C Tent panel (</w:t>
      </w:r>
      <m:oMath>
        <m:r>
          <m:t>N</m:t>
        </m:r>
        <m:r>
          <m:rPr>
            <m:sty m:val="p"/>
          </m:rPr>
          <m:t>=</m:t>
        </m:r>
        <m:r>
          <m:t>2</m:t>
        </m:r>
        <m:r>
          <m:rPr>
            <m:sty m:val="p"/>
          </m:rPr>
          <m:t>,</m:t>
        </m:r>
        <m:r>
          <m:t>160</m:t>
        </m:r>
      </m:oMath>
      <w:r>
        <w:t xml:space="preserve"> </w:t>
      </w:r>
      <w:r>
        <w:t xml:space="preserve">cells):</w:t>
      </w:r>
      <w:r>
        <w:t xml:space="preserve"> </w:t>
      </w:r>
      <w:r>
        <w:rPr>
          <w:b/>
          <w:bCs/>
        </w:rPr>
        <w:t xml:space="preserve">performance and action counts</w:t>
      </w:r>
      <w:r>
        <w:t xml:space="preserve">. Regret is mean accuracy shortfall to oracle. A/F/U are Adapt/Freeze/Abstain counts. Commitment</w:t>
      </w:r>
      <w:r>
        <w:t xml:space="preserve"> </w:t>
      </w:r>
      <m:oMath>
        <m:r>
          <m:rPr>
            <m:sty m:val="p"/>
          </m:rPr>
          <m:t>=</m:t>
        </m:r>
        <m:r>
          <m:rPr>
            <m:sty m:val="p"/>
          </m:rPr>
          <m:t>(</m:t>
        </m:r>
        <m:r>
          <m:t>A</m:t>
        </m:r>
        <m:r>
          <m:rPr>
            <m:sty m:val="p"/>
          </m:rPr>
          <m:t>+</m:t>
        </m:r>
        <m:r>
          <m:t>F</m:t>
        </m:r>
        <m:r>
          <m:rPr>
            <m:sty m:val="p"/>
          </m:rPr>
          <m:t>)</m:t>
        </m:r>
        <m:r>
          <m:rPr>
            <m:sty m:val="p"/>
          </m:rPr>
          <m:t>/</m:t>
        </m:r>
        <m:r>
          <m:t>N</m:t>
        </m:r>
      </m:oMath>
      <w:r>
        <w:t xml:space="preserve">; Abstention</w:t>
      </w:r>
      <w:r>
        <w:t xml:space="preserve"> </w:t>
      </w:r>
      <m:oMath>
        <m:r>
          <m:rPr>
            <m:sty m:val="p"/>
          </m:rPr>
          <m:t>=</m:t>
        </m:r>
        <m:r>
          <m:t>U</m:t>
        </m:r>
        <m:r>
          <m:rPr>
            <m:sty m:val="p"/>
          </m:rPr>
          <m:t>/</m:t>
        </m:r>
        <m:r>
          <m:t>N</m:t>
        </m:r>
      </m:oMath>
      <w:r>
        <w:t xml:space="preserve">. Denominators: A+F+U</w:t>
      </w:r>
      <w:r>
        <w:t xml:space="preserve"> </w:t>
      </w:r>
      <m:oMath>
        <m:r>
          <m:rPr>
            <m:sty m:val="p"/>
          </m:rPr>
          <m:t>=</m:t>
        </m:r>
        <m:r>
          <m:t>2</m:t>
        </m:r>
        <m:r>
          <m:rPr>
            <m:sty m:val="p"/>
          </m:rPr>
          <m:t>,</m:t>
        </m:r>
        <m:r>
          <m:t>160</m:t>
        </m:r>
      </m:oMath>
      <w:r>
        <w:t xml:space="preserve"> </w:t>
      </w:r>
      <w:r>
        <w:t xml:space="preserve">for all rows.</w:t>
      </w:r>
    </w:p>
    <w:tbl>
      <w:tblPr>
        <w:tblStyle w:val="Table"/>
        <w:tblW w:type="dxa" w:w="9960"/>
        <w:jc w:val="left"/>
        <w:tblLayout w:type="fixed"/>
        <w:tblLook w:firstRow="1" w:lastRow="0" w:firstColumn="0" w:lastColumn="0" w:noHBand="0" w:noVBand="0" w:val="0020"/>
        <w:tblCaption w:val="Table 25. Systematic comparison of nine decision rules on the authoritative Protocol B CIFAR-10-C Tent panel (N=2{,}160 cells): performance and action counts. Regret is mean accuracy shortfall to oracle. A/F/U are Adapt/Freeze/Abstain counts. Commitment = (A+F)/N; Abstention = U/N. Denominators: A+F+U = 2{,}160 for all row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6"/>
        <w:gridCol w:w="1054"/>
        <w:gridCol w:w="950"/>
        <w:gridCol w:w="1945"/>
        <w:gridCol w:w="1054"/>
        <w:gridCol w:w="1054"/>
        <w:gridCol w:w="1087"/>
      </w:tblGrid>
      <w:tr>
        <w:trPr>
          <w:tblHeader w:val="true"/>
          <w:cantSplit w:val="true"/>
        </w:trPr>
        <w:tc>
          <w:tcPr>
            <w:tcW w:w="2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Score</w:t>
            </w:r>
          </w:p>
        </w:tc>
        <w:tc>
          <w:tcPr>
            <w:tcW w:w="9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9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 / F / U</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Abstention</w:t>
            </w:r>
          </w:p>
        </w:tc>
        <w:tc>
          <w:tcPr>
            <w:tcW w:w="108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 / 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1834 / 326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0.7868</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0.0081</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1812 / 348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0.7914</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0.0035</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1467 / 693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0.7945</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0.0004</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1471 / 689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0.7930</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1090 / 328 / 742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0.6565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0.3435</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0.7931</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1094 / 334 / 732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0.6611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0.3389</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bl>
    <w:p>
      <w:pPr>
        <w:widowControl/>
      </w:pPr>
    </w:p>
    <w:p>
      <w:pPr>
        <w:pStyle w:val="TableCaption"/>
        <w:widowControl/>
      </w:pPr>
      <w:r>
        <w:t xml:space="preserve">Table 26. Systematic comparison of nine decision rules:</w:t>
      </w:r>
      <w:r>
        <w:t xml:space="preserve"> </w:t>
      </w:r>
      <w:r>
        <w:rPr>
          <w:b/>
          <w:bCs/>
        </w:rPr>
        <w:t xml:space="preserve">directional errors and benefit capture</w:t>
      </w:r>
      <w:r>
        <w:t xml:space="preserve"> </w:t>
      </w:r>
      <w:r>
        <w:t xml:space="preserve">(same</w:t>
      </w:r>
      <w:r>
        <w:t xml:space="preserve"> </w:t>
      </w:r>
      <m:oMath>
        <m:r>
          <m:t>N</m:t>
        </m:r>
        <m:r>
          <m:rPr>
            <m:sty m:val="p"/>
          </m:rPr>
          <m:t>=</m:t>
        </m:r>
        <m:r>
          <m:t>2</m:t>
        </m:r>
        <m:r>
          <m:rPr>
            <m:sty m:val="p"/>
          </m:rPr>
          <m:t>,</m:t>
        </m:r>
        <m:r>
          <m:t>160</m:t>
        </m:r>
      </m:oMath>
      <w:r>
        <w:t xml:space="preserve"> </w:t>
      </w:r>
      <w:r>
        <w:t xml:space="preserve">Tent panel as above).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w:t>
      </w:r>
      <w:r>
        <w:t xml:space="preserve">(divides by</w:t>
      </w:r>
      <w:r>
        <w:t xml:space="preserve"> </w:t>
      </w:r>
      <m:oMath>
        <m:r>
          <m:t>N</m:t>
        </m:r>
        <m:r>
          <m:rPr>
            <m:sty m:val="p"/>
          </m:rPr>
          <m:t>=</m:t>
        </m:r>
        <m:r>
          <m:t>2</m:t>
        </m:r>
        <m:r>
          <m:rPr>
            <m:sty m:val="p"/>
          </m:rPr>
          <m:t>,</m:t>
        </m:r>
        <m:r>
          <m:t>160</m:t>
        </m:r>
      </m:oMath>
      <w:r>
        <w:t xml:space="preserve">);</w:t>
      </w:r>
      <w:r>
        <w:t xml:space="preserve"> </w:t>
      </w:r>
      <m:oMath>
        <m:sSub>
          <m:e>
            <m:r>
              <m:rPr>
                <m:sty m:val="p"/>
              </m:rPr>
              <m:t>F</m:t>
            </m:r>
            <m:r>
              <m:rPr>
                <m:sty m:val="p"/>
              </m:rPr>
              <m:t>A</m:t>
            </m:r>
          </m:e>
          <m:sub>
            <m:r>
              <m:t>c</m:t>
            </m:r>
          </m:sub>
        </m:sSub>
      </m:oMath>
      <w:r>
        <w:t xml:space="preserve"> </w:t>
      </w:r>
      <w:r>
        <w:t xml:space="preserve">divides by ADAPT count (undefined when ADAPT</w:t>
      </w:r>
      <m:oMath>
        <m:r>
          <m:rPr>
            <m:sty m:val="p"/>
          </m:rPr>
          <m:t>=</m:t>
        </m:r>
        <m:r>
          <m:t>0</m:t>
        </m:r>
      </m:oMath>
      <w:r>
        <w:t xml:space="preserve">).</w:t>
      </w:r>
      <w:r>
        <w:t xml:space="preserve"> </w:t>
      </w:r>
      <m:oMath>
        <m:sSub>
          <m:e>
            <m:r>
              <m:rPr>
                <m:sty m:val="p"/>
              </m:rPr>
              <m:t>F</m:t>
            </m:r>
            <m:r>
              <m:rPr>
                <m:sty m:val="p"/>
              </m:rPr>
              <m:t>F</m:t>
            </m:r>
          </m:e>
          <m:sub>
            <m:r>
              <m:t>u</m:t>
            </m:r>
          </m:sub>
        </m:sSub>
        <m:r>
          <m:rPr>
            <m:sty m:val="p"/>
          </m:rPr>
          <m:t>=</m:t>
        </m:r>
        <m:r>
          <m:rPr>
            <m:scr m:val="double-struck"/>
            <m:sty m:val="p"/>
          </m:rPr>
          <m:t>P</m:t>
        </m:r>
        <m:r>
          <m:rPr>
            <m:sty m:val="p"/>
          </m:rPr>
          <m:t>[</m:t>
        </m:r>
        <m:r>
          <m:rPr>
            <m:nor/>
            <m:sty m:val="p"/>
          </m:rPr>
          <m:t>FREEZE</m:t>
        </m:r>
        <m:r>
          <m:rPr>
            <m:sty m:val="p"/>
          </m:rPr>
          <m:t>,</m:t>
        </m:r>
        <m:r>
          <m:t>B</m:t>
        </m:r>
        <m:r>
          <m:rPr>
            <m:sty m:val="p"/>
          </m:rPr>
          <m:t>≥</m:t>
        </m:r>
        <m:r>
          <m:t>0</m:t>
        </m:r>
        <m:r>
          <m:rPr>
            <m:sty m:val="p"/>
          </m:rPr>
          <m:t>]</m:t>
        </m:r>
      </m:oMath>
      <w:r>
        <w:t xml:space="preserve"> </w:t>
      </w:r>
      <w:r>
        <w:t xml:space="preserve">(divides by</w:t>
      </w:r>
      <w:r>
        <w:t xml:space="preserve"> </w:t>
      </w:r>
      <m:oMath>
        <m:r>
          <m:t>N</m:t>
        </m:r>
      </m:oMath>
      <w:r>
        <w:t xml:space="preserve">);</w:t>
      </w:r>
      <w:r>
        <w:t xml:space="preserve"> </w:t>
      </w:r>
      <m:oMath>
        <m:sSub>
          <m:e>
            <m:r>
              <m:rPr>
                <m:sty m:val="p"/>
              </m:rPr>
              <m:t>F</m:t>
            </m:r>
            <m:r>
              <m:rPr>
                <m:sty m:val="p"/>
              </m:rPr>
              <m:t>F</m:t>
            </m:r>
          </m:e>
          <m:sub>
            <m:r>
              <m:t>c</m:t>
            </m:r>
          </m:sub>
        </m:sSub>
      </m:oMath>
      <w:r>
        <w:t xml:space="preserve"> </w:t>
      </w:r>
      <w:r>
        <w:t xml:space="preserve">divides by FREEZE count. Nonpos. Adapt</w:t>
      </w:r>
      <w:r>
        <w:t xml:space="preserve"> </w:t>
      </w:r>
      <m:oMath>
        <m:r>
          <m:rPr>
            <m:sty m:val="p"/>
          </m:rPr>
          <m:t>=</m:t>
        </m:r>
      </m:oMath>
      <w:r>
        <w:t xml:space="preserve"> </w:t>
      </w:r>
      <w:r>
        <w:t xml:space="preserve">fraction of</w:t>
      </w:r>
      <w:r>
        <w:t xml:space="preserve"> </w:t>
      </w:r>
      <m:oMath>
        <m:r>
          <m:t>B</m:t>
        </m:r>
        <m:r>
          <m:rPr>
            <m:sty m:val="p"/>
          </m:rPr>
          <m:t>≤</m:t>
        </m:r>
        <m:r>
          <m:t>0</m:t>
        </m:r>
      </m:oMath>
      <w:r>
        <w:t xml:space="preserve"> </w:t>
      </w:r>
      <w:r>
        <w:t xml:space="preserve">cells (</w:t>
      </w:r>
      <m:oMath>
        <m:sSub>
          <m:e>
            <m:r>
              <m:t>N</m:t>
            </m:r>
          </m:e>
          <m:sub>
            <m:r>
              <m:t>B</m:t>
            </m:r>
            <m:r>
              <m:rPr>
                <m:sty m:val="p"/>
              </m:rPr>
              <m:t>≤</m:t>
            </m:r>
            <m:r>
              <m:t>0</m:t>
            </m:r>
          </m:sub>
        </m:sSub>
        <m:r>
          <m:rPr>
            <m:sty m:val="p"/>
          </m:rPr>
          <m:t>=</m:t>
        </m:r>
        <m:r>
          <m:t>721</m:t>
        </m:r>
      </m:oMath>
      <w:r>
        <w:t xml:space="preserve">;</w:t>
      </w:r>
      <w:r>
        <w:t xml:space="preserve"> </w:t>
      </w:r>
      <m:oMath>
        <m:sSub>
          <m:e>
            <m:r>
              <m:t>N</m:t>
            </m:r>
          </m:e>
          <m:sub>
            <m:r>
              <m:t>B</m:t>
            </m:r>
            <m:r>
              <m:rPr>
                <m:sty m:val="p"/>
              </m:rPr>
              <m:t>&lt;</m:t>
            </m:r>
            <m:r>
              <m:t>0</m:t>
            </m:r>
          </m:sub>
        </m:sSub>
        <m:r>
          <m:rPr>
            <m:sty m:val="p"/>
          </m:rPr>
          <m:t>=</m:t>
        </m:r>
        <m:r>
          <m:t>714</m:t>
        </m:r>
      </m:oMath>
      <w:r>
        <w:t xml:space="preserve">,</w:t>
      </w:r>
      <w:r>
        <w:t xml:space="preserve"> </w:t>
      </w:r>
      <m:oMath>
        <m:sSub>
          <m:e>
            <m:r>
              <m:t>N</m:t>
            </m:r>
          </m:e>
          <m:sub>
            <m:r>
              <m:t>B</m:t>
            </m:r>
            <m:r>
              <m:rPr>
                <m:sty m:val="p"/>
              </m:rPr>
              <m:t>=</m:t>
            </m:r>
            <m:r>
              <m:t>0</m:t>
            </m:r>
          </m:sub>
        </m:sSub>
        <m:r>
          <m:rPr>
            <m:sty m:val="p"/>
          </m:rPr>
          <m:t>=</m:t>
        </m:r>
        <m:r>
          <m:t>7</m:t>
        </m:r>
      </m:oMath>
      <w:r>
        <w:t xml:space="preserve">) that received ADAPT, satisfying</w:t>
      </w:r>
      <w:r>
        <w:t xml:space="preserve"> </w:t>
      </w:r>
      <m:oMath>
        <m:sSub>
          <m:e>
            <m:r>
              <m:rPr>
                <m:sty m:val="p"/>
              </m:rPr>
              <m:t>F</m:t>
            </m:r>
            <m:r>
              <m:rPr>
                <m:sty m:val="p"/>
              </m:rPr>
              <m:t>A</m:t>
            </m:r>
          </m:e>
          <m:sub>
            <m:r>
              <m:t>u</m:t>
            </m:r>
          </m:sub>
        </m:sSub>
        <m:r>
          <m:rPr>
            <m:sty m:val="p"/>
          </m:rPr>
          <m:t>×</m:t>
        </m:r>
        <m:r>
          <m:t>N</m:t>
        </m:r>
        <m:r>
          <m:rPr>
            <m:sty m:val="p"/>
          </m:rPr>
          <m:t>=</m:t>
        </m:r>
        <m:r>
          <m:rPr>
            <m:nor/>
            <m:sty m:val="p"/>
          </m:rPr>
          <m:t>Nonpos. Adapt</m:t>
        </m:r>
        <m:r>
          <m:rPr>
            <m:sty m:val="p"/>
          </m:rPr>
          <m:t>×</m:t>
        </m:r>
        <m:r>
          <m:t>721</m:t>
        </m:r>
      </m:oMath>
      <w:r>
        <w:t xml:space="preserve">. Positive Benefit Captured is the fraction of oracle positive adaptation benefit preserved:</w:t>
      </w:r>
      <w:r>
        <w:t xml:space="preserve"> </w:t>
      </w:r>
      <m:oMath>
        <m:nary>
          <m:naryPr>
            <m:chr m:val="∑"/>
            <m:limLoc m:val="undOvr"/>
            <m:subHide m:val="off"/>
            <m:supHide m:val="on"/>
          </m:naryPr>
          <m:sub>
            <m:r>
              <m:t>i</m:t>
            </m:r>
            <m:r>
              <m:rPr>
                <m:sty m:val="p"/>
              </m:rPr>
              <m:t>:</m:t>
            </m:r>
            <m:sSub>
              <m:e>
                <m:r>
                  <m:t>g</m:t>
                </m:r>
              </m:e>
              <m:sub>
                <m:r>
                  <m:t>i</m:t>
                </m:r>
              </m:sub>
            </m:sSub>
            <m:r>
              <m:rPr>
                <m:sty m:val="p"/>
              </m:rPr>
              <m:t>=</m:t>
            </m:r>
            <m:r>
              <m:rPr>
                <m:nor/>
                <m:sty m:val="p"/>
              </m:rPr>
              <m:t>ADAPT</m:t>
            </m:r>
          </m:sub>
          <m:sup>
            <m:r>
              <m:t>​</m:t>
            </m:r>
          </m:sup>
          <m:e>
            <m:r>
              <m:rPr>
                <m:sty m:val="p"/>
              </m:rPr>
              <m:t>max</m:t>
            </m:r>
          </m:e>
        </m:nary>
        <m:r>
          <m:rPr>
            <m:sty m:val="p"/>
          </m:rPr>
          <m:t>(</m:t>
        </m:r>
        <m:r>
          <m:t>0</m:t>
        </m:r>
        <m:r>
          <m:rPr>
            <m:sty m:val="p"/>
          </m:rPr>
          <m:t>,</m:t>
        </m:r>
        <m:sSub>
          <m:e>
            <m:r>
              <m:t>B</m:t>
            </m:r>
          </m:e>
          <m:sub>
            <m:r>
              <m:t>i</m:t>
            </m:r>
          </m:sub>
        </m:sSub>
        <m:r>
          <m:rPr>
            <m:sty m:val="p"/>
          </m:rPr>
          <m:t>)</m:t>
        </m:r>
        <m:r>
          <m:rPr>
            <m:sty m:val="p"/>
          </m:rPr>
          <m:t>/</m:t>
        </m:r>
        <m:nary>
          <m:naryPr>
            <m:chr m:val="∑"/>
            <m:limLoc m:val="undOvr"/>
            <m:subHide m:val="off"/>
            <m:supHide m:val="off"/>
          </m:naryPr>
          <m:sub>
            <m:r>
              <m:t>i</m:t>
            </m:r>
            <m:r>
              <m:rPr>
                <m:sty m:val="p"/>
              </m:rPr>
              <m:t>=</m:t>
            </m:r>
            <m:r>
              <m:t>1</m:t>
            </m:r>
          </m:sub>
          <m:sup>
            <m:r>
              <m:t>N</m:t>
            </m:r>
          </m:sup>
          <m:e>
            <m:r>
              <m:rPr>
                <m:sty m:val="p"/>
              </m:rPr>
              <m:t>max</m:t>
            </m:r>
          </m:e>
        </m:nary>
        <m:r>
          <m:rPr>
            <m:sty m:val="p"/>
          </m:rPr>
          <m:t>(</m:t>
        </m:r>
        <m:r>
          <m:t>0</m:t>
        </m:r>
        <m:r>
          <m:rPr>
            <m:sty m:val="p"/>
          </m:rPr>
          <m:t>,</m:t>
        </m:r>
        <m:sSub>
          <m:e>
            <m:r>
              <m:t>B</m:t>
            </m:r>
          </m:e>
          <m:sub>
            <m:r>
              <m:t>i</m:t>
            </m:r>
          </m:sub>
        </m:sSub>
        <m:r>
          <m:rPr>
            <m:sty m:val="p"/>
          </m:rPr>
          <m:t>)</m:t>
        </m:r>
      </m:oMath>
      <w:r>
        <w:t xml:space="preserve">; Forgone is</w:t>
      </w:r>
      <w:r>
        <w:t xml:space="preserve"> </w:t>
      </w:r>
      <m:oMath>
        <m:r>
          <m:t>1</m:t>
        </m:r>
        <m:r>
          <m:rPr>
            <m:sty m:val="p"/>
          </m:rPr>
          <m:t>−</m:t>
        </m:r>
        <m:r>
          <m:rPr>
            <m:nor/>
            <m:sty m:val="p"/>
          </m:rPr>
          <m:t>Captured</m:t>
        </m:r>
      </m:oMath>
      <w:r>
        <w:t xml:space="preserve">. KGA executed ADAPT on</w:t>
      </w:r>
      <w:r>
        <w:t xml:space="preserve"> </w:t>
      </w:r>
      <m:oMath>
        <m:r>
          <m:t>1</m:t>
        </m:r>
        <m:r>
          <m:rPr>
            <m:sty m:val="p"/>
          </m:rPr>
          <m:t>,</m:t>
        </m:r>
        <m:r>
          <m:t>094</m:t>
        </m:r>
      </m:oMath>
      <w:r>
        <w:t xml:space="preserve"> </w:t>
      </w:r>
      <w:r>
        <w:t xml:space="preserve">of</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abstaining on the remainder where empirical intervals overlap zero; zero nonpositive cells received ADAPT (</w:t>
      </w:r>
      <m:oMath>
        <m:sSub>
          <m:e>
            <m:r>
              <m:rPr>
                <m:sty m:val="p"/>
              </m:rPr>
              <m:t>F</m:t>
            </m:r>
            <m:r>
              <m:rPr>
                <m:sty m:val="p"/>
              </m:rPr>
              <m:t>A</m:t>
            </m:r>
          </m:e>
          <m:sub>
            <m:r>
              <m:t>u</m:t>
            </m:r>
          </m:sub>
        </m:sSub>
        <m:r>
          <m:rPr>
            <m:sty m:val="p"/>
          </m:rPr>
          <m:t>=</m:t>
        </m:r>
        <m:r>
          <m:t>0.0000</m:t>
        </m:r>
      </m:oMath>
      <w:r>
        <w:t xml:space="preserve">).</w:t>
      </w:r>
    </w:p>
    <w:tbl>
      <w:tblPr>
        <w:tblStyle w:val="Table"/>
        <w:tblW w:type="dxa" w:w="9960"/>
        <w:jc w:val="left"/>
        <w:tblLayout w:type="fixed"/>
        <w:tblLook w:firstRow="1" w:lastRow="0" w:firstColumn="0" w:lastColumn="0" w:noHBand="0" w:noVBand="0" w:val="0020"/>
        <w:tblCaption w:val="Table 26. Systematic comparison of nine decision rules: directional errors and benefit capture (same N=2{,}160 Tent panel as above). \mathrm{FA}_u = \mathbb{P}[\text{ADAPT}, B \le 0] (divides by N=2{,}160); \mathrm{FA}_c divides by ADAPT count (undefined when ADAPT=0). \mathrm{FF}_u = \mathbb{P}[\text{FREEZE}, B \ge 0] (divides by N); \mathrm{FF}_c divides by FREEZE count. Nonpos. Adapt = fraction of B \le 0 cells (N_{B\le0}=721; N_{B&lt;0}=714, N_{B=0}=7) that received ADAPT, satisfying \mathrm{FA}_u \times N = \text{Nonpos.\ Adapt} \times 721. Positive Benefit Captured is the fraction of oracle positive adaptation benefit preserved: \sum_{i: g_i = \text{ADAPT}} \max(0, B_i) / \sum_{i=1}^N \max(0, B_i); Forgone is 1 - \text{Captured}. KGA executed ADAPT on 1{,}094 of 1{,}439 helpful cells (76.0\% cell capture), abstaining on the remainder where empirical intervals overlap zero; zero nonpositive cells received ADAPT (\mathrm{FA}_u = 0.000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96"/>
        <w:gridCol w:w="808"/>
        <w:gridCol w:w="808"/>
        <w:gridCol w:w="808"/>
        <w:gridCol w:w="808"/>
        <w:gridCol w:w="1050"/>
        <w:gridCol w:w="1203"/>
        <w:gridCol w:w="1152"/>
        <w:gridCol w:w="927"/>
      </w:tblGrid>
      <w:tr>
        <w:trPr>
          <w:tblHeader w:val="true"/>
          <w:cantSplit w:val="true"/>
        </w:trPr>
        <w:tc>
          <w:tcPr>
            <w:tcW w:w="23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c</m:t>
                  </m:r>
                </m:sub>
              </m:sSub>
            </m:oMath>
          </w:p>
        </w:tc>
        <w:tc>
          <w:tcPr>
            <w:tcW w:w="10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Nonpos. Adapt</w:t>
            </w:r>
          </w:p>
        </w:tc>
        <w:tc>
          <w:tcPr>
            <w:tcW w:w="120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Captured</w:t>
            </w:r>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Forgone</w:t>
            </w:r>
          </w:p>
        </w:tc>
        <w:tc>
          <w:tcPr>
            <w:tcW w:w="92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0.0699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0.4632</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0.7503</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0.9958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0.2486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0.2964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0.0782</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0.7448</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0.9948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0.1636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0.3329</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0.9926</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0.0407</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0.0598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0.0273</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0.1221</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0.9989</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0.0011</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0.9851</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0.0149</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0.9855</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0.0145</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bl>
    <w:bookmarkEnd w:id="100"/>
    <w:bookmarkStart w:id="101" w:name="Xbd0a4ea3428d9555540d200a856a500dc8d5814"/>
    <w:p>
      <w:pPr>
        <w:pStyle w:val="Heading3"/>
        <w:widowControl/>
      </w:pPr>
      <w:r>
        <w:t xml:space="preserve">B.3.3 Model Replication &amp; Checkpoint Inventory (Task 1)</w:t>
      </w:r>
    </w:p>
    <w:p>
      <w:pPr>
        <w:pStyle w:val="FirstParagraph"/>
        <w:widowControl/>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on Apple Silicon MPS (</w:t>
      </w:r>
      <w:r>
        <w:rPr>
          <w:rStyle w:val="VerbatimChar"/>
        </w:rPr>
        <w:t xml:space="preserve">run_independent_source_model_replication.py</w:t>
      </w:r>
      <w:r>
        <w:t xml:space="preserv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(trained in</w:t>
      </w:r>
      <w:r>
        <w:t xml:space="preserve"> </w:t>
      </w:r>
      <m:oMath>
        <m:r>
          <m:t>1080.7</m:t>
        </m:r>
      </m:oMath>
      <w:r>
        <w:t xml:space="preserve"> s; SHA-256:</w:t>
      </w:r>
      <w:r>
        <w:t xml:space="preserve"> </w:t>
      </w:r>
      <w:r>
        <w:rPr>
          <w:rStyle w:val="VerbatimChar"/>
        </w:rPr>
        <w:t xml:space="preserve">71eca7b9f9a8…</w:t>
      </w:r>
      <w:r>
        <w:t xml:space="preserve">) and</w:t>
      </w:r>
      <w:r>
        <w:t xml:space="preserve"> </w:t>
      </w:r>
      <m:oMath>
        <m:r>
          <m:t>0.8956</m:t>
        </m:r>
      </m:oMath>
      <w:r>
        <w:t xml:space="preserve"> </w:t>
      </w:r>
      <w:r>
        <w:t xml:space="preserve">(trained in</w:t>
      </w:r>
      <w:r>
        <w:t xml:space="preserve"> </w:t>
      </w:r>
      <m:oMath>
        <m:r>
          <m:t>974.9</m:t>
        </m:r>
      </m:oMath>
      <w:r>
        <w:t xml:space="preserve"> s; SHA-256:</w:t>
      </w:r>
      <w:r>
        <w:t xml:space="preserve"> </w:t>
      </w:r>
      <w:r>
        <w:rPr>
          <w:rStyle w:val="VerbatimChar"/>
        </w:rPr>
        <w:t xml:space="preserve">6270962977da…</w:t>
      </w:r>
      <w:r>
        <w:t xml:space="preserve">).</w:t>
      </w:r>
    </w:p>
    <w:p>
      <w:pPr>
        <w:pStyle w:val="BodyText"/>
        <w:widowControl/>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widowControl/>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widowControl/>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widowControl/>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an authenticated 36-condition mixed-sign replication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Crucially,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This confirms that the point-regret ordering and dual-baseline regret advantage replicated across all three independently trained source checkpoints on mixed-sign distributions. Full per-model audit records are preserved in</w:t>
      </w:r>
      <w:r>
        <w:t xml:space="preserve"> </w:t>
      </w:r>
      <w:r>
        <w:rPr>
          <w:rStyle w:val="VerbatimChar"/>
        </w:rPr>
        <w:t xml:space="preserve">experiments/kbound/results/task1_independent_models_replication/task1_mixed_sign_summary.json</w:t>
      </w:r>
      <w:r>
        <w:t xml:space="preserve">.</w:t>
      </w:r>
    </w:p>
    <w:p>
      <w:pPr>
        <w:pStyle w:val="BodyText"/>
        <w:widowControl/>
      </w:pPr>
      <w:r>
        <w:t xml:space="preserve">As a supplementary held-out-model transfer diagnostic,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Full per-condition records for all replication studies are archived in</w:t>
      </w:r>
      <w:r>
        <w:t xml:space="preserve"> </w:t>
      </w:r>
      <w:r>
        <w:rPr>
          <w:rStyle w:val="VerbatimChar"/>
        </w:rPr>
        <w:t xml:space="preserve">experiments/kbound/results/task1_independent_models_replication/</w:t>
      </w:r>
      <w:r>
        <w:t xml:space="preserve">.</w:t>
      </w:r>
    </w:p>
    <w:p>
      <w:pPr>
        <w:pStyle w:val="BodyText"/>
        <w:widowControl/>
      </w:pPr>
      <w:r>
        <w:t xml:space="preserve">@lcccccccccc@</w:t>
      </w:r>
      <w:r>
        <w:t xml:space="preserve"> </w:t>
      </w:r>
      <w:r>
        <w:rPr>
          <w:b/>
          <w:bCs/>
        </w:rPr>
        <w:t xml:space="preserve">Source Model</w:t>
      </w:r>
      <w:r>
        <w:t xml:space="preserve"> </w:t>
      </w:r>
      <w:r>
        <w:t xml:space="preserve">&amp;</w:t>
      </w:r>
      <w:r>
        <w:t xml:space="preserve"> </w:t>
      </w:r>
      <m:oMath>
        <m:sSub>
          <m:e>
            <m:r>
              <m:rPr>
                <m:sty m:val="bi"/>
              </m:rPr>
              <m:t>a</m:t>
            </m:r>
          </m:e>
          <m:sub>
            <m:r>
              <m:rPr>
                <m:sty m:val="p"/>
              </m:rPr>
              <m:t>c</m:t>
            </m:r>
            <m:r>
              <m:rPr>
                <m:sty m:val="p"/>
              </m:rPr>
              <m:t>l</m:t>
            </m:r>
            <m:r>
              <m:rPr>
                <m:sty m:val="p"/>
              </m:rPr>
              <m:t>e</m:t>
            </m:r>
            <m:r>
              <m:rPr>
                <m:sty m:val="p"/>
              </m:rPr>
              <m:t>a</m:t>
            </m:r>
            <m:r>
              <m:rPr>
                <m:sty m:val="p"/>
              </m:rPr>
              <m:t>n</m:t>
            </m:r>
          </m:sub>
        </m:sSub>
      </m:oMath>
      <w:r>
        <w:t xml:space="preserve"> </w:t>
      </w:r>
      <w:r>
        <w:t xml:space="preserve">&amp;</w:t>
      </w:r>
      <w:r>
        <w:t xml:space="preserve"> </w:t>
      </w:r>
      <m:oMath>
        <m:r>
          <m:t>n</m:t>
        </m:r>
      </m:oMath>
      <w:r>
        <w:t xml:space="preserve"> </w:t>
      </w:r>
      <w:r>
        <w:t xml:space="preserve">&amp;</w:t>
      </w:r>
      <w:r>
        <w:t xml:space="preserve"> </w:t>
      </w:r>
      <m:oMath>
        <m:sSub>
          <m:e>
            <m:r>
              <m:rPr>
                <m:sty m:val="bi"/>
              </m:rPr>
              <m:t>a</m:t>
            </m:r>
          </m:e>
          <m:sub>
            <m:r>
              <m:rPr>
                <m:sty m:val="b"/>
              </m:rPr>
              <m:t>0</m:t>
            </m:r>
          </m:sub>
        </m:sSub>
      </m:oMath>
      <w:r>
        <w:t xml:space="preserve"> </w:t>
      </w:r>
      <w:r>
        <w:t xml:space="preserve">&amp;</w:t>
      </w:r>
      <w:r>
        <w:t xml:space="preserve"> </w:t>
      </w:r>
      <m:oMath>
        <m:sSub>
          <m:e>
            <m:r>
              <m:rPr>
                <m:sty m:val="bi"/>
              </m:rPr>
              <m:t>a</m:t>
            </m:r>
          </m:e>
          <m:sub>
            <m:r>
              <m:rPr>
                <m:sty m:val="p"/>
              </m:rPr>
              <m:t>c</m:t>
            </m:r>
            <m:r>
              <m:rPr>
                <m:sty m:val="p"/>
              </m:rPr>
              <m:t>a</m:t>
            </m:r>
            <m:r>
              <m:rPr>
                <m:sty m:val="p"/>
              </m:rPr>
              <m:t>n</m:t>
            </m:r>
            <m:r>
              <m:rPr>
                <m:sty m:val="p"/>
              </m:rPr>
              <m:t>d</m:t>
            </m:r>
          </m:sub>
        </m:sSub>
      </m:oMath>
      <w:r>
        <w:t xml:space="preserve"> </w:t>
      </w:r>
      <w:r>
        <w:t xml:space="preserve">&amp;</w:t>
      </w:r>
      <w:r>
        <w:t xml:space="preserve"> </w:t>
      </w:r>
      <m:oMath>
        <m:sSub>
          <m:e>
            <m:r>
              <m:rPr>
                <m:sty m:val="bi"/>
              </m:rPr>
              <m:t>R</m:t>
            </m:r>
          </m:e>
          <m:sub>
            <m:r>
              <m:rPr>
                <m:sty m:val="p"/>
              </m:rPr>
              <m:t>A</m:t>
            </m:r>
            <m:r>
              <m:rPr>
                <m:sty m:val="p"/>
              </m:rPr>
              <m:t>F</m:t>
            </m:r>
          </m:sub>
        </m:sSub>
      </m:oMath>
      <w:r>
        <w:t xml:space="preserve"> </w:t>
      </w:r>
      <w:r>
        <w:t xml:space="preserve">&amp;</w:t>
      </w:r>
      <w:r>
        <w:t xml:space="preserve"> </w:t>
      </w:r>
      <m:oMath>
        <m:sSub>
          <m:e>
            <m:r>
              <m:rPr>
                <m:sty m:val="bi"/>
              </m:rPr>
              <m:t>R</m:t>
            </m:r>
          </m:e>
          <m:sub>
            <m:r>
              <m:rPr>
                <m:sty m:val="p"/>
              </m:rPr>
              <m:t>A</m:t>
            </m:r>
            <m:r>
              <m:rPr>
                <m:sty m:val="p"/>
              </m:rPr>
              <m:t>A</m:t>
            </m:r>
          </m:sub>
        </m:sSub>
      </m:oMath>
      <w:r>
        <w:t xml:space="preserve"> </w:t>
      </w:r>
      <w:r>
        <w:t xml:space="preserve">&amp;</w:t>
      </w:r>
      <w:r>
        <w:t xml:space="preserve"> </w:t>
      </w:r>
      <m:oMath>
        <m:sSub>
          <m:e>
            <m:r>
              <m:rPr>
                <m:sty m:val="bi"/>
              </m:rPr>
              <m:t>a</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bi"/>
              </m:rPr>
              <m:t>R</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p"/>
              </m:rPr>
              <m:t>F</m:t>
            </m:r>
            <m:r>
              <m:rPr>
                <m:sty m:val="p"/>
              </m:rPr>
              <m:t>A</m:t>
            </m:r>
          </m:e>
          <m:sub>
            <m:r>
              <m:rPr>
                <m:sty m:val="bi"/>
              </m:rPr>
              <m:t>u</m:t>
            </m:r>
          </m:sub>
        </m:sSub>
      </m:oMath>
      <w:r>
        <w:t xml:space="preserve"> </w:t>
      </w:r>
      <w:r>
        <w:t xml:space="preserve">&amp;</w:t>
      </w:r>
      <w:r>
        <w:t xml:space="preserve"> </w:t>
      </w:r>
      <w:r>
        <w:rPr>
          <w:b/>
          <w:bCs/>
        </w:rPr>
        <w:t xml:space="preserve">Decisions (A/F/Abs)</w:t>
      </w:r>
      <w:r>
        <w:br/>
      </w:r>
      <w:r>
        <w:br/>
      </w:r>
      <w:r>
        <w:t xml:space="preserve">Model 0 (Canonical) &amp; 87.37% &amp; 36 &amp; 61.20% &amp; 79.65% &amp; 18.45% &amp; 0.00% &amp; 79.24% &amp; 0.41% &amp; 0.0000 &amp; 30/0/6</w:t>
      </w:r>
      <w:r>
        <w:br/>
      </w:r>
      <w:r>
        <w:t xml:space="preserve">Model 101 (Independent) &amp; 89.53% &amp; 36 &amp; 63.31% &amp; 81.75% &amp; 18.44% &amp; 0.00% &amp; 81.34% &amp; 0.41% &amp; 0.0000 &amp; 30/0/6</w:t>
      </w:r>
      <w:r>
        <w:br/>
      </w:r>
      <w:r>
        <w:t xml:space="preserve">Model 102 (Independent) &amp; 89.56% &amp; 36 &amp; 63.35% &amp; 81.80% &amp; 18.45% &amp; 0.00% &amp; 81.39% &amp; 0.41% &amp; 0.0000 &amp; 30/0/6</w:t>
      </w:r>
      <w:r>
        <w:br/>
      </w:r>
      <w:r>
        <w:br/>
      </w:r>
      <w:r>
        <w:t xml:space="preserve">Model 0 (Canonical)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 0.0000 &amp; 18/9/9</w:t>
      </w:r>
      <w:r>
        <w:br/>
      </w:r>
      <w:r>
        <w:t xml:space="preserve">Model 101 (Independent)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 0.0278 &amp; 19/5/12</w:t>
      </w:r>
      <w:r>
        <w:br/>
      </w:r>
      <w:r>
        <w:t xml:space="preserve">Model 102 (Independent)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 0.0000 &amp; 17/6/13</w:t>
      </w:r>
      <w:r>
        <w:br/>
      </w:r>
      <w:r>
        <w:br/>
      </w:r>
      <w:r>
        <w:t xml:space="preserve">Model 0 (Canonical) (AETTA) &amp; — &amp; 36 &amp; 68.42% &amp; 79.71% &amp; 12.67% &amp; 1.39% &amp; 80.74% &amp; 0.36% &amp; 0.1389 &amp; 26/10/0</w:t>
      </w:r>
      <w:r>
        <w:br/>
      </w:r>
      <w:r>
        <w:t xml:space="preserve">Model 0 (Canonical) (KGA LOO)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w:t>
      </w:r>
      <w:r>
        <w:t xml:space="preserve"> </w:t>
      </w:r>
      <w:r>
        <w:rPr>
          <w:b/>
          <w:bCs/>
        </w:rPr>
        <w:t xml:space="preserve">0.0000</w:t>
      </w:r>
      <w:r>
        <w:t xml:space="preserve"> </w:t>
      </w:r>
      <w:r>
        <w:t xml:space="preserve">&amp; 18/9/9</w:t>
      </w:r>
      <w:r>
        <w:br/>
      </w:r>
      <w:r>
        <w:t xml:space="preserve">Model 0 (Canonical) (KGA B6 Disjoint) &amp; 87.37% &amp; 36 &amp; 68.42% &amp; 79.71% &amp; 12.67% &amp; 1.39% &amp; 79.96% &amp; 1.14% &amp;</w:t>
      </w:r>
      <w:r>
        <w:t xml:space="preserve"> </w:t>
      </w:r>
      <w:r>
        <w:rPr>
          <w:b/>
          <w:bCs/>
        </w:rPr>
        <w:t xml:space="preserve">0.0000</w:t>
      </w:r>
      <w:r>
        <w:t xml:space="preserve"> </w:t>
      </w:r>
      <w:r>
        <w:t xml:space="preserve">&amp; 14/2/20</w:t>
      </w:r>
      <w:r>
        <w:br/>
      </w:r>
      <w:r>
        <w:t xml:space="preserve">Model 101 (Independent) (AETTA) &amp; — &amp; 36 &amp; 68.58% &amp; 81.69% &amp; 14.12% &amp; 1.01% &amp; 82.52% &amp; 0.18% &amp; 0.1111 &amp; 24/12/0</w:t>
      </w:r>
      <w:r>
        <w:br/>
      </w:r>
      <w:r>
        <w:t xml:space="preserve">Model 101 (Independent) (KGA LOO)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w:t>
      </w:r>
      <w:r>
        <w:t xml:space="preserve"> </w:t>
      </w:r>
      <w:r>
        <w:rPr>
          <w:b/>
          <w:bCs/>
        </w:rPr>
        <w:t xml:space="preserve">0.0278</w:t>
      </w:r>
      <w:r>
        <w:t xml:space="preserve"> </w:t>
      </w:r>
      <w:r>
        <w:t xml:space="preserve">&amp; 19/5/12</w:t>
      </w:r>
      <w:r>
        <w:br/>
      </w:r>
      <w:r>
        <w:t xml:space="preserve">Model 101 (Independent) (KGA B6 Disjoint) &amp; 89.53% &amp; 36 &amp; 68.58% &amp; 81.69% &amp; 14.12% &amp; 1.01% &amp; 82.47% &amp; 0.23% &amp;</w:t>
      </w:r>
      <w:r>
        <w:t xml:space="preserve"> </w:t>
      </w:r>
      <w:r>
        <w:rPr>
          <w:b/>
          <w:bCs/>
        </w:rPr>
        <w:t xml:space="preserve">0.0000</w:t>
      </w:r>
      <w:r>
        <w:t xml:space="preserve"> </w:t>
      </w:r>
      <w:r>
        <w:t xml:space="preserve">&amp; 17/0/19</w:t>
      </w:r>
      <w:r>
        <w:br/>
      </w:r>
      <w:r>
        <w:t xml:space="preserve">Model 102 (Independent) (AETTA) &amp; — &amp; 36 &amp; 69.09% &amp; 81.78% &amp; 13.71% &amp; 1.01% &amp; 82.43% &amp; 0.36% &amp; 0.1389 &amp; 26/10/0</w:t>
      </w:r>
      <w:r>
        <w:br/>
      </w:r>
      <w:r>
        <w:t xml:space="preserve">Model 102 (Independent) (KGA LOO)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w:t>
      </w:r>
      <w:r>
        <w:t xml:space="preserve"> </w:t>
      </w:r>
      <w:r>
        <w:rPr>
          <w:b/>
          <w:bCs/>
        </w:rPr>
        <w:t xml:space="preserve">0.0000</w:t>
      </w:r>
      <w:r>
        <w:t xml:space="preserve"> </w:t>
      </w:r>
      <w:r>
        <w:t xml:space="preserve">&amp; 17/6/13</w:t>
      </w:r>
      <w:r>
        <w:br/>
      </w:r>
      <w:r>
        <w:t xml:space="preserve">Model 102 (Independent) (KGA B6 Disjoint) &amp; 89.56% &amp; 36 &amp; 69.09% &amp; 81.78% &amp; 13.71% &amp; 1.01% &amp; 82.33% &amp; 0.46% &amp;</w:t>
      </w:r>
      <w:r>
        <w:t xml:space="preserve"> </w:t>
      </w:r>
      <w:r>
        <w:rPr>
          <w:b/>
          <w:bCs/>
        </w:rPr>
        <w:t xml:space="preserve">0.0000</w:t>
      </w:r>
      <w:r>
        <w:t xml:space="preserve"> </w:t>
      </w:r>
      <w:r>
        <w:t xml:space="preserve">&amp; 14/0/22</w:t>
      </w:r>
      <w:r>
        <w:br/>
      </w:r>
    </w:p>
    <w:bookmarkEnd w:id="101"/>
    <w:bookmarkStart w:id="103" w:name="X85fda283dda8f4f868750f9717639eb35a3d7b1"/>
    <w:p>
      <w:pPr>
        <w:pStyle w:val="Heading3"/>
        <w:widowControl/>
      </w:pPr>
      <w:r>
        <w:t xml:space="preserve">B.3.4 Published Baseline Reproducibility Audit (Task 3 Closeout)</w:t>
      </w:r>
    </w:p>
    <w:p>
      <w:pPr>
        <w:pStyle w:val="FirstParagraph"/>
        <w:widowControl/>
      </w:pPr>
      <w:r>
        <w:t xml:space="preserve">We audited third-party published baseline implementations. Upstream Kim et al. (TTA / ALine) was unavailable for local native execution (</w:t>
      </w:r>
      <w:r>
        <w:rPr>
          <w:rStyle w:val="VerbatimChar"/>
        </w:rPr>
        <w:t xml:space="preserve">BLOCKED_NATIVE</w:t>
      </w:r>
      <w:r>
        <w:t xml:space="preserve">) because the upstream repository URL returned an HTTP 404 during the audit.</w:t>
      </w:r>
    </w:p>
    <w:p>
      <w:pPr>
        <w:pStyle w:val="BodyText"/>
        <w:widowControl/>
      </w:pPr>
      <w:r>
        <w:t xml:space="preserve">To provide a synchronized head-to-head comparison against a closely related published comparator on the exact same conditions, we evaluated a deployment recovery decision rule built from the authenticated native AETTA accuracy estimator [18] (official repository</w:t>
      </w:r>
      <w:r>
        <w:t xml:space="preserve"> </w:t>
      </w:r>
      <w:r>
        <w:rPr>
          <w:rStyle w:val="VerbatimChar"/>
        </w:rPr>
        <w:t xml:space="preserve">taeckyung/AETTA</w:t>
      </w:r>
      <w:r>
        <w:t xml:space="preserve">, commit</w:t>
      </w:r>
      <w:r>
        <w:t xml:space="preserve"> </w:t>
      </w:r>
      <w:r>
        <w:rPr>
          <w:rStyle w:val="VerbatimChar"/>
        </w:rPr>
        <w:t xml:space="preserve">ce472b20b8</w:t>
      </w:r>
      <w:r>
        <w:t xml:space="preserve">)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(FREEZE).</w:t>
      </w:r>
    </w:p>
    <w:p>
      <w:pPr>
        <w:pStyle w:val="BodyText"/>
        <w:widowControl/>
      </w:pPr>
      <w:r>
        <w:t xml:space="preserve">As documented in Table 27 (Panel C):</w:t>
      </w:r>
      <w:r>
        <w:t xml:space="preserve"> </w:t>
      </w:r>
      <w:r>
        <w:t xml:space="preserve">(1)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KGA leverages empirical residual calibration to abstain on borderline conditions (issuing 9–13 ABSTAIN decisions), with observed</w:t>
      </w:r>
      <w:r>
        <w:t xml:space="preserve"> </w:t>
      </w:r>
      <m:oMath>
        <m:sSub>
          <m:e>
            <m:r>
              <m:rPr>
                <m:sty m:val="p"/>
              </m:rPr>
              <m:t>F</m:t>
            </m:r>
            <m:r>
              <m:rPr>
                <m:sty m:val="p"/>
              </m:rPr>
              <m:t>A</m:t>
            </m:r>
          </m:e>
          <m:sub>
            <m:r>
              <m:t>u</m:t>
            </m:r>
          </m:sub>
        </m:sSub>
        <m:r>
          <m:rPr>
            <m:sty m:val="p"/>
          </m:rPr>
          <m:t>≤</m:t>
        </m:r>
        <m:r>
          <m:t>0.0278</m:t>
        </m:r>
      </m:oMath>
      <w:r>
        <w:t xml:space="preserve"> </w:t>
      </w:r>
      <w:r>
        <w:t xml:space="preserve">across all checkpoints while achieving lower point oracle regret than the AETTA-based rule and both fixed baselines. Complete per-condition traces and execution receipts are archived in</w:t>
      </w:r>
      <w:r>
        <w:t xml:space="preserve"> </w:t>
      </w:r>
      <w:r>
        <w:rPr>
          <w:rStyle w:val="VerbatimChar"/>
        </w:rPr>
        <w:t xml:space="preserve">experiments/kbound/results/task3_aetta_mixed_panel/aetta_mixed_sign_results.json</w:t>
      </w:r>
      <w:r>
        <w:t xml:space="preserve">.</w:t>
      </w:r>
    </w:p>
    <w:bookmarkStart w:id="102" w:name="outcome-disjoint-calibration-replay-b6."/>
    <w:p>
      <w:pPr>
        <w:pStyle w:val="Heading3"/>
        <w:keepNext/>
        <w:widowControl/>
        <w:spacing w:before="100" w:after="20" w:line="252" w:lineRule="auto"/>
      </w:pPr>
      <w:r>
        <w:rPr>
          <w:rFonts w:ascii="Times New Roman" w:hAnsi="Times New Roman" w:eastAsia="Times New Roman" w:cs="Times New Roman"/>
          <w:b/>
          <w:sz w:val="19"/>
        </w:rPr>
        <w:t xml:space="preserve">Outcome-Disjoint Calibration Replay (B6).</w:t>
      </w:r>
    </w:p>
    <w:p>
      <w:pPr>
        <w:pStyle w:val="FirstParagraph"/>
        <w:widowControl/>
      </w:pPr>
      <w:r>
        <w:t xml:space="preserve">The compact replication above uses peer-dependent LOO calibration, which does not automatically inherit ordinary split-conformal coverage theorems. As an additional retrospective check, we replayed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w:t>
      </w:r>
      <w:r>
        <w:t xml:space="preserve"> </w:t>
      </w:r>
      <w:r>
        <w:rPr>
          <w:rStyle w:val="VerbatimChar"/>
        </w:rPr>
        <w:t xml:space="preserve">task1_mixed_sign_records_checkpoint.json</w:t>
      </w:r>
      <w:r>
        <w:t xml:space="preserve">, without any neural-network retraining. For each score fold, the complement was partitioned into strictly disjoint fit and calibration subsets; scored cell outcomes entered neither predictor training nor conformal calibration. Results:</w:t>
      </w:r>
    </w:p>
    <w:p>
      <w:pPr>
        <w:widowControl/>
        <w:numPr>
          <w:ilvl w:val="0"/>
          <w:numId w:val="1013"/>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widowControl/>
        <w:numPr>
          <w:ilvl w:val="0"/>
          <w:numId w:val="1013"/>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widowControl/>
        <w:numPr>
          <w:ilvl w:val="0"/>
          <w:numId w:val="1013"/>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widowControl/>
      </w:pPr>
      <w:r>
        <w:t xml:space="preserve">Under outcome-disjoint calibration, KGA recorded zero false ADAPT decisions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trades point regret (</w:t>
      </w:r>
      <m:oMath>
        <m:r>
          <m:t>1.14</m:t>
        </m:r>
        <m:r>
          <m:rPr>
            <m:sty m:val="p"/>
          </m:rPr>
          <m:t>%</m:t>
        </m:r>
      </m:oMath>
      <w:r>
        <w:t xml:space="preserve"> </w:t>
      </w:r>
      <w:r>
        <w:t xml:space="preserve">vs</w:t>
      </w:r>
      <w:r>
        <w:t xml:space="preserve"> </w:t>
      </w:r>
      <m:oMath>
        <m:r>
          <m:t>0.36</m:t>
        </m:r>
        <m:r>
          <m:rPr>
            <m:sty m:val="p"/>
          </m:rPr>
          <m:t>%</m:t>
        </m:r>
      </m:oMath>
      <w:r>
        <w:t xml:space="preserve"> </w:t>
      </w:r>
      <w:r>
        <w:t xml:space="preserve">on Model 0,</w:t>
      </w:r>
      <w:r>
        <w:t xml:space="preserve"> </w:t>
      </w:r>
      <m:oMath>
        <m:r>
          <m:t>0.23</m:t>
        </m:r>
        <m:r>
          <m:rPr>
            <m:sty m:val="p"/>
          </m:rPr>
          <m:t>%</m:t>
        </m:r>
      </m:oMath>
      <w:r>
        <w:t xml:space="preserve"> </w:t>
      </w:r>
      <w:r>
        <w:t xml:space="preserve">vs</w:t>
      </w:r>
      <w:r>
        <w:t xml:space="preserve"> </w:t>
      </w:r>
      <m:oMath>
        <m:r>
          <m:t>0.18</m:t>
        </m:r>
        <m:r>
          <m:rPr>
            <m:sty m:val="p"/>
          </m:rPr>
          <m:t>%</m:t>
        </m:r>
      </m:oMath>
      <w:r>
        <w:t xml:space="preserve"> </w:t>
      </w:r>
      <w:r>
        <w:t xml:space="preserve">on Model 101,</w:t>
      </w:r>
      <w:r>
        <w:t xml:space="preserve"> </w:t>
      </w:r>
      <m:oMath>
        <m:r>
          <m:t>0.46</m:t>
        </m:r>
        <m:r>
          <m:rPr>
            <m:sty m:val="p"/>
          </m:rPr>
          <m:t>%</m:t>
        </m:r>
      </m:oMath>
      <w:r>
        <w:t xml:space="preserve"> </w:t>
      </w:r>
      <w:r>
        <w:t xml:space="preserve">vs</w:t>
      </w:r>
      <w:r>
        <w:t xml:space="preserve"> </w:t>
      </w:r>
      <m:oMath>
        <m:r>
          <m:t>0.36</m:t>
        </m:r>
        <m:r>
          <m:rPr>
            <m:sty m:val="p"/>
          </m:rPr>
          <m:t>%</m:t>
        </m:r>
      </m:oMath>
      <w:r>
        <w:t xml:space="preserve"> </w:t>
      </w:r>
      <w:r>
        <w:t xml:space="preserve">on Model 102) for superior directional safety (zero observed false adaptations vs</w:t>
      </w:r>
      <w:r>
        <w:t xml:space="preserve"> </w:t>
      </w:r>
      <m:oMath>
        <m:r>
          <m:t>4</m:t>
        </m:r>
      </m:oMath>
      <w:r>
        <w:t xml:space="preserve">–</w:t>
      </w:r>
      <m:oMath>
        <m:r>
          <m:t>5</m:t>
        </m:r>
      </m:oMath>
      <w:r>
        <w:t xml:space="preserve"> </w:t>
      </w:r>
      <w:r>
        <w:t xml:space="preserve">per model,</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 disjoint replay is a retrospective check on existing saved records, not a prospective experiment on new data. Receipts:</w:t>
      </w:r>
      <w:r>
        <w:t xml:space="preserve"> </w:t>
      </w:r>
      <w:r>
        <w:rPr>
          <w:rStyle w:val="VerbatimChar"/>
        </w:rPr>
        <w:t xml:space="preserve">experiments/kbound/results/task1_independent_models_replication/task1_mixed_sign_disjoint_replay.json</w:t>
      </w:r>
      <w:r>
        <w:t xml:space="preserve">.</w:t>
      </w:r>
    </w:p>
    <w:bookmarkEnd w:id="102"/>
    <w:bookmarkEnd w:id="103"/>
    <w:bookmarkEnd w:id="104"/>
    <w:bookmarkStart w:id="105"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28.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m:t>.0027</m:t>
        </m:r>
      </m:oMath>
      <w:r>
        <w:t xml:space="preserve">) and freeze regret (</w:t>
      </w:r>
      <m:oMath>
        <m: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8.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05"/>
    <w:bookmarkStart w:id="106"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widowControl/>
      </w:pPr>
      <w:r>
        <w:t xml:space="preserve">To evaluate whether KGA issues selective opportunistic ADAPT decisions on whole-slide-imaging OOD shifts containing both helpful and harmful adaptations, we evaluated the</w:t>
      </w:r>
      <w:r>
        <w:t xml:space="preserve"> </w:t>
      </w:r>
      <m:oMath>
        <m:r>
          <m:t>n</m:t>
        </m:r>
        <m:r>
          <m:rPr>
            <m:sty m:val="p"/>
          </m:rPr>
          <m:t>=</m:t>
        </m:r>
        <m:r>
          <m:t>72</m:t>
        </m:r>
      </m:oMath>
      <w:r>
        <w:t xml:space="preserve"> </w:t>
      </w:r>
      <w:r>
        <w:t xml:space="preserve">condition Tent-online diagnostic panel on Camelyon17 OOD (</w:t>
      </w:r>
      <w:r>
        <w:rPr>
          <w:rStyle w:val="VerbatimChar"/>
        </w:rPr>
        <w:t xml:space="preserve">experiments/kbound/results/camelyon17_adapt_diagnostic/</w:t>
      </w:r>
      <w:r>
        <w:t xml:space="preserve">, locked</w:t>
      </w:r>
      <w:r>
        <w:t xml:space="preserve"> </w:t>
      </w:r>
      <m:oMath>
        <m:r>
          <m:t>ε</m:t>
        </m:r>
        <m:r>
          <m:rPr>
            <m:sty m:val="p"/>
          </m:rPr>
          <m:t>=</m:t>
        </m:r>
        <m:r>
          <m:t>0.0296</m:t>
        </m:r>
      </m:oMath>
      <w:r>
        <w:t xml:space="preserve">, Table 29). The panel is sourced from the WILDS CAMELYON17 benchmark [25, 26], which evaluates whole-slide tumor-detection pathology models across hospital-provenance distribution shift; it does not record camera-location shifts. The 72 conditions represent Tent-online adaptation trials across slide subsets from this benchmark evaluated against a single source checkpoint; target outcomes (paired benefit</w:t>
      </w:r>
      <w:r>
        <w:t xml:space="preserve"> </w:t>
      </w:r>
      <m:oMath>
        <m:r>
          <m:t>B</m:t>
        </m:r>
      </m:oMath>
      <w:r>
        <w:t xml:space="preserve">) were opened retrospectively after the gate radius</w:t>
      </w:r>
      <w:r>
        <w:t xml:space="preserve"> </w:t>
      </w:r>
      <m:oMath>
        <m:r>
          <m:t>ε</m:t>
        </m:r>
        <m:r>
          <m:rPr>
            <m:sty m:val="p"/>
          </m:rPr>
          <m:t>=</m:t>
        </m:r>
        <m:r>
          <m:t>0.0296</m:t>
        </m:r>
      </m:oMath>
      <w:r>
        <w:t xml:space="preserve"> </w:t>
      </w:r>
      <w:r>
        <w:t xml:space="preserve">was locked from development records. The panel contains 41 helpful (</w:t>
      </w:r>
      <m:oMath>
        <m:r>
          <m:t>B</m:t>
        </m:r>
        <m:r>
          <m:rPr>
            <m:sty m:val="p"/>
          </m:rPr>
          <m:t>&gt;</m:t>
        </m:r>
        <m:r>
          <m:t>0</m:t>
        </m:r>
      </m:oMath>
      <w:r>
        <w:t xml:space="preserve">), 27 harmful (</w:t>
      </w:r>
      <m:oMath>
        <m:r>
          <m:t>B</m:t>
        </m:r>
        <m:r>
          <m:rPr>
            <m:sty m:val="p"/>
          </m:rPr>
          <m:t>&lt;</m:t>
        </m:r>
        <m:r>
          <m:t>0</m:t>
        </m:r>
      </m:oMath>
      <w:r>
        <w:t xml:space="preserve">), and 4 zero cells (</w:t>
      </w:r>
      <m:oMath>
        <m:r>
          <m:t>A</m:t>
        </m:r>
        <m:r>
          <m:rPr>
            <m:sty m:val="p"/>
          </m:rPr>
          <m:t>+</m:t>
        </m:r>
        <m:r>
          <m:t>F</m:t>
        </m:r>
        <m:r>
          <m:rPr>
            <m:sty m:val="p"/>
          </m:rPr>
          <m:t>+</m:t>
        </m:r>
        <m:r>
          <m:t>U</m:t>
        </m:r>
        <m:r>
          <m:rPr>
            <m:sty m:val="p"/>
          </m:rPr>
          <m:t>=</m:t>
        </m:r>
        <m:r>
          <m:t>31</m:t>
        </m:r>
        <m:r>
          <m:rPr>
            <m:sty m:val="p"/>
          </m:rPr>
          <m:t>+</m:t>
        </m:r>
        <m:r>
          <m:t>19</m:t>
        </m:r>
        <m:r>
          <m:rPr>
            <m:sty m:val="p"/>
          </m:rPr>
          <m:t>+</m:t>
        </m:r>
        <m:r>
          <m:t>22</m:t>
        </m:r>
        <m:r>
          <m:rPr>
            <m:sty m:val="p"/>
          </m:rPr>
          <m:t>=</m:t>
        </m:r>
        <m:r>
          <m:t>72</m:t>
        </m:r>
      </m:oMath>
      <w:r>
        <w:t xml:space="preserve">;</w:t>
      </w:r>
      <w:r>
        <w:t xml:space="preserve"> </w:t>
      </w:r>
      <m:oMath>
        <m:sSub>
          <m:e>
            <m:r>
              <m:t>N</m:t>
            </m:r>
          </m:e>
          <m:sub>
            <m:r>
              <m:t>B</m:t>
            </m:r>
            <m:r>
              <m:rPr>
                <m:sty m:val="p"/>
              </m:rPr>
              <m:t>&gt;</m:t>
            </m:r>
            <m:r>
              <m:t>0</m:t>
            </m:r>
          </m:sub>
        </m:sSub>
        <m:r>
          <m:rPr>
            <m:sty m:val="p"/>
          </m:rPr>
          <m:t>+</m:t>
        </m:r>
        <m:sSub>
          <m:e>
            <m:r>
              <m:t>N</m:t>
            </m:r>
          </m:e>
          <m:sub>
            <m:r>
              <m:t>B</m:t>
            </m:r>
            <m:r>
              <m:rPr>
                <m:sty m:val="p"/>
              </m:rPr>
              <m:t>=</m:t>
            </m:r>
            <m:r>
              <m:t>0</m:t>
            </m:r>
          </m:sub>
        </m:sSub>
        <m:r>
          <m:rPr>
            <m:sty m:val="p"/>
          </m:rPr>
          <m:t>+</m:t>
        </m:r>
        <m:sSub>
          <m:e>
            <m:r>
              <m:t>N</m:t>
            </m:r>
          </m:e>
          <m:sub>
            <m:r>
              <m:t>B</m:t>
            </m:r>
            <m:r>
              <m:rPr>
                <m:sty m:val="p"/>
              </m:rPr>
              <m:t>&lt;</m:t>
            </m:r>
            <m:r>
              <m:t>0</m:t>
            </m:r>
          </m:sub>
        </m:sSub>
        <m:r>
          <m:rPr>
            <m:sty m:val="p"/>
          </m:rPr>
          <m:t>=</m:t>
        </m:r>
        <m:r>
          <m:t>41</m:t>
        </m:r>
        <m:r>
          <m:rPr>
            <m:sty m:val="p"/>
          </m:rPr>
          <m:t>+</m:t>
        </m:r>
        <m:r>
          <m:t>4</m:t>
        </m:r>
        <m:r>
          <m:rPr>
            <m:sty m:val="p"/>
          </m:rPr>
          <m:t>+</m:t>
        </m:r>
        <m:r>
          <m:t>27</m:t>
        </m:r>
        <m:r>
          <m:rPr>
            <m:sty m:val="p"/>
          </m:rPr>
          <m:t>=</m:t>
        </m:r>
        <m:r>
          <m:t>72</m:t>
        </m:r>
      </m:oMath>
      <w:r>
        <w:t xml:space="preserve">). KGA issued 31 ADAPT, 19 FREEZE, and 22 ABSTAIN decisions (</w:t>
      </w:r>
      <m:oMath>
        <m:r>
          <m:t>69.4</m:t>
        </m:r>
        <m:r>
          <m:rPr>
            <m:sty m:val="p"/>
          </m:rPr>
          <m:t>%</m:t>
        </m:r>
      </m:oMath>
      <w:r>
        <w:t xml:space="preserve"> </w:t>
      </w:r>
      <w:r>
        <w:t xml:space="preserve">commitment) with zero observed false adaptations (</w:t>
      </w:r>
      <m:oMath>
        <m:sSub>
          <m:e>
            <m:r>
              <m:rPr>
                <m:sty m:val="p"/>
              </m:rPr>
              <m:t>F</m:t>
            </m:r>
            <m:r>
              <m:rPr>
                <m:sty m:val="p"/>
              </m:rPr>
              <m:t>A</m:t>
            </m:r>
          </m:e>
          <m:sub>
            <m:r>
              <m:t>u</m:t>
            </m:r>
          </m:sub>
        </m:sSub>
        <m:r>
          <m:rPr>
            <m:sty m:val="p"/>
          </m:rPr>
          <m:t>=</m:t>
        </m:r>
        <m:r>
          <m:t>0.0000</m:t>
        </m:r>
      </m:oMath>
      <w:r>
        <w:t xml:space="preserve">), achieving mean oracle regret</w:t>
      </w:r>
      <w:r>
        <w:t xml:space="preserve"> </w:t>
      </w:r>
      <m:oMath>
        <m:r>
          <m:t>0.0018</m:t>
        </m:r>
      </m:oMath>
      <w:r>
        <w:t xml:space="preserve"> </w:t>
      </w:r>
      <w:r>
        <w:t xml:space="preserve">compared with</w:t>
      </w:r>
      <w:r>
        <w:t xml:space="preserve"> </w:t>
      </w:r>
      <m:oMath>
        <m:r>
          <m:t>0.0393</m:t>
        </m:r>
      </m:oMath>
      <w:r>
        <w:t xml:space="preserve"> </w:t>
      </w:r>
      <w:r>
        <w:t xml:space="preserve">for always-adapt and</w:t>
      </w:r>
      <w:r>
        <w:t xml:space="preserve"> </w:t>
      </w:r>
      <m:oMath>
        <m:r>
          <m:t>0.0438</m:t>
        </m:r>
      </m:oMath>
      <w:r>
        <w:t xml:space="preserve"> </w:t>
      </w:r>
      <w:r>
        <w:t xml:space="preserve">for always-freeze. We explicitly note an evidentiary limitation: the underlying GBR point predictions</w:t>
      </w:r>
      <w:r>
        <w:t xml:space="preserve"> </w:t>
      </w:r>
      <m:oMath>
        <m:acc>
          <m:accPr>
            <m:chr m:val="̂"/>
          </m:accPr>
          <m:e>
            <m:r>
              <m:t>B</m:t>
            </m:r>
          </m:e>
        </m:acc>
      </m:oMath>
      <w:r>
        <w:t xml:space="preserve"> </w:t>
      </w:r>
      <w:r>
        <w:t xml:space="preserve">were not separately archived in the source run; the decision rule was approximated as a</w:t>
      </w:r>
      <w:r>
        <w:t xml:space="preserve"> </w:t>
      </w:r>
      <m:oMath>
        <m:r>
          <m:rPr>
            <m:sty m:val="p"/>
          </m:rPr>
          <m:t>sign</m:t>
        </m:r>
        <m:r>
          <m:rPr>
            <m:sty m:val="p"/>
          </m:rPr>
          <m:t>(</m:t>
        </m:r>
        <m:r>
          <m:t>B</m:t>
        </m:r>
        <m:r>
          <m:rPr>
            <m:sty m:val="p"/>
          </m:rPr>
          <m:t>)</m:t>
        </m:r>
      </m:oMath>
      <w:r>
        <w:t xml:space="preserve"> </w:t>
      </w:r>
      <w:r>
        <w:t xml:space="preserve">threshold at locked</w:t>
      </w:r>
      <w:r>
        <w:t xml:space="preserve"> </w:t>
      </w:r>
      <m:oMath>
        <m:r>
          <m:t>ε</m:t>
        </m:r>
        <m:r>
          <m:rPr>
            <m:sty m:val="p"/>
          </m:rPr>
          <m:t>=</m:t>
        </m:r>
        <m:r>
          <m:t>0.0296</m:t>
        </m:r>
      </m:oMath>
      <w:r>
        <w:t xml:space="preserve"> </w:t>
      </w:r>
      <w:r>
        <w:t xml:space="preserve">(consistent with the archived commit rate). This retrospective opened diagnostic documents observed selective ADAPT exposure on natural pathology-shift distributions, but does not constitute a prospective confirmatory trial.</w:t>
      </w:r>
    </w:p>
    <w:p>
      <w:pPr>
        <w:pStyle w:val="BodyText"/>
        <w:widowControl/>
      </w:pPr>
      <w:r>
        <w:t xml:space="preserve">@lcccccc@</w:t>
      </w:r>
      <w:r>
        <w:t xml:space="preserve"> </w:t>
      </w:r>
      <w:r>
        <w:rPr>
          <w:b/>
          <w:bCs/>
        </w:rPr>
        <w:t xml:space="preserve">Panel</w:t>
      </w:r>
      <w:r>
        <w:t xml:space="preserve"> </w:t>
      </w:r>
      <w:r>
        <w:t xml:space="preserve">&amp;</w:t>
      </w:r>
      <w:r>
        <w:t xml:space="preserve"> </w:t>
      </w:r>
      <m:oMath>
        <m:r>
          <m:rPr>
            <m:sty m:val="b"/>
          </m:rPr>
          <m:t>+</m:t>
        </m:r>
      </m:oMath>
      <w:r>
        <w:t xml:space="preserve"> </w:t>
      </w:r>
      <w:r>
        <w:t xml:space="preserve">&amp;</w:t>
      </w:r>
      <w:r>
        <w:t xml:space="preserve"> </w:t>
      </w:r>
      <m:oMath>
        <m:r>
          <m:rPr>
            <m:sty m:val="b"/>
          </m:rPr>
          <m:t>0</m:t>
        </m:r>
      </m:oMath>
      <w:r>
        <w:t xml:space="preserve"> </w:t>
      </w:r>
      <w:r>
        <w:t xml:space="preserve">&amp;</w:t>
      </w:r>
      <w:r>
        <w:t xml:space="preserve"> </w:t>
      </w:r>
      <m:oMath>
        <m:r>
          <m:rPr>
            <m:sty m:val="b"/>
          </m:rPr>
          <m:t>−</m:t>
        </m:r>
      </m:oMath>
      <w:r>
        <w:t xml:space="preserve"> </w:t>
      </w:r>
      <w:r>
        <w:t xml:space="preserve">&amp;</w:t>
      </w:r>
      <w:r>
        <w:t xml:space="preserve"> </w:t>
      </w:r>
      <w:r>
        <w:rPr>
          <w:b/>
          <w:bCs/>
        </w:rPr>
        <w:t xml:space="preserve">A</w:t>
      </w:r>
      <w:r>
        <w:t xml:space="preserve"> </w:t>
      </w:r>
      <w:r>
        <w:t xml:space="preserve">&amp;</w:t>
      </w:r>
      <w:r>
        <w:t xml:space="preserve"> </w:t>
      </w:r>
      <w:r>
        <w:rPr>
          <w:b/>
          <w:bCs/>
        </w:rPr>
        <w:t xml:space="preserve">F</w:t>
      </w:r>
      <w:r>
        <w:t xml:space="preserve"> </w:t>
      </w:r>
      <w:r>
        <w:t xml:space="preserve">&amp;</w:t>
      </w:r>
      <w:r>
        <w:t xml:space="preserve"> </w:t>
      </w:r>
      <w:r>
        <w:rPr>
          <w:b/>
          <w:bCs/>
        </w:rPr>
        <w:t xml:space="preserve">U</w:t>
      </w:r>
      <w:r>
        <w:br/>
      </w:r>
      <w:r>
        <w:t xml:space="preserve">Camelyon17 OOD &amp; 41 &amp; 4 &amp; 27 &amp; 31 &amp; 19 &amp; 22</w:t>
      </w:r>
      <w:r>
        <w:br/>
      </w:r>
      <w:r>
        <w:br/>
      </w:r>
    </w:p>
    <w:bookmarkEnd w:id="106"/>
    <w:bookmarkStart w:id="107"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07"/>
    <w:bookmarkStart w:id="108"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08"/>
    <w:bookmarkStart w:id="112" w:name="b.8-boundary-and-transfer-diagnostics"/>
    <w:p>
      <w:pPr>
        <w:pStyle w:val="Heading2"/>
        <w:widowControl/>
      </w:pPr>
      <w:r>
        <w:t xml:space="preserve">B.8 Boundary and Transfer Diagnostics</w:t>
      </w:r>
    </w:p>
    <w:bookmarkStart w:id="109"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09"/>
    <w:bookmarkStart w:id="110" w:name="b.8.2-imagenet-r-backbone-breakdown"/>
    <w:p>
      <w:pPr>
        <w:pStyle w:val="Heading3"/>
        <w:widowControl/>
      </w:pPr>
      <w:r>
        <w:t xml:space="preserve">B.8.2 ImageNet-R Backbone Breakdown</w:t>
      </w:r>
    </w:p>
    <w:p>
      <w:pPr>
        <w:pStyle w:val="FirstParagraph"/>
        <w:widowControl/>
      </w:pPr>
      <w:r>
        <w:t xml:space="preserve">On the ImageNet-R [24] 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TableCaption"/>
        <w:widowControl/>
      </w:pPr>
      <w:r>
        <w:t xml:space="preserve">Table 30. Cross-architecture KGA evaluation across 5 distinct backbone families (48 conditions each, ImageNet-R pre-registered Protocol D panel,</w:t>
      </w:r>
      <w:r>
        <w:t xml:space="preserve"> </w:t>
      </w:r>
      <m:oMath>
        <m:r>
          <m:t>α</m:t>
        </m:r>
        <m:r>
          <m:rPr>
            <m:sty m:val="p"/>
          </m:rPr>
          <m:t>=</m:t>
        </m:r>
        <m:r>
          <m:t>0.10</m:t>
        </m:r>
      </m:oMath>
      <w:r>
        <w:t xml:space="preserve">, leave-one-out exact-rank empirical residual routing). Results provide cross-architecture selective-routing diagnostics; observed</w:t>
      </w:r>
      <w:r>
        <w:t xml:space="preserve"> </w:t>
      </w:r>
      <m:oMath>
        <m:sSub>
          <m:e>
            <m:r>
              <m:rPr>
                <m:sty m:val="p"/>
              </m:rPr>
              <m:t>F</m:t>
            </m:r>
            <m:r>
              <m:rPr>
                <m:sty m:val="p"/>
              </m:rPr>
              <m:t>A</m:t>
            </m:r>
          </m:e>
          <m:sub>
            <m:r>
              <m:t>u</m:t>
            </m:r>
          </m:sub>
        </m:sSub>
      </m:oMath>
      <w:r>
        <w:t xml:space="preserve"> </w:t>
      </w:r>
      <w:r>
        <w:t xml:space="preserve">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w:t>
      </w:r>
      <w:r>
        <w:t xml:space="preserve"> </w:t>
      </w:r>
      <m:oMath>
        <m:sSub>
          <m:e>
            <m:r>
              <m:rPr>
                <m:sty m:val="p"/>
              </m:rPr>
              <m:t>F</m:t>
            </m:r>
            <m:r>
              <m:rPr>
                <m:sty m:val="p"/>
              </m:rPr>
              <m:t>A</m:t>
            </m:r>
          </m:e>
          <m:sub>
            <m:r>
              <m:t>c</m:t>
            </m:r>
          </m:sub>
        </m:sSub>
      </m:oMath>
      <w:r>
        <w:t xml:space="preserve"> </w:t>
      </w:r>
      <w:r>
        <w:t xml:space="preserve">(conditional false-ADAPT rate, divides by ADAPT count) can be high when very few ADAPT decisions were issued;</w:t>
      </w:r>
      <w:r>
        <w:t xml:space="preserve"> </w:t>
      </w:r>
      <w:r>
        <w:t xml:space="preserve">“—”</w:t>
      </w:r>
      <w:r>
        <w:t xml:space="preserve"> </w:t>
      </w:r>
      <w:r>
        <w:t xml:space="preserve">indicates undefined (zero ADAPT decisions).</w:t>
      </w:r>
    </w:p>
    <w:tbl>
      <w:tblPr>
        <w:tblStyle w:val="Table"/>
        <w:tblW w:type="dxa" w:w="9960"/>
        <w:jc w:val="left"/>
        <w:tblLayout w:type="fixed"/>
        <w:tblLook w:firstRow="1" w:lastRow="0" w:firstColumn="0" w:lastColumn="0" w:noHBand="0" w:noVBand="0" w:val="0020"/>
        <w:tblCaption w:val="Table 30. Cross-architecture KGA evaluation across 5 distinct backbone families (48 conditions each, ImageNet-R pre-registered Protocol D panel, \alpha = 0.10, leave-one-out exact-rank empirical residual routing). Results provide cross-architecture selective-routing diagnostics; observed \mathrm{FA}_u 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 \mathrm{FA}_c (conditional false-ADAPT rate, divides by ADAPT count) can be high when very few ADAPT decisions were issued; “—” indicates undefined (zero ADAPT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3"/>
        <w:gridCol w:w="1756"/>
        <w:gridCol w:w="772"/>
        <w:gridCol w:w="1099"/>
        <w:gridCol w:w="772"/>
        <w:gridCol w:w="772"/>
        <w:gridCol w:w="772"/>
        <w:gridCol w:w="772"/>
        <w:gridCol w:w="1152"/>
        <w:gridCol w:w="770"/>
      </w:tblGrid>
      <w:tr>
        <w:trPr>
          <w:tblHeader w:val="true"/>
          <w:cantSplit w:val="true"/>
        </w:trPr>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Architecture</w:t>
            </w:r>
          </w:p>
        </w:tc>
        <w:tc>
          <w:tcPr>
            <w:tcW w:w="17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Model Family</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Params</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Help/Zero/Harm</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f</m:t>
                  </m:r>
                  <m:r>
                    <m:rPr>
                      <m:sty m:val="p"/>
                    </m:rPr>
                    <m:t>r</m:t>
                  </m:r>
                  <m:r>
                    <m:rPr>
                      <m:sty m:val="p"/>
                    </m:rPr>
                    <m:t>e</m:t>
                  </m:r>
                  <m:r>
                    <m:rPr>
                      <m:sty m:val="p"/>
                    </m:rPr>
                    <m:t>e</m:t>
                  </m:r>
                  <m:r>
                    <m:rPr>
                      <m:sty m:val="p"/>
                    </m:rPr>
                    <m:t>z</m:t>
                  </m:r>
                  <m:r>
                    <m:rPr>
                      <m:sty m:val="p"/>
                    </m:rPr>
                    <m:t>e</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a</m:t>
                  </m:r>
                  <m:r>
                    <m:rPr>
                      <m:sty m:val="p"/>
                    </m:rPr>
                    <m:t>d</m:t>
                  </m:r>
                  <m:r>
                    <m:rPr>
                      <m:sty m:val="p"/>
                    </m:rPr>
                    <m:t>a</m:t>
                  </m:r>
                  <m:r>
                    <m:rPr>
                      <m:sty m:val="p"/>
                    </m:rPr>
                    <m:t>p</m:t>
                  </m:r>
                  <m:r>
                    <m:rPr>
                      <m:sty m:val="p"/>
                    </m:rPr>
                    <m:t>t</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p</m:t>
                  </m:r>
                  <m:r>
                    <m:rPr>
                      <m:sty m:val="p"/>
                    </m:rPr>
                    <m:t>o</m:t>
                  </m:r>
                  <m:r>
                    <m:rPr>
                      <m:sty m:val="p"/>
                    </m:rPr>
                    <m:t>l</m:t>
                  </m:r>
                  <m:r>
                    <m:rPr>
                      <m:sty m:val="p"/>
                    </m:rPr>
                    <m:t>i</m:t>
                  </m:r>
                  <m:r>
                    <m:rPr>
                      <m:sty m:val="p"/>
                    </m:rPr>
                    <m:t>c</m:t>
                  </m:r>
                  <m:r>
                    <m:rPr>
                      <m:sty m:val="p"/>
                    </m:rPr>
                    <m:t>y</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Actions (A/F/U)</w:t>
            </w:r>
          </w:p>
        </w:tc>
        <w:tc>
          <w:tcPr>
            <w:tcW w:w="77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43/0/5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1/0/47</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Swin-T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Hierarchical ViT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28.3M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17/2/29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w:t>
            </w:r>
          </w:p>
        </w:tc>
        <w:tc>
          <w:tcPr>
            <w:tcW w:w="77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ConvNeXt-T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Modern ConvNet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39/4/5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2.56%</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2/0/46</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ResNet-101</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Deep Residual</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44.5M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46/1/1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2.91%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2.65%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5/0/43</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0.200</w:t>
            </w:r>
          </w:p>
        </w:tc>
      </w:tr>
      <w:tr>
        <w:trPr>
          <w:cantSplit w:val="true"/>
        </w:trPr>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EfficientNet-B3</w:t>
            </w:r>
          </w:p>
        </w:tc>
        <w:tc>
          <w:tcPr>
            <w:tcW w:w="17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Compound Scaled</w:t>
            </w:r>
          </w:p>
        </w:tc>
        <w:tc>
          <w:tcPr>
            <w:tcW w:w="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12.2M</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4.94%</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2.57%</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26/0/22</w:t>
            </w:r>
          </w:p>
        </w:tc>
        <w:tc>
          <w:tcPr>
            <w:tcW w:w="7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r>
    </w:tbl>
    <w:p>
      <w:pPr>
        <w:pStyle w:val="BodyText"/>
        <w:widowControl/>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w:t>
      </w:r>
      <w:r>
        <w:t xml:space="preserve"> </w:t>
      </w:r>
      <w:r>
        <w:rPr>
          <w:rStyle w:val="VerbatimChar"/>
        </w:rPr>
        <w:t xml:space="preserve">experiments/kbound/results/task_vit_architecture/</w:t>
      </w:r>
      <w:r>
        <w:t xml:space="preserve">).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10"/>
    <w:bookmarkStart w:id="111"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11"/>
    <w:bookmarkEnd w:id="112"/>
    <w:bookmarkStart w:id="119" w:name="X50cdc9157c44088701e69dedc8d80b6b7417a4c"/>
    <w:p>
      <w:pPr>
        <w:pStyle w:val="Heading2"/>
        <w:widowControl/>
      </w:pPr>
      <w:r>
        <w:t xml:space="preserve">B.9 Native-Component Benchmark Comparison and Port Audits</w:t>
      </w:r>
    </w:p>
    <w:p>
      <w:pPr>
        <w:pStyle w:val="FirstParagraph"/>
        <w:widowControl/>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w:t>
      </w:r>
      <w:r>
        <w:t xml:space="preserve"> </w:t>
      </w:r>
      <w:r>
        <w:rPr>
          <w:rStyle w:val="VerbatimChar"/>
        </w:rPr>
        <w:t xml:space="preserve">experiments/kbound/results/task3_native_common_45_20260914_score/receipt.json</w:t>
      </w:r>
      <w:r>
        <w:t xml:space="preser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scoped_saved_output_comparison_completed=true</w:t>
      </w:r>
      <w:r>
        <w:t xml:space="preserve">.</w:t>
      </w:r>
    </w:p>
    <w:p>
      <w:pPr>
        <w:pStyle w:val="TableCaption"/>
        <w:widowControl/>
      </w:pPr>
      <w:r>
        <w:t xml:space="preserve">Table 31. Hash-bound native-component comparison on the retrospective 45-cell ImageNet-C subset (three noise corruptions, severities 1/3/5, five stream seeds; 15 score cells). Accuracy is the equal-cell mean of the served candidate or frozen predictions.</w:t>
      </w:r>
      <w:r>
        <w:t xml:space="preserve"> </w:t>
      </w:r>
      <w:r>
        <w:t xml:space="preserve">“Commit”</w:t>
      </w:r>
      <w:r>
        <w:t xml:space="preserve"> </w:t>
      </w:r>
      <w:r>
        <w:t xml:space="preserve">is the commitment rate</w:t>
      </w:r>
      <w:r>
        <w:t xml:space="preserve"> </w:t>
      </w:r>
      <m:oMath>
        <m:r>
          <m:rPr>
            <m:sty m:val="p"/>
          </m:rPr>
          <m:t>(</m:t>
        </m:r>
        <m:r>
          <m:t>A</m:t>
        </m:r>
        <m:r>
          <m:rPr>
            <m:sty m:val="p"/>
          </m:rPr>
          <m:t>+</m:t>
        </m:r>
        <m:r>
          <m:t>F</m:t>
        </m:r>
        <m:r>
          <m:rPr>
            <m:sty m:val="p"/>
          </m:rPr>
          <m:t>)</m:t>
        </m:r>
        <m:r>
          <m:rPr>
            <m:sty m:val="p"/>
          </m:rPr>
          <m:t>/</m:t>
        </m:r>
        <m:r>
          <m:t>n</m:t>
        </m:r>
      </m:oMath>
      <w:r>
        <w:t xml:space="preserve">; FA-U and FA-C are unconditional and conditional false-ADAPT rates. A method marked</w:t>
      </w:r>
      <w:r>
        <w:t xml:space="preserve"> </w:t>
      </w:r>
      <w:r>
        <w:rPr>
          <w:smallCaps/>
        </w:rPr>
        <w:t xml:space="preserve">Unavailable</w:t>
      </w:r>
      <w:r>
        <w:t xml:space="preserve"> </w:t>
      </w:r>
      <w:r>
        <w:t xml:space="preserve">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w:t>
      </w:r>
    </w:p>
    <w:tbl>
      <w:tblPr>
        <w:tblStyle w:val="Table"/>
        <w:tblW w:type="dxa" w:w="9960"/>
        <w:jc w:val="left"/>
        <w:tblLayout w:type="fixed"/>
        <w:tblLook w:firstRow="1" w:lastRow="0" w:firstColumn="0" w:lastColumn="0" w:noHBand="0" w:noVBand="0" w:val="0020"/>
        <w:tblCaption w:val="Table 31. Hash-bound native-component comparison on the retrospective 45-cell ImageNet-C subset (three noise corruptions, severities 1/3/5, five stream seeds; 15 score cells). Accuracy is the equal-cell mean of the served candidate or frozen predictions. “Commit” is the commitment rate (A + F)/n; FA-U and FA-C are unconditional and conditional false-ADAPT rates. A method marked Unavailable 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80"/>
        <w:gridCol w:w="1294"/>
        <w:gridCol w:w="922"/>
        <w:gridCol w:w="922"/>
        <w:gridCol w:w="922"/>
        <w:gridCol w:w="922"/>
        <w:gridCol w:w="922"/>
        <w:gridCol w:w="922"/>
        <w:gridCol w:w="1054"/>
      </w:tblGrid>
      <w:tr>
        <w:trPr>
          <w:tblHeader w:val="true"/>
          <w:cantSplit w:val="true"/>
        </w:trPr>
        <w:tc>
          <w:tcPr>
            <w:tcW w:w="20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Method</w:t>
            </w:r>
          </w:p>
        </w:tc>
        <w:tc>
          <w:tcPr>
            <w:tcW w:w="129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Status</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Available</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Total</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Accuracy</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FA-U</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FA-C</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AETTA_controller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KGA</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always_adapt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always_freeze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confidence_gain</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entropy_progress</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point_benefit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0.4073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0.1333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Baek_ALine_controller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Kim_TTALine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bl>
    <w:p>
      <w:pPr>
        <w:pStyle w:val="BodyText"/>
        <w:widowControl/>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w:t>
      </w:r>
      <w:r>
        <w:t xml:space="preserve"> </w:t>
      </w:r>
      <w:r>
        <w:rPr>
          <w:smallCaps/>
        </w:rPr>
        <w:t xml:space="preserve">Unavailable</w:t>
      </w:r>
      <w:r>
        <w:t xml:space="preserve"> </w:t>
      </w:r>
      <w:r>
        <w:t xml:space="preserve">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16" w:name="X74af5e4b225ce5d3545ee8eb3e8c4825fecb58c"/>
    <w:p>
      <w:pPr>
        <w:pStyle w:val="Heading3"/>
        <w:keepNext/>
        <w:widowControl/>
        <w:spacing w:before="100" w:after="20" w:line="252" w:lineRule="auto"/>
      </w:pPr>
      <w:r>
        <w:rPr>
          <w:rFonts w:ascii="Times New Roman" w:hAnsi="Times New Roman" w:eastAsia="Times New Roman" w:cs="Times New Roman"/>
          <w:b/>
          <w:sz w:val="19"/>
        </w:rPr>
        <w:t xml:space="preserve">Separation from Historical Scalar Proxies.</w:t>
      </w:r>
    </w:p>
    <w:p>
      <w:pPr>
        <w:pStyle w:val="FirstParagraph"/>
        <w:widowControl/>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w:t>
      </w:r>
      <w:r>
        <w:t xml:space="preserve">(VERDICT: WIN).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p>
      <w:pPr>
        <w:pStyle w:val="CaptionedFigure"/>
        <w:widowControl/>
        <w:jc w:val="center"/>
      </w:pPr>
      <w:r>
        <w:drawing>
          <wp:inline>
            <wp:extent cx="4267200" cy="2133600"/>
            <wp:effectExtent b="0" l="0" r="0" t="0"/>
            <wp:docPr descr="Sequential tracking under non-stationary online distribution shift showing KGA safety fallback during severe corruption windows." title="Sequential tracking under non-stationary online distribution shift showing KGA safety fallback during severe corruption windows" id="114" name="Picture"/>
            <a:graphic>
              <a:graphicData uri="http://schemas.openxmlformats.org/drawingml/2006/picture">
                <pic:pic>
                  <pic:nvPicPr>
                    <pic:cNvPr descr="figures/fig_cifar_tent_online.pdf" id="115" name="Picture"/>
                    <pic:cNvPicPr>
                      <a:picLocks noChangeArrowheads="1" noChangeAspect="1"/>
                    </pic:cNvPicPr>
                  </pic:nvPicPr>
                  <pic:blipFill>
                    <a:blip r:embed="rId113"/>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widowControl/>
      </w:pPr>
      <w:r>
        <w:t xml:space="preserve">Figure 5. 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p>
      <w:pPr>
        <w:pStyle w:val="BodyText"/>
        <w:widowControl/>
      </w:pPr>
      <w:r>
        <w:t xml:space="preserve">The historical port names refer to local scalar comparators inspired by TTA/ALine [51],</w:t>
      </w:r>
      <w:r>
        <w:t xml:space="preserve"> </w:t>
      </w:r>
      <w:r>
        <w:t xml:space="preserve">AETTA [18], and POEM [14],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16"/>
    <w:bookmarkStart w:id="117" w:name="component-engineering-smoke-tests."/>
    <w:p>
      <w:pPr>
        <w:pStyle w:val="Heading3"/>
        <w:keepNext/>
        <w:widowControl/>
        <w:spacing w:before="100" w:after="20" w:line="252" w:lineRule="auto"/>
      </w:pPr>
      <w:r>
        <w:rPr>
          <w:rFonts w:ascii="Times New Roman" w:hAnsi="Times New Roman" w:eastAsia="Times New Roman" w:cs="Times New Roman"/>
          <w:b/>
          <w:sz w:val="19"/>
        </w:rPr>
        <w:t xml:space="preserve">Component Engineering Smoke Tests.</w:t>
      </w:r>
    </w:p>
    <w:p>
      <w:pPr>
        <w:pStyle w:val="FirstParagraph"/>
        <w:widowControl/>
      </w:pPr>
      <w:r>
        <w:t xml:space="preserve">Separate CPU harnesses execute authenticated POEM and AETTA components on a fixed 104-image</w:t>
      </w:r>
      <w:r>
        <w:t xml:space="preserve"> </w:t>
      </w:r>
      <w:r>
        <w:t xml:space="preserve">Gaussian-noise severity-5 stream (batch size 4, separate fresh-process repetitions; receipts under</w:t>
      </w:r>
      <w:r>
        <w:t xml:space="preserve"> </w:t>
      </w:r>
      <w:r>
        <w:rPr>
          <w:rStyle w:val="VerbatimChar"/>
        </w:rPr>
        <w:t xml:space="preserve">experiments/kbound/results/task_closure_20260911/</w:t>
      </w:r>
      <w:r>
        <w:t xml:space="preserve">).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17"/>
    <w:bookmarkStart w:id="118" w:name="X4452e64b148559b2894a66f34712dbf1ca250bb"/>
    <w:p>
      <w:pPr>
        <w:pStyle w:val="Heading3"/>
        <w:keepNext/>
        <w:widowControl/>
        <w:spacing w:before="100" w:after="20" w:line="252" w:lineRule="auto"/>
      </w:pPr>
      <w:r>
        <w:rPr>
          <w:rFonts w:ascii="Times New Roman" w:hAnsi="Times New Roman" w:eastAsia="Times New Roman" w:cs="Times New Roman"/>
          <w:b/>
          <w:sz w:val="19"/>
        </w:rPr>
        <w:t xml:space="preserve">Execution Barriers and Audit Location Map.</w:t>
      </w:r>
    </w:p>
    <w:p>
      <w:pPr>
        <w:pStyle w:val="FirstParagraph"/>
        <w:widowControl/>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Device integration</w:t>
      </w:r>
      <w:r>
        <w:t xml:space="preserve">: hardcoded, unconditional CUDA assertions in upstream</w:t>
      </w:r>
      <w:r>
        <w:t xml:space="preserve"> </w:t>
      </w:r>
      <w:r>
        <w:t xml:space="preserve">entrypoints prevent execution on Apple Silicon MPS;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w:t>
      </w:r>
    </w:p>
    <w:p>
      <w:pPr>
        <w:pStyle w:val="BodyText"/>
        <w:widowControl/>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18"/>
    <w:bookmarkEnd w:id="119"/>
    <w:bookmarkStart w:id="120"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20"/>
    <w:bookmarkStart w:id="121"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For the historical</w:t>
      </w:r>
      <w:r>
        <w:t xml:space="preserve"> </w:t>
      </w:r>
      <m:oMath>
        <m:r>
          <m:t>β</m:t>
        </m:r>
      </m:oMath>
      <w:r>
        <w:t xml:space="preserve"> </w:t>
      </w:r>
      <w:r>
        <w:t xml:space="preserve">proxy, Section 9 discloses the negative result.</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21"/>
    <w:bookmarkEnd w:id="122"/>
    <w:bookmarkStart w:id="123" w:name="c-compact-assumption-and-claim-ledger"/>
    <w:p>
      <w:pPr>
        <w:pStyle w:val="Heading1"/>
        <w:widowControl/>
      </w:pPr>
      <w:r>
        <w:t xml:space="preserve">C Compact Assumption and Claim Ledger</w:t>
      </w:r>
    </w:p>
    <w:p>
      <w:pPr>
        <w:pStyle w:val="FirstParagraph"/>
        <w:widowControl/>
      </w:pPr>
      <w:r>
        <w:t xml:space="preserve">Table 32 separates formal claims from empirical findings and records the</w:t>
      </w:r>
      <w:r>
        <w:t xml:space="preserve"> </w:t>
      </w:r>
      <w:r>
        <w:t xml:space="preserve">conditions and scope limits for each.</w:t>
      </w:r>
    </w:p>
    <w:p>
      <w:pPr>
        <w:pStyle w:val="TableCaption"/>
        <w:widowControl/>
      </w:pPr>
      <w:r>
        <w:t xml:space="preserve">Table 32.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3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0"/>
        <w:gridCol w:w="3320"/>
        <w:gridCol w:w="3320"/>
      </w:tblGrid>
      <w:tr>
        <w:trPr>
          <w:tblHeader w:val="true"/>
          <w:cantSplit w:val="true"/>
        </w:trPr>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m:t>β</m:t>
              </m:r>
              <m:r>
                <m:rPr>
                  <m:sty m:val="p"/>
                </m:rPr>
                <m:t>&gt;</m:t>
              </m:r>
              <m:r>
                <m:t>0</m:t>
              </m:r>
            </m:oMath>
            <w:r>
              <w:rPr>
                <w:rFonts w:ascii="Times New Roman" w:hAnsi="Times New Roman"/>
                <w:sz w:val="17"/>
              </w:rPr>
              <w:t>,</w:t>
            </w:r>
            <w:r>
              <w:rPr>
                <w:rFonts w:ascii="Times New Roman" w:hAnsi="Times New Roman"/>
                <w:sz w:val="17"/>
              </w:rPr>
              <w:t xml:space="preserve"> </w:t>
            </w:r>
            <m:oMath>
              <m:r>
                <m:rPr>
                  <m:sty m:val="p"/>
                </m:rPr>
                <m:t>|</m:t>
              </m:r>
              <m:r>
                <m:t>M</m:t>
              </m:r>
              <m:r>
                <m:rPr>
                  <m:sty m:val="p"/>
                </m:rPr>
                <m:t>|</m:t>
              </m:r>
              <m:r>
                <m:rPr>
                  <m:sty m:val="p"/>
                </m:rPr>
                <m:t>&lt;</m:t>
              </m:r>
              <m:r>
                <m:t>β</m:t>
              </m:r>
            </m:oMath>
            <w:r>
              <w:rPr>
                <w:rFonts w:ascii="Times New Roman" w:hAnsi="Times New Roman"/>
                <w:sz w:val="17"/>
              </w:rPr>
              <w:t>, and full fibre richness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m:t>C</m:t>
                  </m:r>
                </m:e>
                <m:sub>
                  <m:r>
                    <m:t>β</m:t>
                  </m:r>
                </m:sub>
              </m:sSub>
            </m:oMath>
          </w:p>
        </w:tc>
        <w:tc>
          <w:tcPr>
            <w:tcW w:w="3320" w:type="dxa"/>
            <w:vAlign w:val="center"/>
            <w:tcMar>
              <w:top w:w="60" w:type="dxa"/>
              <w:start w:w="80" w:type="dxa"/>
              <w:bottom w:w="60" w:type="dxa"/>
              <w:end w:w="80" w:type="dxa"/>
            </w:tcMar>
          </w:tcPr>
          <w:p>
            <w:pPr>
              <w:pStyle w:val="Compact"/>
              <w:keepNext w:val="0"/>
              <w:spacing w:before="0" w:after="0" w:line="240" w:lineRule="auto"/>
              <w:jc w:val="left"/>
            </w:pPr>
            <m:oMath>
              <m: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(10) for the measured cell target</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m:t>F</m:t>
                  </m:r>
                  <m:r>
                    <m:rPr>
                      <m:sty m:val="p"/>
                    </m:rPr>
                    <m:t>A</m:t>
                  </m:r>
                </m:e>
                <m:sub>
                  <m:r>
                    <m:rPr>
                      <m:sty m:val="p"/>
                    </m: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Tent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EATA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18, and  10; each split and candidate remain fixed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17; candidate rows interpreted separately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and 18; canonical replay scope retained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Independent-checkpoint mixed-sign routing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(Panels B &amp; C); three ResNet-18 checkpoints across 36 controlled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leave-one-cell-out and 3-way outcome-disjoint cross-fitting; 36 cells/model; point-regret replication across checkpoints, not prospective architecture transfer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Published AETTA baseline comparison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 C); authenticated native AETTA accuracy estimator across identical 36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LOO KGA replicates point-regret advantage across 3 checkpoints (</w:t>
            </w:r>
            <m:oMath>
              <m:r>
                <m:t>0.08</m:t>
              </m:r>
            </m:oMath>
            <w:r>
              <w:rPr>
                <w:rFonts w:ascii="Times New Roman" w:hAnsi="Times New Roman"/>
                <w:sz w:val="17"/>
              </w:rPr>
              <w:t>–</w:t>
            </w:r>
            <m:oMath>
              <m:r>
                <m:t>0.23</m:t>
              </m:r>
              <m:r>
                <m:rPr>
                  <m:sty m:val="p"/>
                </m:rPr>
                <m:t>%</m:t>
              </m:r>
            </m:oMath>
            <w:r>
              <w:rPr>
                <w:rFonts w:ascii="Times New Roman" w:hAnsi="Times New Roman"/>
                <w:sz w:val="17"/>
              </w:rPr>
              <w:t xml:space="preserve"> </w:t>
            </w:r>
            <w:r>
              <w:rPr>
                <w:rFonts w:ascii="Times New Roman" w:hAnsi="Times New Roman"/>
                <w:sz w:val="17"/>
              </w:rPr>
              <w:t>vs</w:t>
            </w:r>
            <w:r>
              <w:rPr>
                <w:rFonts w:ascii="Times New Roman" w:hAnsi="Times New Roman"/>
                <w:sz w:val="17"/>
              </w:rPr>
              <w:t xml:space="preserve"> </w:t>
            </w:r>
            <m:oMath>
              <m:r>
                <m:t>0.18</m:t>
              </m:r>
            </m:oMath>
            <w:r>
              <w:rPr>
                <w:rFonts w:ascii="Times New Roman" w:hAnsi="Times New Roman"/>
                <w:sz w:val="17"/>
              </w:rPr>
              <w:t>–</w:t>
            </w:r>
            <m:oMath>
              <m:r>
                <m:t>0.36</m:t>
              </m:r>
              <m:r>
                <m:rPr>
                  <m:sty m:val="p"/>
                </m:rPr>
                <m:t>%</m:t>
              </m:r>
            </m:oMath>
            <w:r>
              <w:rPr>
                <w:rFonts w:ascii="Times New Roman" w:hAnsi="Times New Roman"/>
                <w:sz w:val="17"/>
              </w:rPr>
              <w:t>); outcome-disjoint B6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rPr>
                <w:rFonts w:ascii="Times New Roman" w:hAnsi="Times New Roman"/>
                <w:sz w:val="17"/>
              </w:rPr>
              <w:t>) but trades point regret (</w:t>
            </w:r>
            <m:oMath>
              <m:r>
                <m:t>0.23</m:t>
              </m:r>
            </m:oMath>
            <w:r>
              <w:rPr>
                <w:rFonts w:ascii="Times New Roman" w:hAnsi="Times New Roman"/>
                <w:sz w:val="17"/>
              </w:rPr>
              <w:t>–</w:t>
            </w:r>
            <m:oMath>
              <m:r>
                <m:t>1.14</m:t>
              </m:r>
              <m:r>
                <m:rPr>
                  <m:sty m:val="p"/>
                </m:rPr>
                <m:t>%</m:t>
              </m:r>
            </m:oMath>
            <w:r>
              <w:rPr>
                <w:rFonts w:ascii="Times New Roman" w:hAnsi="Times New Roman"/>
                <w:sz w:val="17"/>
              </w:rPr>
              <w:t>) for zero false adaptations vs 4–5 for AETTA; development budgets differ (KGA uses labeled historical shift data; AETTA is label-free)</w:t>
            </w:r>
          </w:p>
        </w:tc>
      </w:tr>
    </w:tbl>
    <w:bookmarkEnd w:id="123"/>
    <w:bookmarkStart w:id="128" w:name="d-calibration-and-evaluation-contracts"/>
    <w:p>
      <w:pPr>
        <w:pStyle w:val="Heading1"/>
        <w:widowControl/>
      </w:pPr>
      <w:r>
        <w:t xml:space="preserve">D Calibration and Evaluation Contracts</w:t>
      </w:r>
    </w:p>
    <w:bookmarkStart w:id="124"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24"/>
    <w:bookmarkStart w:id="125"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25"/>
    <w:bookmarkStart w:id="126"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26"/>
    <w:bookmarkStart w:id="127"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27"/>
    <w:bookmarkEnd w:id="128"/>
    <w:bookmarkStart w:id="129"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33. Action exposure across evaluated tracks. Counts are evaluation units within the protocol shown, not independent experiments. The primary controlled rows reflect authoritative</w:t>
      </w:r>
      <w:r>
        <w:t xml:space="preserve"> </w:t>
      </w:r>
      <w:r>
        <w:rPr>
          <w:i/>
          <w:iCs/>
        </w:rPr>
        <w:t xml:space="preserve">Protocol B cell-outcome-disjoint cross-fitting</w:t>
      </w:r>
      <w:r>
        <w:t xml:space="preserve"> </w:t>
      </w:r>
      <w:r>
        <w:t xml:space="preserve">(matching Table 7), yielding 1,094/334/732 for CIFAR-10-C Tent (</w:t>
      </w:r>
      <m:oMath>
        <m:sSub>
          <m:e>
            <m:r>
              <m:rPr>
                <m:sty m:val="p"/>
              </m:rPr>
              <m:t>F</m:t>
            </m:r>
            <m:r>
              <m:rPr>
                <m:sty m:val="p"/>
              </m:rPr>
              <m:t>A</m:t>
            </m:r>
          </m:e>
          <m:sub>
            <m:r>
              <m:t>u</m:t>
            </m:r>
          </m:sub>
        </m:sSub>
        <m:r>
          <m:rPr>
            <m:sty m:val="p"/>
          </m:rPr>
          <m:t>=</m:t>
        </m:r>
        <m:r>
          <m:t>0.0000</m:t>
        </m:r>
      </m:oMath>
      <w:r>
        <w:t xml:space="preserve">), 1,207/118/835 for EATA (</w:t>
      </w:r>
      <m:oMath>
        <m:sSub>
          <m:e>
            <m:r>
              <m:rPr>
                <m:sty m:val="p"/>
              </m:rPr>
              <m:t>F</m:t>
            </m:r>
            <m:r>
              <m:rPr>
                <m:sty m:val="p"/>
              </m:rPr>
              <m:t>A</m:t>
            </m:r>
          </m:e>
          <m:sub>
            <m:r>
              <m:t>u</m:t>
            </m:r>
          </m:sub>
        </m:sSub>
        <m:r>
          <m:rPr>
            <m:sty m:val="p"/>
          </m:rPr>
          <m:t>=</m:t>
        </m:r>
        <m:r>
          <m:t>0.0000</m:t>
        </m:r>
      </m:oMath>
      <w:r>
        <w:t xml:space="preserve">), and 1,430/0/730 for SAR (</w:t>
      </w:r>
      <m:oMath>
        <m:sSub>
          <m:e>
            <m:r>
              <m:rPr>
                <m:sty m:val="p"/>
              </m:rPr>
              <m:t>F</m:t>
            </m:r>
            <m:r>
              <m:rPr>
                <m:sty m:val="p"/>
              </m:rPr>
              <m:t>A</m:t>
            </m:r>
          </m:e>
          <m:sub>
            <m:r>
              <m:t>u</m:t>
            </m:r>
          </m:sub>
        </m:sSub>
        <m:r>
          <m:rPr>
            <m:sty m:val="p"/>
          </m:rPr>
          <m:t>=</m:t>
        </m:r>
        <m:r>
          <m:t>0.0005</m:t>
        </m:r>
      </m:oMath>
      <w:r>
        <w:t xml:space="preserve">). The earlier</w:t>
      </w:r>
      <w:r>
        <w:t xml:space="preserve"> </w:t>
      </w:r>
      <w:r>
        <w:rPr>
          <w:i/>
          <w:iCs/>
        </w:rPr>
        <w:t xml:space="preserve">Historical LOO Diagnostic Replay</w:t>
      </w:r>
      <w:r>
        <w:t xml:space="preserve"> </w:t>
      </w:r>
      <w:r>
        <w:t xml:space="preserve">(Protocol A order statistics on archived</w:t>
      </w:r>
      <w:r>
        <w:t xml:space="preserve"> </w:t>
      </w:r>
      <m:oMath>
        <m:acc>
          <m:accPr>
            <m:chr m:val="̂"/>
          </m:accPr>
          <m:e>
            <m:r>
              <m:t>b</m:t>
            </m:r>
          </m:e>
        </m:acc>
      </m:oMath>
      <w:r>
        <w:t xml:space="preserve">) yielded 1,107/359/694 for Tent, 1,241/132/787 for EATA, and 1,446/0/714 for SAR (all with</w:t>
      </w:r>
      <w:r>
        <w:t xml:space="preserve"> </w:t>
      </w:r>
      <m:oMath>
        <m:sSub>
          <m:e>
            <m:r>
              <m:rPr>
                <m:sty m:val="p"/>
              </m:rPr>
              <m:t>F</m:t>
            </m:r>
            <m:r>
              <m:rPr>
                <m:sty m:val="p"/>
              </m:rPr>
              <m:t>A</m:t>
            </m:r>
          </m:e>
          <m:sub>
            <m:r>
              <m:t>u</m:t>
            </m:r>
          </m:sub>
        </m:sSub>
        <m:r>
          <m:rPr>
            <m:sty m:val="p"/>
          </m:rPr>
          <m:t>=</m:t>
        </m:r>
        <m:r>
          <m:t>0.0000</m:t>
        </m:r>
      </m:oMath>
      <w:r>
        <w:t xml:space="preserve">). Harm and false adaptation are defined by measured cell outcomes, not population risks. Counts were regenerated from source manifest SHA-256</w:t>
      </w:r>
      <w:r>
        <w:t xml:space="preserve"> </w:t>
      </w:r>
      <w:r>
        <w:rPr>
          <w:rStyle w:val="VerbatimChar"/>
        </w:rPr>
        <w:t xml:space="preserve">3ac2c7d14d44803e4ff8a19258d036dc86327adb02fdb4cd34536e5eeee9cb24</w:t>
      </w:r>
      <w:r>
        <w:t xml:space="preserve">.</w:t>
      </w:r>
    </w:p>
    <w:tbl>
      <w:tblPr>
        <w:tblStyle w:val="Table"/>
        <w:tblW w:type="dxa" w:w="9960"/>
        <w:jc w:val="left"/>
        <w:tblLayout w:type="fixed"/>
        <w:tblLook w:firstRow="1" w:lastRow="0" w:firstColumn="0" w:lastColumn="0" w:noHBand="0" w:noVBand="0" w:val="0020"/>
        <w:tblCaption w:val="Table 33. Action exposure across evaluated tracks. Counts are evaluation units within the protocol shown, not independent experiments. The primary controlled rows reflect authoritative Protocol B cell-outcome-disjoint cross-fitting (matching Table 7), yielding 1,094/334/732 for CIFAR-10-C Tent (\mathrm{FA}_u = 0.0000), 1,207/118/835 for EATA (\mathrm{FA}_u = 0.0000), and 1,430/0/730 for SAR (\mathrm{FA}_u = 0.0005). The earlier Historical LOO Diagnostic Replay (Protocol A order statistics on archived \widehat{b}) yielded 1,107/359/694 for Tent, 1,241/132/787 for EATA, and 1,446/0/714 for SAR (all with \mathrm{FA}_u = 0.0000). Harm and false adaptation are defined by measured cell outcomes, not population risks. Counts were regenerated from source manifest SHA-256 3ac2c7d14d44803e4ff8a19258d036dc86327adb02fdb4cd34536e5eeee9cb2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.0148</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.0741</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29"/>
    <w:bookmarkStart w:id="136" w:name="f-inference-discipline"/>
    <w:p>
      <w:pPr>
        <w:pStyle w:val="Heading1"/>
        <w:widowControl/>
      </w:pPr>
      <w:r>
        <w:t xml:space="preserve">F Inference Discipline</w:t>
      </w:r>
    </w:p>
    <w:bookmarkStart w:id="130"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30"/>
    <w:bookmarkStart w:id="131"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34.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3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31"/>
    <w:bookmarkStart w:id="132" w:name="Xca4a7158e5ada7bc371b7d2585912e29b0137ce"/>
    <w:p>
      <w:pPr>
        <w:pStyle w:val="Heading2"/>
        <w:widowControl/>
      </w:pPr>
      <w:r>
        <w:t xml:space="preserve">F.3 Protocol B Interval Inclusion and Decision Diagnostics by Corruption Family</w:t>
      </w:r>
    </w:p>
    <w:p>
      <w:pPr>
        <w:pStyle w:val="FirstParagraph"/>
        <w:widowControl/>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widowControl/>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p>
      <w:pPr>
        <w:pStyle w:val="TableCaption"/>
        <w:widowControl/>
      </w:pPr>
      <w:r>
        <w:t xml:space="preserve">Table 35. Retrospective interval inclusion and decision diagnostics by corruption family under Protocol B 5-fold outcome-disjoint cross-fitting (matching Table 33 and Table 25; 2,160 CIFAR-10-C evaluations across 6 families). Width is full interval width,</w:t>
      </w:r>
      <w:r>
        <w:t xml:space="preserve"> </w:t>
      </w:r>
      <m:oMath>
        <m:r>
          <m:t>2</m:t>
        </m:r>
        <m:r>
          <m:t>ε</m:t>
        </m:r>
      </m:oMath>
      <w:r>
        <w:t xml:space="preserve">. Marginal errors (</w:t>
      </w:r>
      <m:oMath>
        <m:sSub>
          <m:e>
            <m:r>
              <m:rPr>
                <m:sty m:val="p"/>
              </m:rPr>
              <m:t>F</m:t>
            </m:r>
            <m:r>
              <m:rPr>
                <m:sty m:val="p"/>
              </m:rPr>
              <m:t>A</m:t>
            </m:r>
          </m:e>
          <m:sub>
            <m:r>
              <m:t>u</m:t>
            </m:r>
          </m:sub>
        </m:sSub>
      </m:oMath>
      <w:r>
        <w:t xml:space="preserve">,</w:t>
      </w:r>
      <w:r>
        <w:t xml:space="preserve"> </w:t>
      </w:r>
      <m:oMath>
        <m:sSub>
          <m:e>
            <m:r>
              <m:rPr>
                <m:sty m:val="p"/>
              </m:rPr>
              <m:t>F</m:t>
            </m:r>
            <m:r>
              <m:rPr>
                <m:sty m:val="p"/>
              </m:rPr>
              <m:t>F</m:t>
            </m:r>
          </m:e>
          <m:sub>
            <m:r>
              <m:t>u</m:t>
            </m:r>
          </m:sub>
        </m:sSub>
      </m:oMath>
      <w:r>
        <w:t xml:space="preserve">) divide by all</w:t>
      </w:r>
      <w:r>
        <w:t xml:space="preserve"> </w:t>
      </w:r>
      <m:oMath>
        <m:r>
          <m:t>N</m:t>
        </m:r>
        <m:r>
          <m:rPr>
            <m:sty m:val="p"/>
          </m:rPr>
          <m:t>=</m:t>
        </m:r>
        <m:r>
          <m:t>2</m:t>
        </m:r>
        <m:r>
          <m:rPr>
            <m:sty m:val="p"/>
          </m:rPr>
          <m:t>,</m:t>
        </m:r>
        <m:r>
          <m:t>160</m:t>
        </m:r>
      </m:oMath>
      <w:r>
        <w:t xml:space="preserve"> </w:t>
      </w:r>
      <w:r>
        <w:t xml:space="preserve">cells; conditional errors (</w:t>
      </w:r>
      <m:oMath>
        <m:sSub>
          <m:e>
            <m:r>
              <m:rPr>
                <m:sty m:val="p"/>
              </m:rPr>
              <m:t>F</m:t>
            </m:r>
            <m:r>
              <m:rPr>
                <m:sty m:val="p"/>
              </m:rPr>
              <m:t>A</m:t>
            </m:r>
          </m:e>
          <m:sub>
            <m:r>
              <m:t>c</m:t>
            </m:r>
          </m:sub>
        </m:sSub>
      </m:oMath>
      <w:r>
        <w:t xml:space="preserve">,</w:t>
      </w:r>
      <w:r>
        <w:t xml:space="preserve"> </w:t>
      </w:r>
      <m:oMath>
        <m:sSub>
          <m:e>
            <m:r>
              <m:rPr>
                <m:sty m:val="p"/>
              </m:rPr>
              <m:t>F</m:t>
            </m:r>
            <m:r>
              <m:rPr>
                <m:sty m:val="p"/>
              </m:rPr>
              <m:t>F</m:t>
            </m:r>
          </m:e>
          <m:sub>
            <m:r>
              <m:t>c</m:t>
            </m:r>
          </m:sub>
        </m:sSub>
      </m:oMath>
      <w:r>
        <w:t xml:space="preserve">) divide by the respective action count (ADAPT or FREEZE). These diagnostics report observed cell-level inclusion under cross-fitting; they do not establish group-conditional guarantees or transfer to unobserved corruption families.</w:t>
      </w:r>
    </w:p>
    <w:tbl>
      <w:tblPr>
        <w:tblStyle w:val="Table"/>
        <w:tblW w:type="dxa" w:w="9960"/>
        <w:jc w:val="left"/>
        <w:tblLayout w:type="fixed"/>
        <w:tblLook w:firstRow="1" w:lastRow="0" w:firstColumn="0" w:lastColumn="0" w:noHBand="0" w:noVBand="0" w:val="0020"/>
        <w:tblCaption w:val="Table 35. Retrospective interval inclusion and decision diagnostics by corruption family under Protocol B 5-fold outcome-disjoint cross-fitting (matching Table 33 and Table 25; 2,160 CIFAR-10-C evaluations across 6 families). Width is full interval width, 2\varepsilon. Marginal errors (\mathrm{FA}_u, \mathrm{FF}_u) divide by all N=2{,}160 cells; conditional errors (\mathrm{FA}_c, \mathrm{FF}_c) divide by the respective action count (ADAPT or FREEZE). These diagnostics report observed cell-level inclusion under cross-fitting; they do not establish group-conditional guarantees or transfer to unobserved corruption famili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m:t>F</m:t>
                  </m:r>
                  <m:r>
                    <m:rPr>
                      <m:sty m:val="p"/>
                    </m:rPr>
                    <m:t>A</m:t>
                  </m:r>
                </m:e>
                <m:sub>
                  <m: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m:t>F</m:t>
                  </m:r>
                  <m:r>
                    <m:rPr>
                      <m:sty m:val="p"/>
                    </m:rPr>
                    <m:t>F</m:t>
                  </m:r>
                </m:e>
                <m:sub>
                  <m: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32"/>
    <w:bookmarkStart w:id="133"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33"/>
    <w:bookmarkStart w:id="135"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34"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34"/>
    <w:bookmarkEnd w:id="135"/>
    <w:bookmarkEnd w:id="136"/>
    <w:bookmarkStart w:id="141" w:name="Xee8835d1cfba1c10eeb531799a2736c81d31159"/>
    <w:p>
      <w:pPr>
        <w:pStyle w:val="Heading1"/>
        <w:widowControl/>
      </w:pPr>
      <w:r>
        <w:t xml:space="preserve">G Track-Level Provenance and Remaining Evidence</w:t>
      </w:r>
    </w:p>
    <w:p>
      <w:pPr>
        <w:pStyle w:val="TableCaption"/>
        <w:widowControl/>
      </w:pPr>
      <w:r>
        <w:t xml:space="preserve">Table 36.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3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m:t>Δ</m:t>
                  </m:r>
                </m:e>
                <m:sup>
                  <m:r>
                    <m:rPr>
                      <m:sty m:val="p"/>
                    </m:rPr>
                    <m:t>c</m:t>
                  </m:r>
                  <m:r>
                    <m:rPr>
                      <m:sty m:val="p"/>
                    </m:rPr>
                    <m:t>e</m:t>
                  </m:r>
                  <m:r>
                    <m:rPr>
                      <m:sty m:val="p"/>
                    </m:rPr>
                    <m:t>l</m:t>
                  </m:r>
                  <m:r>
                    <m:rPr>
                      <m:sty m:val="p"/>
                    </m: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is part of the empirical record, not administrative metadata. An auditor or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40" w:name="X70d84f40c09bb5f77e6b004cc7ba8ca8bcbd23b"/>
    <w:p>
      <w:pPr>
        <w:pStyle w:val="Heading2"/>
        <w:widowControl/>
      </w:pPr>
      <w:r>
        <w:t xml:space="preserve">G.1 CCT-20 Inference, Location, and Release Ledger</w:t>
      </w:r>
    </w:p>
    <w:bookmarkStart w:id="137"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37.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m:t>p</m:t>
        </m:r>
      </m:oMath>
      <w:r>
        <w:t xml:space="preserve">-values enumerate one-sided sign flips of the nine location means</w:t>
      </w:r>
      <w:r>
        <w:t xml:space="preserve"> </w:t>
      </w:r>
      <w:r>
        <w:t xml:space="preserve">under Eq. (13).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3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3).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w:t>
      </w:r>
      <w:r>
        <w:t xml:space="preserve"> </w:t>
      </w:r>
      <w:r>
        <w:rPr>
          <w:rStyle w:val="VerbatimChar"/>
        </w:rPr>
        <w:t xml:space="preserve">experiments/kbound/results/cct20_signflip_diagnostic/</w:t>
      </w:r>
      <w:r>
        <w:t xml:space="preserve">). This observed pattern does not verify the coordinate-wise sign-flip null model in Eq. (13); the reported sign-flip and Wilcoxon reference values remain conditional on their respective assumptions.</w:t>
      </w:r>
    </w:p>
    <w:bookmarkEnd w:id="137"/>
    <w:bookmarkStart w:id="138"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38"/>
    <w:bookmarkStart w:id="139"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38. Complete locked CCT-20 location ledger. A/F/U denotes ADAPT/FREEZE/ABSTAIN, and</w:t>
      </w:r>
      <w:r>
        <w:t xml:space="preserve"> </w:t>
      </w:r>
      <m:oMath>
        <m:r>
          <m:rPr>
            <m:sty m:val="p"/>
          </m:rPr>
          <m:t>+</m:t>
        </m:r>
        <m:r>
          <m:rPr>
            <m:sty m:val="p"/>
          </m:rPr>
          <m:t>/</m:t>
        </m:r>
        <m:r>
          <m:t>0</m:t>
        </m:r>
        <m:r>
          <m:rPr>
            <m:sty m:val="p"/>
          </m:rPr>
          <m:t>/</m:t>
        </m:r>
        <m:r>
          <m:rPr>
            <m:sty m:val="p"/>
          </m: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3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m:t>+</m:t>
              </m:r>
              <m:r>
                <m:rPr>
                  <m:sty m:val="p"/>
                </m:rPr>
                <m:t>/</m:t>
              </m:r>
              <m:r>
                <m:t>0</m:t>
              </m:r>
              <m:r>
                <m:rPr>
                  <m:sty m:val="p"/>
                </m:rPr>
                <m:t>/</m:t>
              </m:r>
              <m:r>
                <m:rPr>
                  <m:sty m:val="p"/>
                </m: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39"/>
    <w:bookmarkEnd w:id="140"/>
    <w:bookmarkEnd w:id="141"/>
    <w:bookmarkStart w:id="146" w:name="h-extended-kga-implementation-contract"/>
    <w:p>
      <w:pPr>
        <w:pStyle w:val="Heading1"/>
        <w:widowControl/>
      </w:pPr>
      <w:r>
        <w:t xml:space="preserve">H Extended KGA Implementation Contract</w:t>
      </w:r>
    </w:p>
    <w:bookmarkStart w:id="142"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42"/>
    <w:bookmarkStart w:id="143"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43"/>
    <w:bookmarkStart w:id="144"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44"/>
    <w:bookmarkStart w:id="145"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45"/>
    <w:bookmarkEnd w:id="146"/>
    <w:bookmarkStart w:id="148" w:name="i-evidence-inventory"/>
    <w:p>
      <w:pPr>
        <w:pStyle w:val="Heading1"/>
        <w:widowControl/>
      </w:pPr>
      <w:r>
        <w:t xml:space="preserve">I Evidence Inventory</w:t>
      </w:r>
    </w:p>
    <w:bookmarkStart w:id="147"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39.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3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m:t>ℓ</m:t>
                  </m:r>
                </m:e>
                <m:sub>
                  <m: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widowControl/>
      </w:pPr>
    </w:p>
    <w:p>
      <w:pPr>
        <w:pStyle w:val="TableCaption"/>
        <w:widowControl/>
      </w:pPr>
      <w:r>
        <w:t xml:space="preserve">Table 40. Quantitative feature importance and single-feature ablation sensitivity for the 11 label-free evidence coordinates in the primary gradient-boosted benefit regressor. Relative Gini importance measures split gain across 250 trees;</w:t>
      </w:r>
      <w:r>
        <w:t xml:space="preserve"> </w:t>
      </w:r>
      <m:oMath>
        <m:r>
          <m:rPr>
            <m:sty m:val="p"/>
          </m:rPr>
          <m:t>Δ</m:t>
        </m:r>
        <m:r>
          <m:rPr>
            <m:sty m:val="p"/>
          </m:rPr>
          <m:t>R</m:t>
        </m:r>
        <m:r>
          <m:rPr>
            <m:sty m:val="p"/>
          </m:rPr>
          <m:t>M</m:t>
        </m:r>
        <m:r>
          <m:rPr>
            <m:sty m:val="p"/>
          </m:rPr>
          <m:t>S</m:t>
        </m:r>
        <m:r>
          <m:rPr>
            <m:sty m:val="p"/>
          </m:rPr>
          <m:t>E</m:t>
        </m:r>
        <m:r>
          <m:rPr>
            <m:sty m:val="p"/>
          </m:rPr>
          <m:t>(</m:t>
        </m:r>
        <m:r>
          <m:rPr>
            <m:sty m:val="p"/>
          </m:rPr>
          <m:t>D</m:t>
        </m:r>
        <m:r>
          <m:rPr>
            <m:sty m:val="p"/>
          </m:rPr>
          <m:t>r</m:t>
        </m:r>
        <m:r>
          <m:rPr>
            <m:sty m:val="p"/>
          </m:rPr>
          <m:t>o</m:t>
        </m:r>
        <m:r>
          <m:rPr>
            <m:sty m:val="p"/>
          </m:rPr>
          <m:t>p</m:t>
        </m:r>
        <m:r>
          <m:rPr>
            <m:sty m:val="p"/>
          </m:rPr>
          <m:t>)</m:t>
        </m:r>
      </m:oMath>
      <w:r>
        <w:t xml:space="preserve"> </w:t>
      </w:r>
      <w:r>
        <w:t xml:space="preserve">measures the increase in cross-fitted benefit estimation error when that coordinate is ablated.</w:t>
      </w:r>
    </w:p>
    <w:tbl>
      <w:tblPr>
        <w:tblStyle w:val="Table"/>
        <w:tblW w:type="dxa" w:w="9960"/>
        <w:jc w:val="left"/>
        <w:tblLayout w:type="fixed"/>
        <w:tblLook w:firstRow="1" w:lastRow="0" w:firstColumn="0" w:lastColumn="0" w:noHBand="0" w:noVBand="0" w:val="0020"/>
        <w:tblCaption w:val="Table 40. Quantitative feature importance and single-feature ablation sensitivity for the 11 label-free evidence coordinates in the primary gradient-boosted benefit regressor. Relative Gini importance measures split gain across 250 trees; \Delta\mathrm{RMSE (Drop)} measures the increase in cross-fitted benefit estimation error when that coordinate is ablat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1"/>
        <w:gridCol w:w="1402"/>
        <w:gridCol w:w="2370"/>
        <w:gridCol w:w="923"/>
        <w:gridCol w:w="899"/>
        <w:gridCol w:w="3645"/>
      </w:tblGrid>
      <w:tr>
        <w:trPr>
          <w:tblHeader w:val="true"/>
          <w:cantSplit w:val="true"/>
        </w:trPr>
        <w:tc>
          <w:tcPr>
            <w:tcW w:w="7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Rank</w:t>
            </w:r>
          </w:p>
        </w:tc>
        <w:tc>
          <w:tcPr>
            <w:tcW w:w="140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Feature Coordinate</w:t>
            </w:r>
          </w:p>
        </w:tc>
        <w:tc>
          <w:tcPr>
            <w:tcW w:w="23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Mathematical Definition</w:t>
            </w:r>
          </w:p>
        </w:tc>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Gini Importance</w:t>
            </w:r>
          </w:p>
        </w:tc>
        <w:tc>
          <w:tcPr>
            <w:tcW w:w="8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p"/>
                </m:rPr>
                <m:t>Δ</m:t>
              </m:r>
            </m:oMath>
            <w:r>
              <w:rPr>
                <w:rFonts w:ascii="Times New Roman" w:hAnsi="Times New Roman"/>
                <w:b/>
                <w:bCs/>
                <w:sz w:val="15"/>
              </w:rPr>
              <w:t>RMSE (Drop)</w:t>
            </w:r>
          </w:p>
        </w:tc>
        <w:tc>
          <w:tcPr>
            <w:tcW w:w="36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Failure Mode Trapped</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entropy_drop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24.8%</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+0.0412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Overconfidence / entropy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+0.0328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Predictive disorientation / uniform outputs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pbal_drop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p</m:t>
                  </m:r>
                  <m:r>
                    <m:rPr>
                      <m:sty m:val="p"/>
                    </m:rPr>
                    <m:t>b</m:t>
                  </m:r>
                  <m:r>
                    <m:rPr>
                      <m:sty m:val="p"/>
                    </m:rPr>
                    <m:t>a</m:t>
                  </m:r>
                  <m:r>
                    <m:rPr>
                      <m:sty m:val="p"/>
                    </m:rPr>
                    <m:t>l</m:t>
                  </m:r>
                </m:e>
                <m:sub>
                  <m:r>
                    <m:t>0</m:t>
                  </m:r>
                </m:sub>
              </m:sSub>
              <m:r>
                <m:rPr>
                  <m:sty m:val="p"/>
                </m:rPr>
                <m:t>−</m:t>
              </m:r>
              <m:sSub>
                <m:e>
                  <m:r>
                    <m:rPr>
                      <m:sty m:val="p"/>
                    </m:rPr>
                    <m:t>p</m:t>
                  </m:r>
                  <m:r>
                    <m:rPr>
                      <m:sty m:val="p"/>
                    </m:rPr>
                    <m:t>b</m:t>
                  </m:r>
                  <m:r>
                    <m:rPr>
                      <m:sty m:val="p"/>
                    </m:rPr>
                    <m:t>a</m:t>
                  </m:r>
                  <m:r>
                    <m:rPr>
                      <m:sty m:val="p"/>
                    </m:rPr>
                    <m:t>l</m:t>
                  </m:r>
                </m:e>
                <m:sub>
                  <m:r>
                    <m:t>a</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14.7%</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+0.0245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Majority class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frac_highconf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cr m:val="double-struck"/>
                  <m:sty m:val="p"/>
                </m:rPr>
                <m:t>P</m:t>
              </m:r>
              <m:r>
                <m:rPr>
                  <m:sty m:val="p"/>
                </m:rPr>
                <m:t>(</m:t>
              </m:r>
              <m:sSub>
                <m:e>
                  <m:r>
                    <m:t>p</m:t>
                  </m:r>
                </m:e>
                <m:sub>
                  <m:r>
                    <m:t>a</m:t>
                  </m:r>
                </m:sub>
              </m:sSub>
              <m:r>
                <m:rPr>
                  <m:sty m:val="p"/>
                </m:rPr>
                <m:t>(</m:t>
              </m:r>
              <m:r>
                <m:t>y</m:t>
              </m:r>
              <m:r>
                <m:rPr>
                  <m:sty m:val="p"/>
                </m:rPr>
                <m:t>|</m:t>
              </m:r>
              <m:r>
                <m:t>x</m:t>
              </m:r>
              <m:r>
                <m:rPr>
                  <m:sty m:val="p"/>
                </m:rPr>
                <m:t>)</m:t>
              </m:r>
              <m:r>
                <m:rPr>
                  <m:sty m:val="p"/>
                </m:rPr>
                <m:t>≥</m:t>
              </m:r>
              <m:r>
                <m:t>0.9</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+0.0189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Uncalibrated certainty under shift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marginal_KL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t>D</m:t>
                  </m:r>
                </m:e>
                <m:sub>
                  <m:r>
                    <m:rPr>
                      <m:sty m:val="p"/>
                    </m:rPr>
                    <m:t>K</m:t>
                  </m:r>
                  <m:r>
                    <m:rPr>
                      <m:sty m:val="p"/>
                    </m:rPr>
                    <m:t>L</m:t>
                  </m:r>
                </m:sub>
              </m:sSub>
              <m:r>
                <m:rPr>
                  <m:sty m:val="p"/>
                </m:rPr>
                <m:t>(</m:t>
              </m:r>
              <m:sSub>
                <m:e>
                  <m:r>
                    <m:t>P</m:t>
                  </m:r>
                </m:e>
                <m:sub>
                  <m:r>
                    <m:t>a</m:t>
                  </m:r>
                </m:sub>
              </m:sSub>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+0.0151</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Severe representation drift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+0.0118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Baseline uncertainty / task hardness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update_norm</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sSub>
                <m:e>
                  <m:r>
                    <m:t>θ</m:t>
                  </m:r>
                </m:e>
                <m:sub>
                  <m:r>
                    <m:t>a</m:t>
                  </m:r>
                </m:sub>
              </m:sSub>
              <m:r>
                <m:rPr>
                  <m:sty m:val="p"/>
                </m:rPr>
                <m:t>−</m:t>
              </m:r>
              <m:sSub>
                <m:e>
                  <m:r>
                    <m:t>θ</m:t>
                  </m:r>
                </m:e>
                <m:sub>
                  <m:r>
                    <m:t>0</m:t>
                  </m:r>
                </m:sub>
              </m:sSub>
              <m:sSub>
                <m:e>
                  <m:r>
                    <m:rPr>
                      <m:sty m:val="p"/>
                    </m:rPr>
                    <m:t>∥</m:t>
                  </m:r>
                </m:e>
                <m:sub>
                  <m:r>
                    <m:t>2</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+0.0084</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Parameter divergence / exploding gradient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8</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+0.0052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Class frequency imbalance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0</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+0.0039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Clean baseline calibration ceiling</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a</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+0.0025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Isolated confidence spikes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+0.0019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Source marginal prior bias</w:t>
            </w:r>
          </w:p>
        </w:tc>
      </w:tr>
    </w:tbl>
    <w:p>
      <w:pPr>
        <w:pStyle w:val="BodyText"/>
        <w:widowControl/>
      </w:pPr>
      <w:r>
        <w:t xml:space="preserve">The base panel has 11 coordinates; Table 40 reports their quantitative importance and ablation sensitivity in the primary GBRT benefit model. Predictive entropy drop (</w:t>
      </w: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r>
        <w:t xml:space="preserve">) and adapted candidate entropy account for over 44% of total split importance, reflecting that tracking predictive sharpening versus uniform disorientation is the dominant signal for detecting catastrophic collapse.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47"/>
    <w:bookmarkEnd w:id="148"/>
    <w:bookmarkStart w:id="149" w:name="j-failure-safe-deployment-checklist"/>
    <w:p>
      <w:pPr>
        <w:pStyle w:val="Heading1"/>
        <w:widowControl/>
      </w:pPr>
      <w:r>
        <w:t xml:space="preserve">J Failure-Safe Deployment Checklist</w:t>
      </w:r>
    </w:p>
    <w:p>
      <w:pPr>
        <w:pStyle w:val="TableCaption"/>
        <w:widowControl/>
      </w:pPr>
      <w:r>
        <w:t xml:space="preserve">Table 41. Operational failures and conservative responses.</w:t>
      </w:r>
    </w:p>
    <w:tbl>
      <w:tblPr>
        <w:tblStyle w:val="Table"/>
        <w:tblW w:type="dxa" w:w="9960"/>
        <w:jc w:val="left"/>
        <w:tblLayout w:type="fixed"/>
        <w:tblLook w:firstRow="1" w:lastRow="0" w:firstColumn="0" w:lastColumn="0" w:noHBand="0" w:noVBand="0" w:val="0020"/>
        <w:tblCaption w:val="Table 41.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m:t>f</m:t>
                  </m:r>
                </m:e>
                <m:sub>
                  <m: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m:t>k</m:t>
              </m:r>
              <m:r>
                <m:rPr>
                  <m:sty m:val="p"/>
                </m:rPr>
                <m:t>&gt;</m:t>
              </m:r>
              <m: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End w:id="149"/>
    <w:bookmarkStart w:id="154"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50"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50"/>
    <w:bookmarkStart w:id="151"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51"/>
    <w:bookmarkStart w:id="152"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42. Minimum lock for a confirmatory natural-shift KGA experiment.</w:t>
      </w:r>
    </w:p>
    <w:tbl>
      <w:tblPr>
        <w:tblStyle w:val="Table"/>
        <w:tblW w:type="dxa" w:w="9960"/>
        <w:jc w:val="left"/>
        <w:tblLayout w:type="fixed"/>
        <w:tblLook w:firstRow="1" w:lastRow="0" w:firstColumn="0" w:lastColumn="0" w:noHBand="0" w:noVBand="0" w:val="0020"/>
        <w:tblCaption w:val="Table 42.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52"/>
    <w:bookmarkStart w:id="153"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53"/>
    <w:bookmarkEnd w:id="154"/>
    <w:bookmarkStart w:id="162"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43.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43.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m:t>0</m:t>
              </m:r>
              <m:r>
                <m:rPr>
                  <m:sty m:val="p"/>
                </m:rPr>
                <m:t>/</m:t>
              </m:r>
              <m: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m:t>μ</m:t>
                  </m:r>
                </m:e>
                <m:sub>
                  <m:r>
                    <m:t>T</m:t>
                  </m:r>
                </m:sub>
              </m:sSub>
              <m:r>
                <m:rPr>
                  <m:sty m:val="p"/>
                </m:rPr>
                <m:t>(</m:t>
              </m:r>
              <m:r>
                <m:t>D</m:t>
              </m:r>
              <m:r>
                <m:rPr>
                  <m:sty m:val="p"/>
                </m:rPr>
                <m:t>)</m:t>
              </m:r>
              <m:r>
                <m:rPr>
                  <m:sty m:val="p"/>
                </m:rPr>
                <m:t>&gt;</m:t>
              </m:r>
              <m: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m:t>β</m:t>
              </m:r>
              <m:r>
                <m:rPr>
                  <m:sty m:val="p"/>
                </m:rPr>
                <m:t>&gt;</m:t>
              </m:r>
              <m:r>
                <m:t>0</m:t>
              </m:r>
            </m:oMath>
            <w:r>
              <w:rPr>
                <w:rFonts w:ascii="Times New Roman" w:hAnsi="Times New Roman"/>
                <w:sz w:val="16"/>
              </w:rPr>
              <w:t>,</w:t>
            </w:r>
            <w:r>
              <w:rPr>
                <w:rFonts w:ascii="Times New Roman" w:hAnsi="Times New Roman"/>
                <w:sz w:val="16"/>
              </w:rPr>
              <w:t xml:space="preserve"> </w:t>
            </w:r>
            <m:oMath>
              <m:r>
                <m:rPr>
                  <m:sty m:val="p"/>
                </m:rPr>
                <m:t>|</m:t>
              </m:r>
              <m:r>
                <m:t>M</m:t>
              </m:r>
              <m:r>
                <m:rPr>
                  <m:sty m:val="p"/>
                </m:rPr>
                <m:t>|</m:t>
              </m:r>
              <m:r>
                <m:rPr>
                  <m:sty m:val="p"/>
                </m:rPr>
                <m:t>&lt;</m:t>
              </m:r>
              <m: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m:t>|</m:t>
              </m:r>
              <m:r>
                <m:t>M</m:t>
              </m:r>
              <m:r>
                <m:rPr>
                  <m:sty m:val="p"/>
                </m:rPr>
                <m:t>|</m:t>
              </m:r>
              <m:r>
                <m:rPr>
                  <m:sty m:val="p"/>
                </m:rPr>
                <m: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m:t>Δ</m:t>
              </m:r>
              <m:r>
                <m:rPr>
                  <m:sty m:val="p"/>
                </m:rPr>
                <m:t>=</m:t>
              </m:r>
              <m: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m:t>|</m:t>
              </m:r>
              <m:r>
                <m:t>γ</m:t>
              </m:r>
              <m:r>
                <m:rPr>
                  <m:sty m:val="p"/>
                </m:rPr>
                <m:t>|</m:t>
              </m:r>
              <m:r>
                <m:rPr>
                  <m:sty m:val="p"/>
                </m:rPr>
                <m:t>≤</m:t>
              </m:r>
              <m: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m:t>|</m:t>
              </m:r>
              <m:r>
                <m:t>M</m:t>
              </m:r>
              <m:r>
                <m:rPr>
                  <m:sty m:val="p"/>
                </m:rPr>
                <m:t>|</m:t>
              </m:r>
              <m:r>
                <m:rPr>
                  <m:sty m:val="p"/>
                </m:rPr>
                <m:t>&gt;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m:t>h</m:t>
                  </m:r>
                </m:e>
                <m:sub>
                  <m: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55"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55"/>
    <w:bookmarkStart w:id="156"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56"/>
    <w:bookmarkStart w:id="157"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57"/>
    <w:bookmarkStart w:id="158"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58"/>
    <w:bookmarkStart w:id="159"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59"/>
    <w:bookmarkStart w:id="160"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60"/>
    <w:bookmarkStart w:id="161"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61"/>
    <w:bookmarkEnd w:id="162"/>
    <w:bookmarkStart w:id="163"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sixth layer;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End w:id="163"/>
    <w:bookmarkStart w:id="170" w:name="n-reproducibility-and-release-procedures"/>
    <w:p>
      <w:pPr>
        <w:pStyle w:val="Heading1"/>
        <w:widowControl/>
      </w:pPr>
      <w:r>
        <w:t xml:space="preserve">N Reproducibility and Release Procedures</w:t>
      </w:r>
    </w:p>
    <w:bookmarkStart w:id="165"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3ac2c7d14d44803e4ff8a19258d036dc86327adb02fdb4cd34536e5eeee9cb24.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auditing the evaluation unit, sample size</w:t>
      </w:r>
      <w:r>
        <w:t xml:space="preserve"> </w:t>
      </w:r>
      <m:oMath>
        <m:r>
          <m:t>n</m:t>
        </m:r>
      </m:oMath>
      <w:r>
        <w:t xml:space="preserve">, baseline contrasts with nominal confidence intervals, multiplicity-adjusted significance, and empirical verdicts.</w:t>
      </w:r>
    </w:p>
    <w:bookmarkStart w:id="164"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under</w:t>
      </w:r>
      <w:r>
        <w:t xml:space="preserve"> </w:t>
      </w:r>
      <w:r>
        <w:rPr>
          <w:rStyle w:val="VerbatimChar"/>
        </w:rPr>
        <w:t xml:space="preserve">experiments/kbound/results/cifar_paired_array_audit_20260912.Q4GKLg/</w:t>
      </w:r>
      <w:r>
        <w:t xml:space="preserve">.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p>
      <w:pPr>
        <w:pStyle w:val="BodyText"/>
        <w:widowControl/>
      </w:pPr>
      <w:r>
        <w:t xml:space="preserve">@llccc@</w:t>
      </w:r>
      <w:r>
        <w:t xml:space="preserve"> </w:t>
      </w:r>
      <w:r>
        <w:rPr>
          <w:b/>
          <w:bCs/>
        </w:rPr>
        <w:t xml:space="preserve">Benchmark Track</w:t>
      </w:r>
      <w:r>
        <w:t xml:space="preserve"> </w:t>
      </w:r>
      <w:r>
        <w:t xml:space="preserve">&amp;</w:t>
      </w:r>
      <w:r>
        <w:t xml:space="preserve"> </w:t>
      </w:r>
      <w:r>
        <w:rPr>
          <w:b/>
          <w:bCs/>
        </w:rPr>
        <w:t xml:space="preserve">Evaluation Unit</w:t>
      </w:r>
      <w:r>
        <w:t xml:space="preserve"> </w:t>
      </w:r>
      <w:r>
        <w:t xml:space="preserve">&amp;</w:t>
      </w:r>
      <w:r>
        <w:t xml:space="preserve"> </w:t>
      </w:r>
      <m:oMath>
        <m:r>
          <m:t>n</m:t>
        </m:r>
      </m:oMath>
      <w:r>
        <w:t xml:space="preserve"> </w:t>
      </w:r>
      <w:r>
        <w:t xml:space="preserve">&amp;</w:t>
      </w:r>
      <w:r>
        <w:t xml:space="preserve"> </w:t>
      </w:r>
      <w:r>
        <w:rPr>
          <w:b/>
          <w:bCs/>
        </w:rPr>
        <w:t xml:space="preserve">Vs Always Adapt</w:t>
      </w:r>
      <m:oMath>
        <m:sSup>
          <m:e>
            <m:r>
              <m:t>​</m:t>
            </m:r>
          </m:e>
          <m:sup>
            <m:r>
              <m:rPr>
                <m:sty m:val="p"/>
              </m:rPr>
              <m:t>†</m:t>
            </m:r>
          </m:sup>
        </m:sSup>
      </m:oMath>
      <w:r>
        <w:t xml:space="preserve"> </w:t>
      </w:r>
      <w:r>
        <w:t xml:space="preserve">&amp;</w:t>
      </w:r>
      <w:r>
        <w:t xml:space="preserve"> </w:t>
      </w:r>
      <w:r>
        <w:rPr>
          <w:b/>
          <w:bCs/>
        </w:rPr>
        <w:t xml:space="preserve">Vs Always Freeze</w:t>
      </w:r>
      <m:oMath>
        <m:sSup>
          <m:e>
            <m:r>
              <m:t>​</m:t>
            </m:r>
          </m:e>
          <m:sup>
            <m:r>
              <m:rPr>
                <m:sty m:val="p"/>
              </m:rPr>
              <m:t>†</m:t>
            </m:r>
          </m:sup>
        </m:sSup>
      </m:oMath>
      <w:r>
        <w:br/>
      </w:r>
      <w:r>
        <w:br/>
      </w:r>
      <w:r>
        <w:rPr>
          <w:b/>
          <w:bCs/>
        </w:rPr>
        <w:t xml:space="preserve">CIFAR-10-C (Tent)</w:t>
      </w:r>
      <w:r>
        <w:t xml:space="preserve"> </w:t>
      </w:r>
      <w:r>
        <w:t xml:space="preserve">&amp; 6 Families (2,160 Cells) &amp; 2,160 &amp; +0.0062</w:t>
      </w:r>
      <w:r>
        <w:t xml:space="preserve"> </w:t>
      </w:r>
      <w:r>
        <w:t xml:space="preserve">[0.0023, 0.0095]</w:t>
      </w:r>
      <w:r>
        <w:t xml:space="preserve"> </w:t>
      </w:r>
      <w:r>
        <w:t xml:space="preserve">&amp; +0.1221</w:t>
      </w:r>
      <w:r>
        <w:t xml:space="preserve"> </w:t>
      </w:r>
      <w:r>
        <w:t xml:space="preserve">[0.0630, 0.1777]</w:t>
      </w:r>
      <w:r>
        <w:br/>
      </w:r>
      <w:r>
        <w:br/>
      </w:r>
      <w:r>
        <w:rPr>
          <w:b/>
          <w:bCs/>
        </w:rPr>
        <w:t xml:space="preserve">CIFAR-10-C (EATA)</w:t>
      </w:r>
      <w:r>
        <w:t xml:space="preserve"> </w:t>
      </w:r>
      <w:r>
        <w:t xml:space="preserve">&amp; 6 Families (2,160 Cells) &amp; 2,160 &amp; +0.0017</w:t>
      </w:r>
      <w:r>
        <w:t xml:space="preserve"> </w:t>
      </w:r>
      <w:r>
        <w:t xml:space="preserve">[-0.0013, 0.0044]</w:t>
      </w:r>
      <w:r>
        <w:t xml:space="preserve"> </w:t>
      </w:r>
      <w:r>
        <w:t xml:space="preserve">&amp; +0.1297</w:t>
      </w:r>
      <w:r>
        <w:t xml:space="preserve"> </w:t>
      </w:r>
      <w:r>
        <w:t xml:space="preserve">[0.0690, 0.1875]</w:t>
      </w:r>
      <w:r>
        <w:br/>
      </w:r>
      <w:r>
        <w:br/>
      </w:r>
      <w:r>
        <w:rPr>
          <w:b/>
          <w:bCs/>
        </w:rPr>
        <w:t xml:space="preserve">CIFAR-10-C (SAR)</w:t>
      </w:r>
      <w:r>
        <w:t xml:space="preserve"> </w:t>
      </w:r>
      <w:r>
        <w:t xml:space="preserve">&amp; 6 Families (2,160 Cells) &amp; 2,160 &amp; -0.0013</w:t>
      </w:r>
      <w:r>
        <w:t xml:space="preserve"> </w:t>
      </w:r>
      <w:r>
        <w:t xml:space="preserve">[-0.0027, -0.0002]</w:t>
      </w:r>
      <w:r>
        <w:t xml:space="preserve"> </w:t>
      </w:r>
      <w:r>
        <w:t xml:space="preserve">&amp; +0.1388</w:t>
      </w:r>
      <w:r>
        <w:t xml:space="preserve"> </w:t>
      </w:r>
      <w:r>
        <w:t xml:space="preserve">[0.0800, 0.1969]</w:t>
      </w:r>
      <w:r>
        <w:br/>
      </w:r>
      <w:r>
        <w:br/>
      </w:r>
      <w:r>
        <w:rPr>
          <w:b/>
          <w:bCs/>
        </w:rPr>
        <w:t xml:space="preserve">CCT-20 Safe Utility</w:t>
      </w:r>
      <w:r>
        <w:t xml:space="preserve"> </w:t>
      </w:r>
      <w:r>
        <w:t xml:space="preserve">&amp; Location</w:t>
      </w:r>
      <w:r>
        <w:t xml:space="preserve"> </w:t>
      </w:r>
      <m:oMath>
        <m:r>
          <m:rPr>
            <m:sty m:val="p"/>
          </m:rPr>
          <m:t>×</m:t>
        </m:r>
      </m:oMath>
      <w:r>
        <w:t xml:space="preserve"> </w:t>
      </w:r>
      <w:r>
        <w:t xml:space="preserve">Checkpoint &amp; 45 &amp; +0.1819</w:t>
      </w:r>
      <w:r>
        <w:t xml:space="preserve"> </w:t>
      </w:r>
      <w:r>
        <w:t xml:space="preserve">[0.0850, 0.3107]</w:t>
      </w:r>
      <w:r>
        <w:t xml:space="preserve"> </w:t>
      </w:r>
      <w:r>
        <w:t xml:space="preserve">&amp; 0.0000</w:t>
      </w:r>
      <w:r>
        <w:t xml:space="preserve"> </w:t>
      </w:r>
      <w:r>
        <w:t xml:space="preserve">[0.0000, 0.0000]</w:t>
      </w:r>
      <w:r>
        <w:br/>
      </w:r>
      <w:r>
        <w:br/>
      </w:r>
      <w:r>
        <w:br/>
      </w:r>
      <w:r>
        <w:rPr>
          <w:b/>
          <w:bCs/>
        </w:rPr>
        <w:t xml:space="preserve">Independent Models (Mixed)</w:t>
      </w:r>
      <w:r>
        <w:t xml:space="preserve"> </w:t>
      </w:r>
      <w:r>
        <w:t xml:space="preserve">&amp; 3 Checkpoints (36 Cells) &amp; 108 &amp; +0.0078 to +0.0131 &amp; +0.1259 to +0.1403</w:t>
      </w:r>
      <w:r>
        <w:br/>
      </w:r>
      <w:r>
        <w:br/>
      </w:r>
      <w:r>
        <w:rPr>
          <w:b/>
          <w:bCs/>
        </w:rPr>
        <w:t xml:space="preserve">AETTA Baseline (LOO)</w:t>
      </w:r>
      <w:r>
        <w:t xml:space="preserve"> </w:t>
      </w:r>
      <w:r>
        <w:t xml:space="preserve">&amp; 3 Checkpoints (36 Cells) &amp; 108 &amp;</w:t>
      </w:r>
      <w:r>
        <w:br/>
      </w:r>
      <w:r>
        <w:br/>
      </w:r>
      <w:r>
        <w:rPr>
          <w:b/>
          <w:bCs/>
        </w:rPr>
        <w:t xml:space="preserve">AETTA Baseline (B6 Disjoint)</w:t>
      </w:r>
      <w:r>
        <w:t xml:space="preserve"> </w:t>
      </w:r>
      <w:r>
        <w:t xml:space="preserve">&amp; 3 Checkpoints (36 Cells) &amp; 108 &amp;</w:t>
      </w:r>
      <w:r>
        <w:br/>
      </w:r>
      <w:r>
        <w:br/>
      </w:r>
      <w:r>
        <w:rPr>
          <w:b/>
          <w:bCs/>
        </w:rPr>
        <w:t xml:space="preserve">ImageNet-C (Tent)</w:t>
      </w:r>
      <w:r>
        <w:t xml:space="preserve"> </w:t>
      </w:r>
      <w:r>
        <w:t xml:space="preserve">&amp; Condition-Seed Cell &amp; 135 &amp; +0.0052</w:t>
      </w:r>
      <w:r>
        <w:t xml:space="preserve"> </w:t>
      </w:r>
      <w:r>
        <w:t xml:space="preserve">[0.0019, 0.0085]</w:t>
      </w:r>
      <w:r>
        <w:t xml:space="preserve"> </w:t>
      </w:r>
      <w:r>
        <w:t xml:space="preserve">&amp; +0.0006</w:t>
      </w:r>
      <w:r>
        <w:t xml:space="preserve"> </w:t>
      </w:r>
      <w:r>
        <w:t xml:space="preserve">[0.0000, 0.0018]</w:t>
      </w:r>
      <w:r>
        <w:br/>
      </w:r>
      <w:r>
        <w:br/>
      </w:r>
      <w:r>
        <w:rPr>
          <w:b/>
          <w:bCs/>
        </w:rPr>
        <w:t xml:space="preserve">Office-Home Primary</w:t>
      </w:r>
      <w:r>
        <w:t xml:space="preserve"> </w:t>
      </w:r>
      <w:r>
        <w:t xml:space="preserve">&amp; Domain-Seed Unit &amp; 35 &amp; +0.0310</w:t>
      </w:r>
      <w:r>
        <w:t xml:space="preserve"> </w:t>
      </w:r>
      <w:r>
        <w:t xml:space="preserve">[0.0031, 0.0623]</w:t>
      </w:r>
      <w:r>
        <w:t xml:space="preserve"> </w:t>
      </w:r>
      <w:r>
        <w:t xml:space="preserve">&amp; 0.0000</w:t>
      </w:r>
      <w:r>
        <w:t xml:space="preserve"> </w:t>
      </w:r>
      <w:r>
        <w:t xml:space="preserve">[0.0000, 0.0000]</w:t>
      </w:r>
      <w:r>
        <w:br/>
      </w:r>
      <w:r>
        <w:br/>
      </w:r>
      <w:r>
        <w:rPr>
          <w:b/>
          <w:bCs/>
        </w:rPr>
        <w:t xml:space="preserve">PACS Aggregate</w:t>
      </w:r>
      <w:r>
        <w:t xml:space="preserve"> </w:t>
      </w:r>
      <w:r>
        <w:t xml:space="preserve">&amp; Domain-Seed Unit &amp; 12 &amp; -0.0255</w:t>
      </w:r>
      <w:r>
        <w:t xml:space="preserve"> </w:t>
      </w:r>
      <w:r>
        <w:t xml:space="preserve">[-0.0390, -0.0120]</w:t>
      </w:r>
      <w:r>
        <w:t xml:space="preserve"> </w:t>
      </w:r>
      <w:r>
        <w:t xml:space="preserve">&amp; +0.0015</w:t>
      </w:r>
      <w:r>
        <w:t xml:space="preserve"> </w:t>
      </w:r>
      <w:r>
        <w:t xml:space="preserve">[-0.0080, +0.0110]</w:t>
      </w:r>
      <w:r>
        <w:br/>
      </w:r>
      <w:r>
        <w:br/>
      </w:r>
      <w:r>
        <w:br/>
      </w:r>
    </w:p>
    <w:bookmarkEnd w:id="164"/>
    <w:bookmarkEnd w:id="165"/>
    <w:bookmarkStart w:id="166" w:name="n.2-reproduction-pipeline"/>
    <w:p>
      <w:pPr>
        <w:pStyle w:val="Heading2"/>
        <w:widowControl/>
      </w:pPr>
      <w:r>
        <w:t xml:space="preserve">N.2 Reproduction Pipeline</w:t>
      </w:r>
    </w:p>
    <w:p>
      <w:pPr>
        <w:pStyle w:val="FirstParagraph"/>
        <w:widowControl/>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[32].</w:t>
      </w:r>
      <w:r>
        <w:t xml:space="preserve"> </w:t>
      </w:r>
      <w:r>
        <w:t xml:space="preserve">After providing the authenticated evidence and required toolchains, the intended</w:t>
      </w:r>
      <w:r>
        <w:t xml:space="preserve"> </w:t>
      </w:r>
      <w:r>
        <w:t xml:space="preserve">full release command from the repository root is:</w:t>
      </w:r>
    </w:p>
    <w:p>
      <w:pPr>
        <w:pStyle w:val="BodyText"/>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r>
        <w:t xml:space="preserve"> </w:t>
      </w:r>
      <w:r>
        <w:t xml:space="preserve">All non-containerized release sub-gates pass (reconciliation tests, claim-ledger and result-manifest</w:t>
      </w:r>
      <w:r>
        <w:t xml:space="preserve"> </w:t>
      </w:r>
      <w:r>
        <w:t xml:space="preserve">validation, Lean formal proof compilation, and presentation builds). Under the running Docker daemon,</w:t>
      </w:r>
      <w:r>
        <w:t xml:space="preserve"> </w:t>
      </w:r>
      <w:r>
        <w:t xml:space="preserve">the containerized production API contract (</w:t>
      </w:r>
      <w:r>
        <w:rPr>
          <w:rStyle w:val="VerbatimChar"/>
        </w:rPr>
        <w:t xml:space="preserve">tests/test_docker_release_contract.py</w:t>
      </w:r>
      <w:r>
        <w:t xml:space="preserve">) and</w:t>
      </w:r>
      <w:r>
        <w:t xml:space="preserve"> </w:t>
      </w:r>
      <w:r>
        <w:t xml:space="preserve">network-isolated deployment verification (</w:t>
      </w:r>
      <w:r>
        <w:rPr>
          <w:rStyle w:val="VerbatimChar"/>
        </w:rPr>
        <w:t xml:space="preserve">docker run --network none</w:t>
      </w:r>
      <w:r>
        <w:t xml:space="preserve">) execute and pass under</w:t>
      </w:r>
      <w:r>
        <w:t xml:space="preserve"> </w:t>
      </w:r>
      <w:r>
        <w:t xml:space="preserve">the release image (</w:t>
      </w:r>
      <w:r>
        <w:rPr>
          <w:rStyle w:val="VerbatimChar"/>
        </w:rPr>
        <w:t xml:space="preserve">kbound-api:task3</w:t>
      </w:r>
      <w:r>
        <w:t xml:space="preserve">), confirming containerized import, health status, and</w:t>
      </w:r>
      <w:r>
        <w:t xml:space="preserve"> </w:t>
      </w:r>
      <w:r>
        <w:t xml:space="preserve">decision endpoint functionality without network access.</w:t>
      </w:r>
    </w:p>
    <w:p>
      <w:pPr>
        <w:pStyle w:val="BodyText"/>
        <w:widowControl/>
      </w:pPr>
      <w:r>
        <w:t xml:space="preserve">For presentation-only rebuilding from already validated authorities, the command is:</w:t>
      </w:r>
    </w:p>
    <w:p>
      <w:pPr>
        <w:pStyle w:val="BodyText"/>
        <w:widowControl/>
      </w:pPr>
      <w:r>
        <w:t xml:space="preserve">This shorter command validates the frozen authorities, regenerates presentation tables and figures,</w:t>
      </w:r>
      <w:r>
        <w:t xml:space="preserve"> </w:t>
      </w:r>
      <w:r>
        <w:t xml:space="preserve">and builds the maintained PDFs and DOCX. Before generation, the current CIFAR</w:t>
      </w:r>
      <w:r>
        <w:t xml:space="preserve"> </w:t>
      </w:r>
      <w:r>
        <w:t xml:space="preserve">arithmetic checker authenticates the seven saved inputs and regenerates all three</w:t>
      </w:r>
      <w:r>
        <w:t xml:space="preserve"> </w:t>
      </w:r>
      <w:r>
        <w:t xml:space="preserve">table artifacts in a fresh temporary directory; a mismatch stops the build.</w:t>
      </w:r>
      <w:r>
        <w:t xml:space="preserve"> </w:t>
      </w:r>
      <w:r>
        <w:t xml:space="preserve">It does not replace the full release gate or create new empirical evidence.</w:t>
      </w:r>
    </w:p>
    <w:bookmarkEnd w:id="166"/>
    <w:bookmarkStart w:id="167"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details the component runtime latency profile and relative overhead of each gating phase.</w:t>
      </w:r>
    </w:p>
    <w:p>
      <w:pPr>
        <w:pStyle w:val="BodyText"/>
        <w:widowControl/>
      </w:pPr>
      <w:r>
        <w:t xml:space="preserve">@lcccc@</w:t>
      </w:r>
      <w:r>
        <w:t xml:space="preserve"> </w:t>
      </w:r>
      <w:r>
        <w:rPr>
          <w:b/>
          <w:bCs/>
        </w:rPr>
        <w:t xml:space="preserve">Execution Component</w:t>
      </w:r>
      <w:r>
        <w:t xml:space="preserve"> </w:t>
      </w:r>
      <w:r>
        <w:t xml:space="preserve">&amp;</w:t>
      </w:r>
      <w:r>
        <w:t xml:space="preserve"> </w:t>
      </w:r>
      <w:r>
        <w:rPr>
          <w:b/>
          <w:bCs/>
        </w:rPr>
        <w:t xml:space="preserve">Mean Latency</w:t>
      </w:r>
      <w:r>
        <w:t xml:space="preserve"> </w:t>
      </w:r>
      <w:r>
        <w:t xml:space="preserve">&amp;</w:t>
      </w:r>
      <w:r>
        <w:t xml:space="preserve"> </w:t>
      </w:r>
      <w:r>
        <w:rPr>
          <w:b/>
          <w:bCs/>
        </w:rPr>
        <w:t xml:space="preserve">Std Dev</w:t>
      </w:r>
      <w:r>
        <w:t xml:space="preserve"> </w:t>
      </w:r>
      <w:r>
        <w:t xml:space="preserve">&amp;</w:t>
      </w:r>
      <w:r>
        <w:t xml:space="preserve"> </w:t>
      </w:r>
      <w:r>
        <w:rPr>
          <w:b/>
          <w:bCs/>
        </w:rPr>
        <w:t xml:space="preserve">Peak Memory</w:t>
      </w:r>
      <w:r>
        <w:t xml:space="preserve"> </w:t>
      </w:r>
      <w:r>
        <w:t xml:space="preserve">&amp;</w:t>
      </w:r>
      <w:r>
        <w:t xml:space="preserve"> </w:t>
      </w:r>
      <w:r>
        <w:rPr>
          <w:b/>
          <w:bCs/>
        </w:rPr>
        <w:t xml:space="preserve">Overhead</w:t>
      </w:r>
      <m:oMath>
        <m:sSup>
          <m:e>
            <m:r>
              <m:t>​</m:t>
            </m:r>
          </m:e>
          <m:sup>
            <m:r>
              <m:rPr>
                <m:sty m:val="p"/>
              </m:rPr>
              <m:t>†</m:t>
            </m:r>
          </m:sup>
        </m:sSup>
      </m:oMath>
      <w:r>
        <w:br/>
      </w:r>
      <w:r>
        <w:t xml:space="preserve">Frozen inference</w:t>
      </w:r>
      <w:r>
        <w:t xml:space="preserve"> </w:t>
      </w:r>
      <m:oMath>
        <m:sSub>
          <m:e>
            <m:r>
              <m:t>f</m:t>
            </m:r>
          </m:e>
          <m:sub>
            <m:r>
              <m:t>0</m:t>
            </m:r>
          </m:sub>
        </m:sSub>
        <m:r>
          <m:rPr>
            <m:sty m:val="p"/>
          </m:rPr>
          <m:t>(</m:t>
        </m:r>
        <m:r>
          <m:t>X</m:t>
        </m:r>
        <m:r>
          <m:rPr>
            <m:sty m:val="p"/>
          </m:rPr>
          <m:t>)</m:t>
        </m:r>
      </m:oMath>
      <w:r>
        <w:t xml:space="preserve"> </w:t>
      </w:r>
      <w:r>
        <w:t xml:space="preserve">&amp; 12.42 ms &amp;</w:t>
      </w:r>
      <w:r>
        <w:t xml:space="preserve"> </w:t>
      </w:r>
      <m:oMath>
        <m:r>
          <m:rPr>
            <m:sty m:val="p"/>
          </m:rPr>
          <m:t>±</m:t>
        </m:r>
        <m:r>
          <m:t>0.31</m:t>
        </m:r>
      </m:oMath>
      <w:r>
        <w:t xml:space="preserve"> </w:t>
      </w:r>
      <w:r>
        <w:t xml:space="preserve">ms &amp; 100.0 MB &amp;</w:t>
      </w:r>
      <w:r>
        <w:t xml:space="preserve"> </w:t>
      </w:r>
      <m:oMath>
        <m:r>
          <m:t>1.00</m:t>
        </m:r>
        <m:r>
          <m:rPr>
            <m:sty m:val="p"/>
          </m:rPr>
          <m:t>×</m:t>
        </m:r>
      </m:oMath>
      <w:r>
        <w:br/>
      </w:r>
      <w:r>
        <w:t xml:space="preserve">Adapter step</w:t>
      </w:r>
      <w:r>
        <w:t xml:space="preserve"> </w:t>
      </w:r>
      <m:oMath>
        <m:sSub>
          <m:e>
            <m:r>
              <m:t>f</m:t>
            </m:r>
          </m:e>
          <m:sub>
            <m:r>
              <m:t>a</m:t>
            </m:r>
          </m:sub>
        </m:sSub>
        <m:r>
          <m:rPr>
            <m:sty m:val="p"/>
          </m:rPr>
          <m:t>(</m:t>
        </m:r>
        <m:r>
          <m:t>X</m:t>
        </m:r>
        <m:r>
          <m:rPr>
            <m:sty m:val="p"/>
          </m:rPr>
          <m:t>)</m:t>
        </m:r>
      </m:oMath>
      <w:r>
        <w:t xml:space="preserve"> </w:t>
      </w:r>
      <w:r>
        <w:t xml:space="preserve">&amp; 24.85 ms &amp;</w:t>
      </w:r>
      <w:r>
        <w:t xml:space="preserve"> </w:t>
      </w:r>
      <m:oMath>
        <m:r>
          <m:rPr>
            <m:sty m:val="p"/>
          </m:rPr>
          <m:t>±</m:t>
        </m:r>
        <m:r>
          <m:t>0.84</m:t>
        </m:r>
      </m:oMath>
      <w:r>
        <w:t xml:space="preserve"> </w:t>
      </w:r>
      <w:r>
        <w:t xml:space="preserve">ms &amp; +14.2 MB &amp;</w:t>
      </w:r>
      <w:r>
        <w:t xml:space="preserve"> </w:t>
      </w:r>
      <m:oMath>
        <m:r>
          <m:t>2.00</m:t>
        </m:r>
        <m:r>
          <m:rPr>
            <m:sty m:val="p"/>
          </m:rPr>
          <m:t>×</m:t>
        </m:r>
      </m:oMath>
      <w:r>
        <w:br/>
      </w:r>
      <w:r>
        <w:t xml:space="preserve">Feature extraction</w:t>
      </w:r>
      <w:r>
        <w:t xml:space="preserve"> </w:t>
      </w:r>
      <m:oMath>
        <m:r>
          <m:t>Z</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&amp; 0.48 ms &amp;</w:t>
      </w:r>
      <w:r>
        <w:t xml:space="preserve"> </w:t>
      </w:r>
      <m:oMath>
        <m:r>
          <m:rPr>
            <m:sty m:val="p"/>
          </m:rPr>
          <m:t>±</m:t>
        </m:r>
        <m:r>
          <m:t>0.05</m:t>
        </m:r>
      </m:oMath>
      <w:r>
        <w:t xml:space="preserve"> </w:t>
      </w:r>
      <w:r>
        <w:t xml:space="preserve">ms &amp; +0.2 MB &amp;</w:t>
      </w:r>
      <w:r>
        <w:t xml:space="preserve"> </w:t>
      </w:r>
      <m:oMath>
        <m:r>
          <m:t>3.9</m:t>
        </m:r>
        <m:r>
          <m:rPr>
            <m:sty m:val="p"/>
          </m:rPr>
          <m:t>%</m:t>
        </m:r>
      </m:oMath>
      <w:r>
        <w:br/>
      </w:r>
      <w:r>
        <w:t xml:space="preserve">Compound certificate</w:t>
      </w:r>
      <w:r>
        <w:t xml:space="preserve"> </w:t>
      </w:r>
      <m:oMath>
        <m:r>
          <m:rPr>
            <m:sty m:val="p"/>
          </m:rPr>
          <m:t>[</m:t>
        </m:r>
        <m:acc>
          <m:accPr>
            <m:chr m:val="̂"/>
          </m:accPr>
          <m:e>
            <m:r>
              <m:rPr>
                <m:sty m:val="p"/>
              </m:rPr>
              <m:t>Δ</m:t>
            </m:r>
          </m:e>
        </m:acc>
        <m:r>
          <m:rPr>
            <m:sty m:val="p"/>
          </m:rPr>
          <m:t>±</m:t>
        </m:r>
        <m:r>
          <m:t>r</m:t>
        </m:r>
        <m:r>
          <m:rPr>
            <m:sty m:val="p"/>
          </m:rPr>
          <m:t>]</m:t>
        </m:r>
      </m:oMath>
      <w:r>
        <w:t xml:space="preserve"> </w:t>
      </w:r>
      <w:r>
        <w:t xml:space="preserve">&amp; 0.14 ms &amp;</w:t>
      </w:r>
      <w:r>
        <w:t xml:space="preserve"> </w:t>
      </w:r>
      <m:oMath>
        <m:r>
          <m:rPr>
            <m:sty m:val="p"/>
          </m:rPr>
          <m:t>±</m:t>
        </m:r>
        <m:r>
          <m:t>0.02</m:t>
        </m:r>
      </m:oMath>
      <w:r>
        <w:t xml:space="preserve"> </w:t>
      </w:r>
      <w:r>
        <w:t xml:space="preserve">ms &amp; &lt;0.1 MB &amp;</w:t>
      </w:r>
      <w:r>
        <w:t xml:space="preserve"> </w:t>
      </w:r>
      <m:oMath>
        <m:r>
          <m:t>1.1</m:t>
        </m:r>
        <m:r>
          <m:rPr>
            <m:sty m:val="p"/>
          </m:rPr>
          <m:t>%</m:t>
        </m:r>
      </m:oMath>
      <w:r>
        <w:br/>
      </w:r>
      <w:r>
        <w:rPr>
          <w:b/>
          <w:bCs/>
        </w:rPr>
        <w:t xml:space="preserve">Gate overhead (features + cert.)</w:t>
      </w:r>
      <w:r>
        <w:t xml:space="preserve"> </w:t>
      </w:r>
      <w:r>
        <w:t xml:space="preserve">&amp;</w:t>
      </w:r>
      <w:r>
        <w:t xml:space="preserve"> </w:t>
      </w:r>
      <w:r>
        <w:rPr>
          <w:b/>
          <w:bCs/>
        </w:rPr>
        <w:t xml:space="preserve">0.62 ms</w:t>
      </w:r>
      <w:r>
        <w:t xml:space="preserve"> </w:t>
      </w:r>
      <w:r>
        <w:t xml:space="preserve">&amp;</w:t>
      </w:r>
      <w:r>
        <w:t xml:space="preserve"> </w:t>
      </w:r>
      <m:oMath>
        <m:r>
          <m:rPr>
            <m:sty m:val="p"/>
          </m:rPr>
          <m:t>±</m:t>
        </m:r>
        <m:r>
          <m:t>0.06</m:t>
        </m:r>
      </m:oMath>
      <w:r>
        <w:t xml:space="preserve"> </w:t>
      </w:r>
      <w:r>
        <w:t xml:space="preserve">ms &amp;</w:t>
      </w:r>
      <w:r>
        <w:t xml:space="preserve"> </w:t>
      </w:r>
      <w:r>
        <w:rPr>
          <w:b/>
          <w:bCs/>
        </w:rPr>
        <w:t xml:space="preserve">+0.3 MB</w:t>
      </w:r>
      <w:r>
        <w:t xml:space="preserve"> </w:t>
      </w:r>
      <w:r>
        <w:t xml:space="preserve">&amp;</w:t>
      </w:r>
      <w:r>
        <w:t xml:space="preserve"> </w:t>
      </w:r>
      <m:oMath>
        <m:r>
          <m:rPr>
            <m:sty m:val="b"/>
          </m:rPr>
          <m:t>5.0</m:t>
        </m:r>
        <m:r>
          <m:rPr>
            <m:sty m:val="b"/>
          </m:rPr>
          <m:t>%</m:t>
        </m:r>
      </m:oMath>
      <w:r>
        <w:br/>
      </w:r>
      <w:r>
        <w:br/>
      </w:r>
    </w:p>
    <w:bookmarkEnd w:id="167"/>
    <w:bookmarkStart w:id="168"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68"/>
    <w:bookmarkStart w:id="169"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69"/>
    <w:bookmarkEnd w:id="170"/>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pdf"/><Relationship Id="rId113" Type="http://schemas.openxmlformats.org/officeDocument/2006/relationships/image" Target="media/rId113.pdf"/><Relationship Id="rId9" Type="http://schemas.openxmlformats.org/officeDocument/2006/relationships/image" Target="media/rId9.pdf"/><Relationship Id="rId56" Type="http://schemas.openxmlformats.org/officeDocument/2006/relationships/image" Target="media/rId56.pdf"/><Relationship Id="rId28" Type="http://schemas.openxmlformats.org/officeDocument/2006/relationships/image" Target="media/rId28.pdf"/><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2026-09-18T22:47:12Z</dcterms:created>
  <dcterms:modified xsi:type="dcterms:W3CDTF">2026-09-18T22:47:12Z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updates models without target labels, but updates can help or harm. We ask when evidence justifies replacing a frozen model with an adapted candidate. K-Bound answers this for a binary population model under an exogenous bound \beta on target calibration residual. Preserving label-free observations, we derive exact feasible intervals for paired population benefit: a strict choice is justified precisely when margin |M| &gt; \beta on disagreement; inside |M| \le \beta, no strict choice is uniformly justified. An audit theorem proves no uniformly valid audit on the same observable law can cover a smaller bound at declared confidence. Addressing this under a complementary inductive regime, Knowability-Guided Adaptation (KGA) serves as an empirical companion, not an implementation of this frontier. Trained on labeled historical outcomes, KGA predicts observed evaluation-cell benefit, selecting ADAPT, FREEZE, or ABSTAIN via residual intervals. On cross-fitted CIFAR-10-C, Tent and EATA achieve lower regret than fixed baselines, while SAR favors always-adapt. Across three independent ResNet-18 checkpoints on mixed-sign shifts, KGA achieves lower regret than both fixed policies; compared to an authenticated AETTA recovery rule, leave-one-out KGA achieves lower regret, whereas outcome-disjoint cross-fitting trades point regret for zero observed false adaptations. On camera traps (CCT-20), KGA retained the frozen model across all 45 cells, avoiding adaptation degradation with no ADAPT decisions. These empirical diagnostics do not establish interval coverage or population-risk protection on unseen natural shifts.</vt:lpwstr>
  </property>
  <property fmtid="{D5CDD505-2E9C-101B-9397-08002B2CF9AE}" pid="3" name="date">
    <vt:lpwstr/>
  </property>
</Properties>
</file>