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w:t>
      </w:r>
      <w:r>
        <w:rPr>
          <w:smallCaps/>
        </w:rPr>
        <w:t xml:space="preserve">KGA</w:t>
      </w:r>
      <w:r>
        <w:t xml:space="preserve">)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lower observed loss for CIFAR Tent at a prespecified utility–harm trade-off, but simpler</w:t>
      </w:r>
      <w:r>
        <w:t xml:space="preserve"> </w:t>
      </w:r>
      <w:r>
        <w:t xml:space="preserve">rules often win. 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[1, 4–6].</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nor/>
              <m:sty m:val="p"/>
            </m:rPr>
            <m:t xml:space="preserve">  (1)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The theory asks what a fixed label-free evidence law and a declared residual bound can identify.</w:t>
      </w:r>
      <w:r>
        <w:t xml:space="preserve"> </w:t>
      </w:r>
      <w:r>
        <w:t xml:space="preserve">Knowability-Guided Adaptation (</w:t>
      </w:r>
      <w:r>
        <w:rPr>
          <w:smallCaps/>
        </w:rPr>
        <w:t xml:space="preserve">KGA</w:t>
      </w:r>
      <w:r>
        <w:t xml:space="preserve">)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r>
        <w:t xml:space="preserve"> </w:t>
      </w:r>
      <w:r>
        <w:t xml:space="preserve">Together, these analyses separate two possible obstacles to a justified update: the permitted</w:t>
      </w:r>
      <w:r>
        <w:t xml:space="preserve"> </w:t>
      </w:r>
      <w:r>
        <w:t xml:space="preserve">evidence may leave its benefit unidentified, or an empirical interval may fail to transfer.</w:t>
      </w:r>
      <w:r>
        <w:t xml:space="preserve"> </w:t>
      </w:r>
      <w:r>
        <w:t xml:space="preserve">The first requires additional assumptions or information; the second requires evidence for</w:t>
      </w:r>
      <w:r>
        <w:t xml:space="preserve"> </w:t>
      </w:r>
      <w:r>
        <w:t xml:space="preserve">the calibration procedure at the intended decision unit.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widowControl/>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p>
      <w:pPr>
        <w:pStyle w:val="CaptionedFigure"/>
        <w:widowControl/>
        <w:jc w:val="center"/>
      </w:pPr>
      <w:r>
        <w:drawing>
          <wp:inline>
            <wp:extent cx="4267200" cy="1584959"/>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var/folders/pk/ksqc41pj60q3589gfwhqz5tw0000gn/T/kbound-docx-ppoeovxd/word_figures/figure-01-2b5036f6193b76e1.png" id="11" name="Picture"/>
                    <pic:cNvPicPr>
                      <a:picLocks noChangeArrowheads="1" noChangeAspect="1"/>
                    </pic:cNvPicPr>
                  </pic:nvPicPr>
                  <pic:blipFill>
                    <a:blip r:embed="rId9"/>
                    <a:stretch>
                      <a:fillRect/>
                    </a:stretch>
                  </pic:blipFill>
                  <pic:spPr bwMode="auto">
                    <a:xfrm>
                      <a:off x="0" y="0"/>
                      <a:ext cx="4267200" cy="1584959"/>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[58],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Jhawar and Wang [56] independently study when an unlabeled</w:t>
      </w:r>
      <w:r>
        <w:t xml:space="preserve"> </w:t>
      </w:r>
      <w:r>
        <w:t xml:space="preserve">observation channel identifies the best TTA action. Their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r>
        <w:t xml:space="preserve"> </w:t>
      </w:r>
      <w:r>
        <w:t xml:space="preserve">Li, Han, and Ma [57] construct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as a descriptive comparison whose rank-clipped calibration does not establish nominal coverage,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as a descriptive comparison whose rank-clipped calibration does not establish nominal coverage,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rPr>
              <m:nor/>
              <m:sty m:val="p"/>
            </m:rPr>
            <m:t xml:space="preserve">  (2)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nor/>
              <m:sty m:val="p"/>
            </m:rPr>
            <m:t xml:space="preserve">  (3)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nor/>
              <m:sty m:val="p"/>
            </m:rPr>
            <m:t xml:space="preserve">  (4)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nor/>
              <m:sty m:val="p"/>
            </m:rPr>
            <m:t xml:space="preserve">  (5)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construction changes only the target label kernel on</w:t>
      </w:r>
      <w:r>
        <w:t xml:space="preserve"> </w:t>
      </w:r>
      <m:oMath>
        <m:r>
          <m:t>D</m:t>
        </m:r>
      </m:oMath>
      <w:r>
        <w:t xml:space="preserve">, leaving the label-free evidence laws exactly identical. The result is therefore an exact non-identifiability statement rather than an estimation-rate bound.</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51960" cy="1661159"/>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var/folders/pk/ksqc41pj60q3589gfwhqz5tw0000gn/T/kbound-docx-ppoeovxd/word_figures/figure-02-d5619a58886f37f4.png" id="30" name="Picture"/>
                    <pic:cNvPicPr>
                      <a:picLocks noChangeArrowheads="1" noChangeAspect="1"/>
                    </pic:cNvPicPr>
                  </pic:nvPicPr>
                  <pic:blipFill>
                    <a:blip r:embed="rId28"/>
                    <a:stretch>
                      <a:fillRect/>
                    </a:stretch>
                  </pic:blipFill>
                  <pic:spPr bwMode="auto">
                    <a:xfrm>
                      <a:off x="0" y="0"/>
                      <a:ext cx="4251960" cy="1661159"/>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nor/>
              <m:sty m:val="p"/>
            </m:rPr>
            <m:t xml:space="preserve">  (6)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nor/>
              <m:sty m:val="p"/>
            </m:rPr>
            <m:t xml:space="preserve">  (7)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b365f68ff0808e43192c32f4b533f9d9d4540b9"/>
    <w:p>
      <w:pPr>
        <w:pStyle w:val="Heading2"/>
        <w:widowControl/>
      </w:pPr>
      <w:r>
        <w:t xml:space="preserve">5.4 Historical Labels Require a Transfer Assumption</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39"/>
    <w:bookmarkEnd w:id="40"/>
    <w:bookmarkStart w:id="50" w:name="kga-an-empirical-benefit-interval-gate"/>
    <w:p>
      <w:pPr>
        <w:pStyle w:val="Heading1"/>
        <w:widowControl/>
      </w:pPr>
      <w:r>
        <w:t xml:space="preserve">6 KGA: An Empirical Benefit-Interval Gate</w:t>
      </w:r>
    </w:p>
    <w:bookmarkStart w:id="41" w:name="X94c4e2d687e7e143bdb92cd6b0d3303e77154b8"/>
    <w:p>
      <w:pPr>
        <w:pStyle w:val="Heading2"/>
        <w:widowControl/>
      </w:pPr>
      <w:r>
        <w:t xml:space="preserve">6.1 From Population Identification to Empirical Decisions</w:t>
      </w:r>
    </w:p>
    <w:p>
      <w:pPr>
        <w:pStyle w:val="FirstParagraph"/>
        <w:widowControl/>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widowControl/>
      </w:pP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nor/>
              <m:sty m:val="p"/>
            </m:rPr>
            <m:t xml:space="preserve">  (8)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nor/>
              <m:sty m:val="p"/>
            </m:rPr>
            <m:t xml:space="preserve">  (9)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A population interpretation requires both cell-level coverage and a separate sampling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nor/>
              <m:sty m:val="p"/>
            </m:rPr>
            <m:t xml:space="preserve">  (10)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4"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The quantities have different definitions. The declared bound</w:t>
      </w:r>
      <w:r>
        <w:t xml:space="preserve"> </w:t>
      </w:r>
      <m:oMath>
        <m:r>
          <m:t>β</m:t>
        </m:r>
      </m:oMath>
      <w:r>
        <w:t xml:space="preserve"> </w:t>
      </w:r>
      <w:r>
        <w:t xml:space="preserve">limits the absolute target disagreement-conditional residual, whereas</w:t>
      </w:r>
      <w:r>
        <w:t xml:space="preserve"> </w:t>
      </w:r>
      <m:oMath>
        <m:r>
          <m:t>ε</m:t>
        </m:r>
      </m:oMath>
      <w:r>
        <w:t xml:space="preserve"> </w:t>
      </w:r>
      <w:r>
        <w:t xml:space="preserve">is calibrated from prediction errors for the empirical target. They may coincide numerically, but that does not make them interchangeable.</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42"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additional abstention induced by this sampling allowance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2"/>
    <w:bookmarkStart w:id="43"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In the finite-radius configurations, the calibrated cell interval recorded</w:t>
      </w:r>
      <w:r>
        <w:t xml:space="preserve"> </w:t>
      </w:r>
      <m:oMath>
        <m:r>
          <m:t>93.9</m:t>
        </m:r>
        <m:r>
          <m:rPr>
            <m:sty m:val="p"/>
          </m:rPr>
          <m:t>%</m:t>
        </m:r>
      </m:oMath>
      <w:r>
        <w:t xml:space="preserve">–</w:t>
      </w:r>
      <m:oMath>
        <m:r>
          <m:t>96.5</m:t>
        </m:r>
        <m:r>
          <m:rPr>
            <m:sty m:val="p"/>
          </m:rPr>
          <m:t>%</m:t>
        </m:r>
      </m:oMath>
      <w:r>
        <w:t xml:space="preserve"> </w:t>
      </w:r>
      <w:r>
        <w:t xml:space="preserve">empirical cell inclusion against a nominal</w:t>
      </w:r>
      <w:r>
        <w:t xml:space="preserve"> </w:t>
      </w:r>
      <m:oMath>
        <m:r>
          <m:t>95</m:t>
        </m:r>
        <m:r>
          <m:rPr>
            <m:sty m:val="p"/>
          </m:rPr>
          <m:t>%</m:t>
        </m:r>
      </m:oMath>
      <w:r>
        <w:t xml:space="preserve"> </w:t>
      </w:r>
      <w:r>
        <w:t xml:space="preserve">level and zero observed wrong-direction decisions. Observed population inclusion was approximately</w:t>
      </w:r>
      <w:r>
        <w:t xml:space="preserve"> </w:t>
      </w:r>
      <m:oMath>
        <m:r>
          <m:t>100</m:t>
        </m:r>
        <m:r>
          <m:rPr>
            <m:sty m:val="p"/>
          </m:rPr>
          <m:t>%</m:t>
        </m:r>
      </m:oMath>
      <w:r>
        <w:t xml:space="preserve"> </w:t>
      </w:r>
      <w:r>
        <w:t xml:space="preserve">for the cell interval in this synthetic model. The compound interval also recorded</w:t>
      </w:r>
      <w:r>
        <w:t xml:space="preserve"> </w:t>
      </w:r>
      <m:oMath>
        <m:r>
          <m:t>100</m:t>
        </m:r>
        <m:r>
          <m:rPr>
            <m:sty m:val="p"/>
          </m:rPr>
          <m:t>%</m:t>
        </m:r>
      </m:oMath>
      <w:r>
        <w:t xml:space="preserve"> </w:t>
      </w:r>
      <w:r>
        <w:t xml:space="preserve">empirical population inclusion and zero observed wrong-direction decisions. Its abstention rate was</w:t>
      </w:r>
      <w:r>
        <w:t xml:space="preserve">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w:t>
      </w:r>
      <w:r>
        <w:t xml:space="preserve">and approximately one third for the finite-radius configurations with</w:t>
      </w:r>
      <w:r>
        <w:t xml:space="preserve"> </w:t>
      </w:r>
      <m:oMath>
        <m:r>
          <m:t>m</m:t>
        </m:r>
        <m:r>
          <m:rPr>
            <m:sty m:val="p"/>
          </m:rPr>
          <m:t>≥</m:t>
        </m:r>
        <m:r>
          <m:t>128</m:t>
        </m:r>
      </m:oMath>
      <w:r>
        <w:t xml:space="preserve">. At</w:t>
      </w:r>
      <w:r>
        <w:t xml:space="preserve"> </w:t>
      </w:r>
      <m:oMath>
        <m:sSub>
          <m:e>
            <m:r>
              <m:t>N</m:t>
            </m:r>
          </m:e>
          <m:sub>
            <m:r>
              <m:rPr>
                <m:sty m:val="p"/>
              </m:rPr>
              <m:t>c</m:t>
            </m:r>
            <m:r>
              <m:rPr>
                <m:sty m:val="p"/>
              </m:rPr>
              <m:t>a</m:t>
            </m:r>
            <m:r>
              <m:rPr>
                <m:sty m:val="p"/>
              </m:rPr>
              <m:t>l</m:t>
            </m:r>
          </m:sub>
        </m:sSub>
        <m:r>
          <m:rPr>
            <m:sty m:val="p"/>
          </m:rPr>
          <m:t>=</m:t>
        </m:r>
        <m:r>
          <m:t>18</m:t>
        </m:r>
      </m:oMath>
      <w:r>
        <w:t xml:space="preserve">, the required calibration rank is unavailable, so the infinite-radius rule abstains throughout. These are finite-simulation observations, not a proof of universal coverage.</w:t>
      </w:r>
    </w:p>
    <w:bookmarkEnd w:id="43"/>
    <w:bookmarkEnd w:id="44"/>
    <w:bookmarkStart w:id="49"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The paper distinguishes current outcome-disjoint calibration, Protocol B, from the historical leave-one-cell-out replay, Protocol A.</w:t>
      </w:r>
    </w:p>
    <w:p>
      <w:pPr>
        <w:pStyle w:val="BodyText"/>
        <w:widowControl/>
      </w:pPr>
      <w:r>
        <w:rPr>
          <w:i/>
          <w:iCs/>
        </w:rPr>
        <w:t xml:space="preserve">Protocol B:Three-way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p>
    <w:p>
      <w:pPr>
        <w:pStyle w:val="BodyText"/>
        <w:widowControl/>
      </w:pPr>
      <w:r>
        <w:rPr>
          <w:i/>
          <w:iCs/>
        </w:rPr>
        <w:t xml:space="preserve">Protocol A:Leave-one-cell-out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8"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39"/>
            <wp:effectExtent b="0" l="0" r="0" t="0"/>
            <wp:docPr descr="KGA interval decisions for measured cell benefit; empirical residual coverage is not population-risk coverage." title="KGA interval decisions for measured cell benefit; empirical residual coverage is not population-risk coverage" id="46" name="Picture"/>
            <a:graphic>
              <a:graphicData uri="http://schemas.openxmlformats.org/drawingml/2006/picture">
                <pic:pic>
                  <pic:nvPicPr>
                    <pic:cNvPr descr="/var/folders/pk/ksqc41pj60q3589gfwhqz5tw0000gn/T/kbound-docx-ppoeovxd/word_figures/figure-03-17399a795ef98301.png" id="47" name="Picture"/>
                    <pic:cNvPicPr>
                      <a:picLocks noChangeArrowheads="1" noChangeAspect="1"/>
                    </pic:cNvPicPr>
                  </pic:nvPicPr>
                  <pic:blipFill>
                    <a:blip r:embed="rId45"/>
                    <a:stretch>
                      <a:fillRect/>
                    </a:stretch>
                  </pic:blipFill>
                  <pic:spPr bwMode="auto">
                    <a:xfrm>
                      <a:off x="0" y="0"/>
                      <a:ext cx="4267200" cy="2225039"/>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48"/>
    <w:bookmarkEnd w:id="49"/>
    <w:bookmarkEnd w:id="50"/>
    <w:bookmarkStart w:id="54" w:name="primary-experimental-protocols"/>
    <w:p>
      <w:pPr>
        <w:pStyle w:val="Heading1"/>
        <w:widowControl/>
      </w:pPr>
      <w:r>
        <w:t xml:space="preserve">7 Primary Experimental Protocols</w:t>
      </w:r>
    </w:p>
    <w:bookmarkStart w:id="51"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82"/>
        <w:gridCol w:w="3489"/>
        <w:gridCol w:w="3489"/>
      </w:tblGrid>
      <w:tr>
        <w:trPr>
          <w:tblHeader w:val="true"/>
          <w:cantSplit w:val="true"/>
        </w:trPr>
        <w:tc>
          <w:tcPr>
            <w:tcW w:w="29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predeclared utility-retention rule</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 v1/v2</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v1 development stop; v2 calibration-screen failure; targets unopened</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the respective pre-target eligibility checks were met</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1"/>
    <w:bookmarkStart w:id="52" w:name="cct-20-design-and-utility-retention"/>
    <w:p>
      <w:pPr>
        <w:pStyle w:val="Heading2"/>
        <w:widowControl/>
      </w:pPr>
      <w:r>
        <w:t xml:space="preserve">7.2 CCT-20 Design and Utility Retention</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nor/>
              <m:sty m:val="p"/>
            </m:rPr>
            <m:t xml:space="preserve">  (12)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This endpoint evaluates utility retention under the declared protocol; it is not a population-safety guarantee.</w:t>
      </w:r>
    </w:p>
    <w:bookmarkEnd w:id="52"/>
    <w:bookmarkStart w:id="53"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nor/>
              <m:sty m:val="p"/>
            </m:rPr>
            <m:t xml:space="preserve">  (13)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3"/>
    <w:bookmarkEnd w:id="54"/>
    <w:bookmarkStart w:id="68" w:name="primary-results"/>
    <w:p>
      <w:pPr>
        <w:pStyle w:val="Heading1"/>
        <w:widowControl/>
      </w:pPr>
      <w:r>
        <w:t xml:space="preserve">8 Primary Results</w:t>
      </w:r>
    </w:p>
    <w:bookmarkStart w:id="58"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the effect of changing helpful and harmful mixture</w:t>
      </w:r>
      <w:r>
        <w:t xml:space="preserve"> </w:t>
      </w:r>
      <w:r>
        <w:t xml:space="preserve">weights in a preserved historical Tent seed-0 run. Its constructed mixture curve is separate</w:t>
      </w:r>
      <w:r>
        <w:t xml:space="preserve"> </w:t>
      </w:r>
      <w:r>
        <w:t xml:space="preserve">from the current Protocol B aggregate above; it is not an additional deployment or a new</w:t>
      </w:r>
      <w:r>
        <w:t xml:space="preserve"> </w:t>
      </w:r>
      <w:r>
        <w:t xml:space="preserve">cross-fitting evaluation.</w:t>
      </w:r>
    </w:p>
    <w:p>
      <w:pPr>
        <w:pStyle w:val="CaptionedFigure"/>
        <w:widowControl/>
        <w:jc w:val="center"/>
      </w:pPr>
      <w:r>
        <w:drawing>
          <wp:inline>
            <wp:extent cx="4267200" cy="2800350"/>
            <wp:effectExtent b="0" l="0" r="0" t="0"/>
            <wp:docPr descr="CIFAR-10-C stress grid mixing-ratio Pareto front comparing mean regret vs harmful fraction for Tent." title="CIFAR-10-C stress grid mixing-ratio Pareto front comparing mean regret vs harmful fraction for Tent" id="56" name="Picture"/>
            <a:graphic>
              <a:graphicData uri="http://schemas.openxmlformats.org/drawingml/2006/picture">
                <pic:pic>
                  <pic:nvPicPr>
                    <pic:cNvPr descr="/var/folders/pk/ksqc41pj60q3589gfwhqz5tw0000gn/T/kbound-docx-ppoeovxd/word_figures/figure-04-f4e4a802df06c7a1.png" id="57" name="Picture"/>
                    <pic:cNvPicPr>
                      <a:picLocks noChangeArrowheads="1" noChangeAspect="1"/>
                    </pic:cNvPicPr>
                  </pic:nvPicPr>
                  <pic:blipFill>
                    <a:blip r:embed="rId55"/>
                    <a:stretch>
                      <a:fillRect/>
                    </a:stretch>
                  </pic:blipFill>
                  <pic:spPr bwMode="auto">
                    <a:xfrm>
                      <a:off x="0" y="0"/>
                      <a:ext cx="4267200" cy="2800350"/>
                    </a:xfrm>
                    <a:prstGeom prst="rect">
                      <a:avLst/>
                    </a:prstGeom>
                    <a:noFill/>
                    <a:ln w="9525">
                      <a:noFill/>
                      <a:headEnd/>
                      <a:tailEnd/>
                    </a:ln>
                  </pic:spPr>
                </pic:pic>
              </a:graphicData>
            </a:graphic>
          </wp:inline>
        </w:drawing>
      </w:r>
    </w:p>
    <w:p>
      <w:pPr>
        <w:pStyle w:val="ImageCaption"/>
        <w:widowControl/>
      </w:pPr>
      <w:r>
        <w:t xml:space="preserve">Figure 4. Historical CIFAR-10-C Tent seed-0 mixture illustration, using the preserved</w:t>
      </w:r>
      <w:r>
        <w:t xml:space="preserve"> </w:t>
      </w:r>
      <w:r>
        <w:rPr>
          <w:rStyle w:val="VerbatimChar"/>
        </w:rPr>
        <w:t xml:space="preserve">stress_grid_multiseed_v1/seed0</w:t>
      </w:r>
      <w:r>
        <w:t xml:space="preserve"> </w:t>
      </w:r>
      <w:r>
        <w:t xml:space="preserve">curve. Mean regret is plotted against the</w:t>
      </w:r>
      <w:r>
        <w:t xml:space="preserve"> </w:t>
      </w:r>
      <w:r>
        <w:t xml:space="preserve">constructed harmful fraction</w:t>
      </w:r>
      <w:r>
        <w:t xml:space="preserve"> </w:t>
      </w:r>
      <m:oMath>
        <m:r>
          <w:rPr>
            <w:sz w:val="17"/>
            <w:szCs w:val="17"/>
          </w:rPr>
          <m:t>p</m:t>
        </m:r>
      </m:oMath>
      <w:r>
        <w:t xml:space="preserve"> </w:t>
      </w:r>
      <w:r>
        <w:t xml:space="preserve">for always-adapt, always-freeze, and KGA. The curve</w:t>
      </w:r>
      <w:r>
        <w:t xml:space="preserve"> </w:t>
      </w:r>
      <w:r>
        <w:t xml:space="preserve">illustrates changing mixture weights within that saved run; it does not report the current</w:t>
      </w:r>
      <w:r>
        <w:t xml:space="preserve"> </w:t>
      </w:r>
      <w:r>
        <w:t xml:space="preserve">Protocol B aggregate or independently sampled deployments.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0.0073</m:t>
        </m:r>
        <m:r>
          <m:rPr>
            <m:sty m:val="p"/>
          </m:rPr>
          <m:t>,</m:t>
        </m:r>
        <m:r>
          <m:rPr>
            <m:sty m:val="p"/>
          </m:rPr>
          <m:t>+</m:t>
        </m:r>
        <m:r>
          <m:t>0.0063</m:t>
        </m:r>
        <m:r>
          <m:rPr>
            <m:sty m:val="p"/>
          </m:rPr>
          <m:t>,</m:t>
        </m:r>
        <m:r>
          <m:rPr>
            <m:sty m:val="p"/>
          </m:rPr>
          <m:t>+</m:t>
        </m:r>
        <m:r>
          <m:t>0.0058</m:t>
        </m:r>
        <m:r>
          <m:rPr>
            <m:sty m:val="p"/>
          </m:rPr>
          <m:t>,</m:t>
        </m:r>
        <m:r>
          <m:rPr>
            <m:sty m:val="p"/>
          </m:rPr>
          <m:t>+</m:t>
        </m:r>
        <m:r>
          <m:t>0.0061</m:t>
        </m:r>
        <m:r>
          <m:rPr>
            <m:sty m:val="p"/>
          </m:rPr>
          <m:t>,</m:t>
        </m:r>
        <m:r>
          <m:rPr>
            <m:sty m:val="p"/>
          </m:rPr>
          <m:t>+</m:t>
        </m:r>
        <m:r>
          <m:t>0.0055</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8"/>
    <w:bookmarkStart w:id="59"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These are observed out-of-fold inclusion rates on an opened, dependent benchmark; they do not establish interval coverage on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59"/>
    <w:bookmarkStart w:id="60"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computed from the same paired scores.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computed from the same paired scores.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on the evaluated panel, this rule records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abstaining on 732 cells whose intervals contain zero,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60"/>
    <w:bookmarkStart w:id="61"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utility-retention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utility-retention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bookmarkEnd w:id="61"/>
    <w:bookmarkStart w:id="62" w:name="X11f3a107a07ce58173a54feac1b802ddd83c657"/>
    <w:p>
      <w:pPr>
        <w:pStyle w:val="Heading2"/>
        <w:widowControl/>
      </w:pPr>
      <w:r>
        <w:t xml:space="preserve">8.5 Development Stops and Adverse Diagnostics</w:t>
      </w:r>
    </w:p>
    <w:p>
      <w:pPr>
        <w:pStyle w:val="FirstParagraph"/>
        <w:widowControl/>
      </w:pPr>
      <w:r>
        <w:t xml:space="preserve">The earlier v1 study on 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62"/>
    <w:bookmarkStart w:id="63" w:name="additional-tests-of-decision-value"/>
    <w:p>
      <w:pPr>
        <w:pStyle w:val="Heading2"/>
        <w:widowControl/>
      </w:pPr>
      <w:r>
        <w:t xml:space="preserve">8.6 Additional Tests of Decision Value</w:t>
      </w:r>
    </w:p>
    <w:p>
      <w:pPr>
        <w:pStyle w:val="FirstParagraph"/>
        <w:widowControl/>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63"/>
    <w:bookmarkStart w:id="64" w:name="X7dfa4c5a0604442698e09a208ca6359ed244db3"/>
    <w:p>
      <w:pPr>
        <w:pStyle w:val="Heading2"/>
        <w:widowControl/>
      </w:pPr>
      <w:r>
        <w:t xml:space="preserve">8.7 What Does Calibration Add to a Shared Predictor?</w:t>
      </w:r>
    </w:p>
    <w:p>
      <w:pPr>
        <w:pStyle w:val="FirstParagraph"/>
        <w:widowControl/>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widowControl/>
      </w:pPr>
      <w:r>
        <w:t xml:space="preserve">The primary loss uses a prespecified harm weight of five:</w:t>
      </w:r>
    </w:p>
    <w:p>
      <w:pPr>
        <w:pStyle w:val="BodyText"/>
        <w:widowControl/>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nor/>
              <m:sty m:val="p"/>
            </m:rPr>
            <m:t xml:space="preserve">  (14)</m:t>
          </m:r>
        </m:oMath>
      </m:oMathPara>
    </w:p>
    <w:p>
      <w:pPr>
        <w:pStyle w:val="FirstParagraph"/>
        <w:widowControl/>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TableCaption"/>
        <w:widowControl/>
      </w:pPr>
      <w:r>
        <w:t xml:space="preserve">Table 11. Retrospective shared-predictor comparison. Losses are</w:t>
      </w:r>
      <w:r>
        <w:t xml:space="preserve"> </w:t>
      </w:r>
      <m:oMath>
        <m:r>
          <w:rPr>
            <w:sz w:val="17"/>
            <w:szCs w:val="17"/>
          </w:rPr>
          <m:t>100</m:t>
        </m:r>
        <m:sSub>
          <m:e>
            <m:r>
              <w:rPr>
                <w:sz w:val="17"/>
                <w:szCs w:val="17"/>
              </w:rPr>
              <m:t>L</m:t>
            </m:r>
          </m:e>
          <m:sub>
            <m:r>
              <w:rPr>
                <w:sz w:val="17"/>
                <w:szCs w:val="17"/>
              </w:rPr>
              <m:t>5</m:t>
            </m:r>
          </m:sub>
        </m:sSub>
      </m:oMath>
      <w:r>
        <w:t xml:space="preserve"> </w:t>
      </w:r>
      <w:r>
        <w:t xml:space="preserve">in percentage</w:t>
      </w:r>
      <w:r>
        <w:t xml:space="preserve"> </w:t>
      </w:r>
      <w:r>
        <w:t xml:space="preserve">points (lower is better). Margin is selected on tuning data; Constant and Scaled</w:t>
      </w:r>
      <w:r>
        <w:t xml:space="preserve"> </w:t>
      </w:r>
      <w:r>
        <w:t xml:space="preserve">use nominal 90% cell residual intervals. Inclusion C/S is observed held-out</w:t>
      </w:r>
      <w:r>
        <w:t xml:space="preserve"> </w:t>
      </w:r>
      <w:r>
        <w:t xml:space="preserve">interval inclusion for those two arms, not a coverage guarantee. The same 108</w:t>
      </w:r>
      <w:r>
        <w:t xml:space="preserve"> </w:t>
      </w:r>
      <w:r>
        <w:t xml:space="preserve">mixed-checkpoint records appear in two evaluation designs; they are not 216 independent observations.</w:t>
      </w:r>
    </w:p>
    <w:tbl>
      <w:tblPr>
        <w:tblStyle w:val="Table"/>
        <w:tblW w:type="dxa" w:w="9960"/>
        <w:jc w:val="left"/>
        <w:tblLayout w:type="fixed"/>
        <w:tblLook w:firstRow="1" w:lastRow="0" w:firstColumn="0" w:lastColumn="0" w:noHBand="0" w:noVBand="0" w:val="0020"/>
        <w:tblCaption w:val="Table 11. Retrospective shared-predictor comparison. Losses are 100L_5 in percentage points (lower is better). Margin is selected on tuning data; Constant and Scaled use nominal 90% cell residual intervals. Inclusion C/S is observed held-out interval inclusion for those two arms, not a coverage guarantee. The same 108 mixed-checkpoint records appear in two evaluation designs; they are not 216 independent observa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14"/>
        <w:gridCol w:w="863"/>
        <w:gridCol w:w="863"/>
        <w:gridCol w:w="863"/>
        <w:gridCol w:w="863"/>
        <w:gridCol w:w="863"/>
        <w:gridCol w:w="1016"/>
        <w:gridCol w:w="1015"/>
      </w:tblGrid>
      <w:tr>
        <w:trPr>
          <w:tblHeader w:val="true"/>
          <w:cantSplit w:val="true"/>
        </w:trPr>
        <w:tc>
          <w:tcPr>
            <w:tcW w:w="36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Cohort / outer hold-out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Cells</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Point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Margin</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Constant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Scaled</w:t>
            </w:r>
          </w:p>
        </w:tc>
        <w:tc>
          <w:tcPr>
            <w:tcW w:w="10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C</w:t>
            </w:r>
          </w:p>
        </w:tc>
        <w:tc>
          <w:tcPr>
            <w:tcW w:w="101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S</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0.0663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0.1556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54.35%</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51.67%</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0.1291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0.0844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50.51%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48.19%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0.2867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0.2264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0.2150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60.69%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58.24%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0.0481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0.6939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1.8787</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92.59%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0.2115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2.5989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1.8754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97.04%</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2.1913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96.30%</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0.3236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0.4032</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0.7954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5.2708</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85.19%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90.74%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0.5829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0.4611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0.9403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2.6329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87.96%</w:t>
            </w:r>
          </w:p>
        </w:tc>
      </w:tr>
    </w:tbl>
    <w:p>
      <w:pPr>
        <w:pStyle w:val="BodyText"/>
        <w:widowControl/>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Constant-radius gates</w:t>
      </w:r>
      <w:r>
        <w:t xml:space="preserve"> </w:t>
      </w:r>
      <w:r>
        <w:t xml:space="preserve">have exactly the point predictor’s ranking at equal exposure: their role is</w:t>
      </w:r>
      <w:r>
        <w:t xml:space="preserve"> </w:t>
      </w:r>
      <w:r>
        <w:t xml:space="preserve">choosing an operating point, rather than improving ranking.</w:t>
      </w:r>
      <w:r>
        <w:t xml:space="preserve"> </w:t>
      </w:r>
      <w:r>
        <w:t xml:space="preserve">The favorable Tent comparison is a point estimate on six observed corruption types.</w:t>
      </w:r>
      <w:r>
        <w:t xml:space="preserve"> </w:t>
      </w:r>
      <w:r>
        <w:t xml:space="preserve">Uncertainty across those types and the influence of individual corruptions must therefore</w:t>
      </w:r>
      <w:r>
        <w:t xml:space="preserve"> </w:t>
      </w:r>
      <w:r>
        <w:t xml:space="preserve">be considered separately from the number of scored cells</w:t>
      </w:r>
      <w:r>
        <w:t xml:space="preserve"> </w:t>
      </w:r>
      <w:r>
        <w:t xml:space="preserve">(Appendix R).</w:t>
      </w:r>
    </w:p>
    <w:p>
      <w:pPr>
        <w:pStyle w:val="BodyText"/>
        <w:widowControl/>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64"/>
    <w:bookmarkStart w:id="65" w:name="X59f43a5a1f8a5335fabf41db0dab3ad60c1f727"/>
    <w:p>
      <w:pPr>
        <w:pStyle w:val="Heading2"/>
        <w:widowControl/>
      </w:pPr>
      <w:r>
        <w:t xml:space="preserve">8.8 A Conditional Paired-Transport Certificate</w:t>
      </w:r>
    </w:p>
    <w:p>
      <w:pPr>
        <w:pStyle w:val="FirstParagraph"/>
        <w:widowControl/>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nor/>
              <m:sty m:val="p"/>
            </m:rPr>
            <m:t xml:space="preserve">  (15)</m:t>
          </m:r>
        </m:oMath>
      </m:oMathPara>
    </w:p>
    <w:p>
      <w:pPr>
        <w:pStyle w:val="FirstParagraph"/>
        <w:widowControl/>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widowControl/>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widowControl/>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nor/>
              <m:sty m:val="p"/>
            </m:rPr>
            <m:t xml:space="preserve">  (16)</m:t>
          </m:r>
        </m:oMath>
      </m:oMathPara>
    </w:p>
    <w:p>
      <w:pPr>
        <w:pStyle w:val="FirstParagraph"/>
        <w:widowControl/>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widowControl/>
      </w:pPr>
      <w:r>
        <w:t xml:space="preserve">This construction applies existing interval-constrained LP inference</w:t>
      </w:r>
      <w:r>
        <w:t xml:space="preserve"> </w:t>
      </w:r>
      <w:r>
        <w:t xml:space="preserve"> [57] 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[56] or new LP machinery.</w:t>
      </w:r>
    </w:p>
    <w:p>
      <w:pPr>
        <w:pStyle w:val="TableCaption"/>
        <w:widowControl/>
      </w:pPr>
      <w:r>
        <w:t xml:space="preserve">Table 12. Selected diagnostic regimes from 4,860 synthetic trial configurations</w:t>
      </w:r>
      <w:r>
        <w:t xml:space="preserve"> </w:t>
      </w:r>
      <w:r>
        <w:t xml:space="preserve">(nine scenarios, three sample sizes, three sensitivity budgets, 60 trials each).</w:t>
      </w:r>
      <w:r>
        <w:t xml:space="preserve"> </w:t>
      </w:r>
      <w:r>
        <w:t xml:space="preserve">A/F/U count ADAPT/FREEZE/ABSTAIN over 60 trials. Separate subtracts accuracy</w:t>
      </w:r>
      <w:r>
        <w:t xml:space="preserve"> </w:t>
      </w:r>
      <w:r>
        <w:t xml:space="preserve">extrema on the same polytope; it is not an implementation of MaC-LP. The</w:t>
      </w:r>
      <w:r>
        <w:t xml:space="preserve"> </w:t>
      </w:r>
      <w:r>
        <w:t xml:space="preserve">same-evidence violation row deliberately violates the declared assumption and</w:t>
      </w:r>
      <w:r>
        <w:t xml:space="preserve"> </w:t>
      </w:r>
      <w:r>
        <w:t xml:space="preserve">reuses the paired-cancellation row’s observable count streams.</w:t>
      </w:r>
    </w:p>
    <w:tbl>
      <w:tblPr>
        <w:tblStyle w:val="Table"/>
        <w:tblW w:type="dxa" w:w="9960"/>
        <w:jc w:val="left"/>
        <w:tblLayout w:type="fixed"/>
        <w:tblLook w:firstRow="1" w:lastRow="0" w:firstColumn="0" w:lastColumn="0" w:noHBand="0" w:noVBand="0" w:val="0020"/>
        <w:tblCaption w:val="Table 12. Selected diagnostic regimes from 4,860 synthetic trial configurations (nine scenarios, three sample sizes, three sensitivity budgets, 60 trials each). A/F/U count ADAPT/FREEZE/ABSTAIN over 60 trials. Separate subtracts accuracy extrema on the same polytope; it is not an implementation of MaC-LP. The same-evidence violation row deliberately violates the declared assumption and reuses the paired-cancellation row’s observable count stream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70"/>
        <w:gridCol w:w="975"/>
        <w:gridCol w:w="975"/>
        <w:gridCol w:w="975"/>
        <w:gridCol w:w="1229"/>
        <w:gridCol w:w="1345"/>
        <w:gridCol w:w="1291"/>
      </w:tblGrid>
      <w:tr>
        <w:trPr>
          <w:tblHeader w:val="true"/>
          <w:cantSplit w:val="true"/>
        </w:trPr>
        <w:tc>
          <w:tcPr>
            <w:tcW w:w="31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Synthetic regime</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/class</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ρ</m:t>
              </m:r>
            </m:oMath>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True</w:t>
            </w:r>
            <w:r>
              <w:rPr>
                <w:rFonts w:ascii="Times New Roman" w:hAnsi="Times New Roman"/>
                <w:b/>
                <w:sz w:val="14"/>
              </w:rPr>
              <w:t xml:space="preserve"> </w:t>
            </w:r>
            <m:oMath>
              <m:r>
                <m:rPr>
                  <m:sty m:val="p"/>
                </m:rPr>
                <w:rPr>
                  <w:sz w:val="15"/>
                  <w:szCs w:val="15"/>
                </w:rPr>
                <m:t>Δ</m:t>
              </m:r>
            </m:oMath>
          </w:p>
        </w:tc>
        <w:tc>
          <w:tcPr>
            <w:tcW w:w="12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Paired A/F/U</w:t>
            </w:r>
          </w:p>
        </w:tc>
        <w:tc>
          <w:tcPr>
            <w:tcW w:w="13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Separate A/F/U</w:t>
            </w:r>
          </w:p>
        </w:tc>
        <w:tc>
          <w:tcPr>
            <w:tcW w:w="12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Plug-in A/F/U</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Paired cancellation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Same evidence, violated assumption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38/22/0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20/0/40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 wider sensitivity</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r>
    </w:tbl>
    <w:p>
      <w:pPr>
        <w:pStyle w:val="BodyText"/>
        <w:widowControl/>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65"/>
    <w:bookmarkStart w:id="66" w:name="Xc874cf555d4535a4097c3c330e8e84d2a3cde1e"/>
    <w:p>
      <w:pPr>
        <w:pStyle w:val="Heading2"/>
        <w:widowControl/>
      </w:pPr>
      <w:r>
        <w:t xml:space="preserve">8.9 Natural-Shift Calibration and Execution Costs</w:t>
      </w:r>
    </w:p>
    <w:p>
      <w:pPr>
        <w:pStyle w:val="FirstParagraph"/>
        <w:widowControl/>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widowControl/>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widowControl/>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widowControl/>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66"/>
    <w:bookmarkStart w:id="67" w:name="a-local-deployment-integration"/>
    <w:p>
      <w:pPr>
        <w:pStyle w:val="Heading2"/>
        <w:widowControl/>
      </w:pPr>
      <w:r>
        <w:t xml:space="preserve">8.10 A Local Deployment Integration</w:t>
      </w:r>
    </w:p>
    <w:p>
      <w:pPr>
        <w:pStyle w:val="FirstParagraph"/>
        <w:widowControl/>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67"/>
    <w:bookmarkEnd w:id="68"/>
    <w:bookmarkStart w:id="74" w:name="limitations-and-broader-impact"/>
    <w:p>
      <w:pPr>
        <w:pStyle w:val="Heading1"/>
        <w:widowControl/>
      </w:pPr>
      <w:r>
        <w:t xml:space="preserve">9 Limitations and Broader Impact</w:t>
      </w:r>
    </w:p>
    <w:bookmarkStart w:id="71"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9" w:name="X07f69b37aead840259099dbc48184205b46283c"/>
    <w:p>
      <w:pPr>
        <w:pStyle w:val="Heading3"/>
        <w:keepNext/>
        <w:widowControl/>
        <w:spacing w:before="100" w:after="20" w:line="252" w:lineRule="auto"/>
      </w:pPr>
      <w:r>
        <w:rPr>
          <w:rFonts w:ascii="Times New Roman" w:hAnsi="Times New Roman" w:eastAsia="Times New Roman" w:cs="Times New Roman"/>
          <w:b/>
          <w:sz w:val="19"/>
        </w:rPr>
        <w:t xml:space="preserve">Justifying the population residual bound.</w:t>
      </w:r>
    </w:p>
    <w:p>
      <w:pPr>
        <w:pStyle w:val="FirstParagraph"/>
        <w:widowControl/>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69"/>
    <w:bookmarkStart w:id="70"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70"/>
    <w:bookmarkEnd w:id="71"/>
    <w:bookmarkStart w:id="72" w:name="X3f2a7a87828cff3b55e155c093dad71f163a053"/>
    <w:p>
      <w:pPr>
        <w:pStyle w:val="Heading2"/>
        <w:widowControl/>
      </w:pPr>
      <w:r>
        <w:t xml:space="preserve">9.2 What the Experiments Establish—and What Remains Open</w:t>
      </w:r>
    </w:p>
    <w:p>
      <w:pPr>
        <w:pStyle w:val="FirstParagraph"/>
        <w:widowControl/>
      </w:pPr>
      <w:r>
        <w:t xml:space="preserve">Four limitations determine how these experiments should be interpreted:</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widowControl/>
        <w:numPr>
          <w:ilvl w:val="0"/>
          <w:numId w:val="1008"/>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widowControl/>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72"/>
    <w:bookmarkStart w:id="73"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73"/>
    <w:bookmarkEnd w:id="74"/>
    <w:bookmarkStart w:id="75" w:name="conclusion"/>
    <w:p>
      <w:pPr>
        <w:pStyle w:val="Heading1"/>
        <w:widowControl/>
      </w:pPr>
      <w:r>
        <w:t xml:space="preserve">10 Conclusion</w:t>
      </w:r>
    </w:p>
    <w:p>
      <w:pPr>
        <w:pStyle w:val="FirstParagraph"/>
        <w:widowControl/>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widowControl/>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has lower observed CIFAR Tent harm-weighted loss, but the advantage narrows at matched</w:t>
      </w:r>
      <w:r>
        <w:t xml:space="preserve"> </w:t>
      </w:r>
      <w:r>
        <w:t xml:space="preserve">exposure, and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widowControl/>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remains the justified decision.</w:t>
      </w:r>
    </w:p>
    <w:bookmarkEnd w:id="75"/>
    <w:bookmarkStart w:id="82"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6">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7">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8">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p>
      <w:pPr>
        <w:widowControl/>
        <w:numPr>
          <w:ilvl w:val="0"/>
          <w:numId w:val="1009"/>
        </w:numPr>
        <w:spacing w:after="20" w:line="240" w:lineRule="auto"/>
      </w:pPr>
      <w:r>
        <w:rPr>
          <w:rFonts w:ascii="Times New Roman" w:hAnsi="Times New Roman"/>
          <w:sz w:val="16"/>
        </w:rPr>
        <w:t xml:space="preserve">K. Jhawar, L. Wang.</w:t>
      </w:r>
      <w:r>
        <w:rPr>
          <w:rFonts w:ascii="Times New Roman" w:hAnsi="Times New Roman"/>
          <w:sz w:val="16"/>
        </w:rPr>
        <w:t xml:space="preserve"> </w:t>
      </w:r>
      <w:r>
        <w:rPr>
          <w:rFonts w:ascii="Times New Roman" w:hAnsi="Times New Roman"/>
          <w:sz w:val="16"/>
        </w:rPr>
        <w:t xml:space="preserve">When is Test-Time Adaptation Identifiable From Unlabeled Evidence?</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arXiv:2609.11235v1.</w:t>
      </w:r>
      <w:r>
        <w:rPr>
          <w:rFonts w:ascii="Times New Roman" w:hAnsi="Times New Roman"/>
          <w:sz w:val="16"/>
        </w:rPr>
        <w:t xml:space="preserve"> </w:t>
      </w:r>
      <w:hyperlink r:id="rId79">
        <w:r>
          <w:rPr>
            <w:rStyle w:val="Hyperlink"/>
          </w:rPr>
          <w:t xml:space="preserve">https://arxiv.org/abs/2609.11235</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Li, K. Han, Y. Ma.</w:t>
      </w:r>
      <w:r>
        <w:rPr>
          <w:rFonts w:ascii="Times New Roman" w:hAnsi="Times New Roman"/>
          <w:sz w:val="16"/>
        </w:rPr>
        <w:t xml:space="preserve"> </w:t>
      </w:r>
      <w:r>
        <w:rPr>
          <w:rFonts w:ascii="Times New Roman" w:hAnsi="Times New Roman"/>
          <w:sz w:val="16"/>
        </w:rPr>
        <w:t xml:space="preserve">From matrix inversion to constraints: provably tighter confidence regions for</w:t>
      </w:r>
      <w:r>
        <w:rPr>
          <w:rFonts w:ascii="Times New Roman" w:hAnsi="Times New Roman"/>
          <w:sz w:val="16"/>
        </w:rPr>
        <w:t xml:space="preserve"> </w:t>
      </w:r>
      <w:r>
        <w:rPr>
          <w:rFonts w:ascii="Times New Roman" w:hAnsi="Times New Roman"/>
          <w:sz w:val="16"/>
        </w:rPr>
        <w:t xml:space="preserve">importance weights in label shift.</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arXiv:2609.14802v1.</w:t>
      </w:r>
      <w:r>
        <w:rPr>
          <w:rFonts w:ascii="Times New Roman" w:hAnsi="Times New Roman"/>
          <w:sz w:val="16"/>
        </w:rPr>
        <w:t xml:space="preserve"> </w:t>
      </w:r>
      <w:hyperlink r:id="rId80">
        <w:r>
          <w:rPr>
            <w:rStyle w:val="Hyperlink"/>
          </w:rPr>
          <w:t xml:space="preserve">https://arxiv.org/abs/2609.14802</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Danilowski,</w:t>
      </w:r>
      <w:r>
        <w:rPr>
          <w:rFonts w:ascii="Times New Roman" w:hAnsi="Times New Roman"/>
          <w:sz w:val="16"/>
        </w:rPr>
        <w:t xml:space="preserve"> </w:t>
      </w:r>
      <w:r>
        <w:rPr>
          <w:rFonts w:ascii="Times New Roman" w:hAnsi="Times New Roman"/>
          <w:sz w:val="16"/>
        </w:rPr>
        <w:t xml:space="preserve">A. Murphy, Y. D. Kwon, A. Ghosh. MORPHEUS: Meta Test-Time Adaptation via</w:t>
      </w:r>
      <w:r>
        <w:rPr>
          <w:rFonts w:ascii="Times New Roman" w:hAnsi="Times New Roman"/>
          <w:sz w:val="16"/>
        </w:rPr>
        <w:t xml:space="preserve"> </w:t>
      </w:r>
      <w:r>
        <w:rPr>
          <w:rFonts w:ascii="Times New Roman" w:hAnsi="Times New Roman"/>
          <w:sz w:val="16"/>
        </w:rPr>
        <w:t xml:space="preserve">Neural Collapse Geometry.</w:t>
      </w:r>
      <w:r>
        <w:rPr>
          <w:rFonts w:ascii="Times New Roman" w:hAnsi="Times New Roman"/>
          <w:sz w:val="16"/>
        </w:rPr>
        <w:t xml:space="preserve"> </w:t>
      </w:r>
      <w:r>
        <w:rPr>
          <w:rFonts w:ascii="Times New Roman" w:hAnsi="Times New Roman"/>
          <w:i/>
          <w:iCs/>
          <w:sz w:val="16"/>
        </w:rPr>
        <w:t xml:space="preserve">ICLR Test-Time Updates Workshop</w:t>
      </w:r>
      <w:r>
        <w:rPr>
          <w:rFonts w:ascii="Times New Roman" w:hAnsi="Times New Roman"/>
          <w:sz w:val="16"/>
        </w:rPr>
        <w:t xml:space="preserve">, 2026.</w:t>
      </w:r>
      <w:r>
        <w:rPr>
          <w:rFonts w:ascii="Times New Roman" w:hAnsi="Times New Roman"/>
          <w:sz w:val="16"/>
        </w:rPr>
        <w:t xml:space="preserve"> </w:t>
      </w:r>
      <w:hyperlink r:id="rId81">
        <w:r>
          <w:rPr>
            <w:rStyle w:val="Hyperlink"/>
          </w:rPr>
          <w:t xml:space="preserve">https://theyoungkwon.github.io/papers/articles/danilowski_morpheus_iclr-ttu26.pdf</w:t>
        </w:r>
      </w:hyperlink>
      <w:r>
        <w:rPr>
          <w:rFonts w:ascii="Times New Roman" w:hAnsi="Times New Roman"/>
          <w:sz w:val="16"/>
        </w:rPr>
        <w:t xml:space="preserve">.</w:t>
      </w:r>
    </w:p>
    <w:bookmarkEnd w:id="82"/>
    <w:bookmarkStart w:id="9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83"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nor/>
              <m:sty m:val="p"/>
            </m:rPr>
            <m:t xml:space="preserve">  (17)</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nor/>
              <m:sty m:val="p"/>
            </m:rPr>
            <m:t xml:space="preserve">  (18)</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nor/>
              <m:sty m:val="p"/>
            </m:rPr>
            <m:t xml:space="preserve">  (19)</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83"/>
    <w:bookmarkStart w:id="8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84"/>
    <w:bookmarkStart w:id="8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85"/>
    <w:bookmarkStart w:id="9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(20)</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nor/>
              <m:sty m:val="p"/>
            </m:rPr>
            <m:t xml:space="preserve">  (21)</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(22)</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rPr>
              <m:nor/>
              <m:sty m:val="p"/>
            </m:rPr>
            <m:t xml:space="preserve">  (23)</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(24)</m:t>
          </m:r>
        </m:oMath>
      </m:oMathPara>
    </w:p>
    <w:p>
      <w:pPr>
        <w:pStyle w:val="FirstParagraph"/>
        <w:widowControl/>
      </w:pPr>
      <w:r>
        <w:rPr>
          <w:i/>
          <w:iCs/>
        </w:rPr>
        <w:t xml:space="preserve">Proof.</w:t>
      </w:r>
      <w:r>
        <w:t xml:space="preserve"> </w:t>
      </w:r>
      <w:r>
        <w:t xml:space="preserve">The proof proceeds in four discrete steps:</w:t>
      </w:r>
    </w:p>
    <w:bookmarkStart w:id="8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6"/>
    <w:bookmarkStart w:id="8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7"/>
    <w:bookmarkStart w:id="8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8"/>
    <w:bookmarkStart w:id="8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9"/>
    <w:bookmarkEnd w:id="90"/>
    <w:bookmarkStart w:id="91" w:name="Xcd955b821517a074e4d55f446b056681b1b73c6"/>
    <w:p>
      <w:pPr>
        <w:pStyle w:val="Heading2"/>
        <w:widowControl/>
      </w:pPr>
      <w:r>
        <w:t xml:space="preserve">A.5 Sample Size and Abstention Under the Compound Bound</w:t>
      </w:r>
    </w:p>
    <w:p>
      <w:pPr>
        <w:pStyle w:val="FirstParagraph"/>
        <w:widowControl/>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91"/>
    <w:bookmarkStart w:id="9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nor/>
              <m:sty m:val="p"/>
            </m:rPr>
            <m:t xml:space="preserve">  (25)</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nor/>
              <m:sty m:val="p"/>
            </m:rPr>
            <m:t xml:space="preserve">  (26)</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rPr>
              <m:nor/>
              <m:sty m:val="p"/>
            </m:rPr>
            <m:t xml:space="preserve">  (27)</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92"/>
    <w:bookmarkStart w:id="96" w:name="X1fb53aba095d158ecbae1a06cafece3393a3b55"/>
    <w:p>
      <w:pPr>
        <w:pStyle w:val="Heading2"/>
        <w:widowControl/>
      </w:pPr>
      <w:r>
        <w:t xml:space="preserve">A.7 Explicit Implementation Boundaries and Operational Scope</w:t>
      </w:r>
    </w:p>
    <w:p>
      <w:pPr>
        <w:pStyle w:val="FirstParagraph"/>
        <w:widowControl/>
      </w:pPr>
      <w:r>
        <w:t xml:space="preserve">We distinguish three procedures and their evaluation scope.</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9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producing</w:t>
      </w:r>
      <w:r>
        <w:t xml:space="preserve"> </w:t>
      </w:r>
      <m:oMath>
        <m:r>
          <m:t>100</m:t>
        </m:r>
        <m:r>
          <m:rPr>
            <m:sty m:val="p"/>
          </m:rPr>
          <m:t>%</m:t>
        </m:r>
      </m:oMath>
      <w:r>
        <w:t xml:space="preserve"> </w:t>
      </w:r>
      <w:r>
        <w:t xml:space="preserve">abstention under this compound-bound construction;</w:t>
      </w:r>
      <w:r>
        <w:t xml:space="preserve"> </w:t>
      </w:r>
      <w:r>
        <w:t xml:space="preserve">(3) for finite-radius configurations with</w:t>
      </w:r>
      <w:r>
        <w:t xml:space="preserve"> </w:t>
      </w:r>
      <m:oMath>
        <m:r>
          <m:t>m</m:t>
        </m:r>
        <m:r>
          <m:rPr>
            <m:sty m:val="p"/>
          </m:rPr>
          <m:t>≥</m:t>
        </m:r>
        <m:r>
          <m:t>128</m:t>
        </m:r>
      </m:oMath>
      <w:r>
        <w:t xml:space="preserve">, the gate commits on nonzero-benefit states without observed wrong-direction decisions in these trials; Table 15 reports the corresponding abstention rates, while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continues to abstain throughout;</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93"/>
    <w:bookmarkStart w:id="9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In the finite-radius configurations, conformal residual calibration over the imperfect predictions records empirical cell inclusion near the nominal level (</w:t>
      </w:r>
      <m:oMath>
        <m:r>
          <m:t>93.9</m:t>
        </m:r>
        <m:r>
          <m:rPr>
            <m:sty m:val="p"/>
          </m:rPr>
          <m:t>%</m:t>
        </m:r>
      </m:oMath>
      <w:r>
        <w:t xml:space="preserve">–</w:t>
      </w:r>
      <m:oMath>
        <m:r>
          <m:t>96.5</m:t>
        </m:r>
        <m:r>
          <m:rPr>
            <m:sty m:val="p"/>
          </m:rPr>
          <m:t>%</m:t>
        </m:r>
      </m:oMath>
      <w:r>
        <w:t xml:space="preserve"> </w:t>
      </w:r>
      <w:r>
        <w:t xml:space="preserve">against</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zero observed wrong-direction decisions in these trials (</w:t>
      </w:r>
      <m:oMath>
        <m:r>
          <m:t>0.0000</m:t>
        </m:r>
      </m:oMath>
      <w:r>
        <w:t xml:space="preserve">). Observed population inclusion is approximately</w:t>
      </w:r>
      <w:r>
        <w:t xml:space="preserve"> </w:t>
      </w:r>
      <m:oMath>
        <m:r>
          <m:t>100</m:t>
        </m:r>
        <m:r>
          <m:rPr>
            <m:sty m:val="p"/>
          </m:rPr>
          <m:t>%</m:t>
        </m:r>
      </m:oMath>
      <w:r>
        <w:t xml:space="preserve"> </w:t>
      </w:r>
      <w:r>
        <w:t xml:space="preserve">in this synthetic model. At</w:t>
      </w:r>
      <w:r>
        <w:t xml:space="preserve"> </w:t>
      </w:r>
      <m:oMath>
        <m:sSub>
          <m:e>
            <m:r>
              <m:t>N</m:t>
            </m:r>
          </m:e>
          <m:sub>
            <m:r>
              <m:rPr>
                <m:sty m:val="p"/>
              </m:rPr>
              <m:t>c</m:t>
            </m:r>
            <m:r>
              <m:rPr>
                <m:sty m:val="p"/>
              </m:rPr>
              <m:t>a</m:t>
            </m:r>
            <m:r>
              <m:rPr>
                <m:sty m:val="p"/>
              </m:rPr>
              <m:t>l</m:t>
            </m:r>
          </m:sub>
        </m:sSub>
        <m:r>
          <m:rPr>
            <m:sty m:val="p"/>
          </m:rPr>
          <m:t>=</m:t>
        </m:r>
        <m:r>
          <m:t>18</m:t>
        </m:r>
      </m:oMath>
      <w:r>
        <w:t xml:space="preserve">, the unbounded interval has inclusion</w:t>
      </w:r>
      <w:r>
        <w:t xml:space="preserve"> </w:t>
      </w:r>
      <m:oMath>
        <m:r>
          <m:t>1.000</m:t>
        </m:r>
      </m:oMath>
      <w:r>
        <w:t xml:space="preserve"> </w:t>
      </w:r>
      <w:r>
        <w:t xml:space="preserve">and abstains throughout.</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Incorporating the Hoeffding sampling allowance</w:t>
      </w:r>
      <w:r>
        <w:t xml:space="preserve"> </w:t>
      </w:r>
      <m:oMath>
        <m:r>
          <m:t>b</m:t>
        </m:r>
        <m:r>
          <m:rPr>
            <m:sty m:val="p"/>
          </m:rPr>
          <m:t>(</m:t>
        </m:r>
        <m:r>
          <m:t>m</m:t>
        </m:r>
        <m:r>
          <m:rPr>
            <m:sty m:val="p"/>
          </m:rPr>
          <m:t>,</m:t>
        </m:r>
        <m:r>
          <m:t>δ</m:t>
        </m:r>
        <m:r>
          <m:rPr>
            <m:sty m:val="p"/>
          </m:rPr>
          <m:t>)</m:t>
        </m:r>
      </m:oMath>
      <w:r>
        <w:t xml:space="preserve"> </w:t>
      </w:r>
      <w:r>
        <w:t xml:space="preserve">produces additional abstention under this compound-bound construction. The interval records</w:t>
      </w:r>
      <w:r>
        <w:t xml:space="preserve"> </w:t>
      </w:r>
      <m:oMath>
        <m:r>
          <m:t>100</m:t>
        </m:r>
        <m:r>
          <m:rPr>
            <m:sty m:val="p"/>
          </m:rPr>
          <m:t>%</m:t>
        </m:r>
      </m:oMath>
      <w:r>
        <w:t xml:space="preserve"> </w:t>
      </w:r>
      <w:r>
        <w:t xml:space="preserve">empirical population inclusion and zero observed wrong-direction decisions in these finite trials. At</w:t>
      </w:r>
      <w:r>
        <w:t xml:space="preserve"> </w:t>
      </w:r>
      <m:oMath>
        <m:r>
          <m:t>m</m:t>
        </m:r>
        <m:r>
          <m:rPr>
            <m:sty m:val="p"/>
          </m:rPr>
          <m:t>=</m:t>
        </m:r>
        <m:r>
          <m:t>32</m:t>
        </m:r>
      </m:oMath>
      <w:r>
        <w:t xml:space="preserve">, abstention is</w:t>
      </w:r>
      <w:r>
        <w:t xml:space="preserve"> </w:t>
      </w:r>
      <m:oMath>
        <m:r>
          <m:t>99.9</m:t>
        </m:r>
        <m:r>
          <m:rPr>
            <m:sty m:val="p"/>
          </m:rPr>
          <m:t>%</m:t>
        </m:r>
      </m:oMath>
      <w:r>
        <w:t xml:space="preserve">–</w:t>
      </w:r>
      <m:oMath>
        <m:r>
          <m:t>100</m:t>
        </m:r>
        <m:r>
          <m:rPr>
            <m:sty m:val="p"/>
          </m:rPr>
          <m:t>%</m:t>
        </m:r>
      </m:oMath>
      <w:r>
        <w:t xml:space="preserve"> </w:t>
      </w:r>
      <w:r>
        <w:t xml:space="preserve">with</w:t>
      </w:r>
      <w:r>
        <w:t xml:space="preserve"> </w:t>
      </w:r>
      <m:oMath>
        <m:r>
          <m:t>b</m:t>
        </m:r>
        <m:r>
          <m:rPr>
            <m:sty m:val="p"/>
          </m:rPr>
          <m:t>(</m:t>
        </m:r>
        <m:r>
          <m:t>32</m:t>
        </m:r>
        <m:r>
          <m:rPr>
            <m:sty m:val="p"/>
          </m:rPr>
          <m:t>)</m:t>
        </m:r>
        <m:r>
          <m:rPr>
            <m:sty m:val="p"/>
          </m:rPr>
          <m:t>=</m:t>
        </m:r>
        <m:r>
          <m:t>0.4802</m:t>
        </m:r>
      </m:oMath>
      <w:r>
        <w:t xml:space="preserve">. For finite-radius configurations with</w:t>
      </w:r>
      <w:r>
        <w:t xml:space="preserve"> </w:t>
      </w:r>
      <m:oMath>
        <m:r>
          <m:t>m</m:t>
        </m:r>
        <m:r>
          <m:rPr>
            <m:sty m:val="p"/>
          </m:rPr>
          <m:t>≥</m:t>
        </m:r>
        <m:r>
          <m:t>128</m:t>
        </m:r>
      </m:oMath>
      <w:r>
        <w:t xml:space="preserve">, it commits on nonzero-benefit states without observed wrong-direction decisions in these trials; abstention is approximately</w:t>
      </w:r>
      <w:r>
        <w:t xml:space="preserve"> </w:t>
      </w:r>
      <m:oMath>
        <m:r>
          <m:t>32</m:t>
        </m:r>
        <m:r>
          <m:rPr>
            <m:sty m:val="p"/>
          </m:rPr>
          <m:t>%</m:t>
        </m:r>
      </m:oMath>
      <w:r>
        <w:t xml:space="preserve">–</w:t>
      </w:r>
      <m:oMath>
        <m:r>
          <m:t>34</m:t>
        </m:r>
        <m:r>
          <m:rPr>
            <m:sty m:val="p"/>
          </m:rPr>
          <m:t>%</m:t>
        </m:r>
      </m:oMath>
      <w:r>
        <w:t xml:space="preserve">, near the</w:t>
      </w:r>
      <w:r>
        <w:t xml:space="preserve"> </w:t>
      </w:r>
      <m:oMath>
        <m:r>
          <m:t>33.3</m:t>
        </m:r>
        <m:r>
          <m:rPr>
            <m:sty m:val="p"/>
          </m:rPr>
          <m:t>%</m:t>
        </m:r>
      </m:oMath>
      <w:r>
        <w:t xml:space="preserve"> </w:t>
      </w:r>
      <w:r>
        <w:t xml:space="preserve">null-state frequency.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abstains throughout. These observations do not prove universal coverage.</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An imperfect benefit predictor is fitted on 15 independent development episodes (</w:t>
      </w:r>
      <m:oMath>
        <m:r>
          <w:rPr>
            <w:sz w:val="17"/>
            <w:szCs w:val="17"/>
          </w:rPr>
          <m:t>m</m:t>
        </m:r>
        <m:r>
          <m:rPr>
            <m:sty m:val="p"/>
          </m:rPr>
          <w:rPr>
            <w:sz w:val="17"/>
            <w:szCs w:val="17"/>
          </w:rPr>
          <m:t>=</m:t>
        </m:r>
        <m:r>
          <w:rPr>
            <w:sz w:val="17"/>
            <w:szCs w:val="17"/>
          </w:rPr>
          <m:t>32</m:t>
        </m:r>
      </m:oMath>
      <w:r>
        <w:t xml:space="preserve">). Entries report</w:t>
      </w:r>
      <w:r>
        <w:t xml:space="preserve"> </w:t>
      </w:r>
      <w:r>
        <w:rPr>
          <w:b/>
          <w:bCs/>
        </w:rPr>
        <w:t xml:space="preserve">Cell Coverage / Wrong-Direction Error / Abstention Rate</w:t>
      </w:r>
      <w:r>
        <w:t xml:space="preserve">. The point rule has</w:t>
      </w:r>
      <w:r>
        <w:t xml:space="preserve">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 and</w:t>
      </w:r>
      <w:r>
        <w:t xml:space="preserve"> </w:t>
      </w:r>
      <m:oMath>
        <m:r>
          <w:rPr>
            <w:sz w:val="17"/>
            <w:szCs w:val="17"/>
          </w:rPr>
          <m:t>0</m:t>
        </m:r>
        <m:r>
          <m:rPr>
            <m:sty m:val="p"/>
          </m:rPr>
          <w:rPr>
            <w:sz w:val="17"/>
            <w:szCs w:val="17"/>
          </w:rPr>
          <m:t>%</m:t>
        </m:r>
      </m:oMath>
      <w:r>
        <w:t xml:space="preserve"> </w:t>
      </w:r>
      <w:r>
        <w:t xml:space="preserve">abstention. In finite-radius configurations, the cell interval records</w:t>
      </w:r>
      <w:r>
        <w:t xml:space="preserve"> </w:t>
      </w:r>
      <m:oMath>
        <m:r>
          <w:rPr>
            <w:sz w:val="17"/>
            <w:szCs w:val="17"/>
          </w:rPr>
          <m:t>93.9</m:t>
        </m:r>
        <m:r>
          <m:rPr>
            <m:sty m:val="p"/>
          </m:rPr>
          <w:rPr>
            <w:sz w:val="17"/>
            <w:szCs w:val="17"/>
          </w:rPr>
          <m:t>%</m:t>
        </m:r>
      </m:oMath>
      <w:r>
        <w:t xml:space="preserve">–</w:t>
      </w:r>
      <m:oMath>
        <m:r>
          <w:rPr>
            <w:sz w:val="17"/>
            <w:szCs w:val="17"/>
          </w:rPr>
          <m:t>96.5</m:t>
        </m:r>
        <m:r>
          <m:rPr>
            <m:sty m:val="p"/>
          </m:rPr>
          <w:rPr>
            <w:sz w:val="17"/>
            <w:szCs w:val="17"/>
          </w:rPr>
          <m:t>%</m:t>
        </m:r>
      </m:oMath>
      <w:r>
        <w:t xml:space="preserve"> </w:t>
      </w:r>
      <w:r>
        <w:t xml:space="preserve">empirical cell inclusion against nominal</w:t>
      </w:r>
      <w:r>
        <w:t xml:space="preserve"> </w:t>
      </w:r>
      <m:oMath>
        <m:r>
          <w:rPr>
            <w:sz w:val="17"/>
            <w:szCs w:val="17"/>
          </w:rPr>
          <m:t>95</m:t>
        </m:r>
        <m:r>
          <m:rPr>
            <m:sty m:val="p"/>
          </m:rPr>
          <w:rPr>
            <w:sz w:val="17"/>
            <w:szCs w:val="17"/>
          </w:rPr>
          <m:t>%</m:t>
        </m:r>
      </m:oMath>
      <w:r>
        <w:t xml:space="preserve">, approximately</w:t>
      </w:r>
      <w:r>
        <w:t xml:space="preserve"> </w:t>
      </w:r>
      <m:oMath>
        <m:r>
          <w:rPr>
            <w:sz w:val="17"/>
            <w:szCs w:val="17"/>
          </w:rPr>
          <m:t>100</m:t>
        </m:r>
        <m:r>
          <m:rPr>
            <m:sty m:val="p"/>
          </m:rPr>
          <w:rPr>
            <w:sz w:val="17"/>
            <w:szCs w:val="17"/>
          </w:rPr>
          <m:t>%</m:t>
        </m:r>
      </m:oMath>
      <w:r>
        <w:t xml:space="preserve"> </w:t>
      </w:r>
      <w:r>
        <w:t xml:space="preserve">population inclusion, and zero observed wrong-direction decisions. The compound interval records</w:t>
      </w:r>
      <w:r>
        <w:t xml:space="preserve"> </w:t>
      </w:r>
      <m:oMath>
        <m:r>
          <w:rPr>
            <w:sz w:val="17"/>
            <w:szCs w:val="17"/>
          </w:rPr>
          <m:t>100</m:t>
        </m:r>
        <m:r>
          <m:rPr>
            <m:sty m:val="p"/>
          </m:rPr>
          <w:rPr>
            <w:sz w:val="17"/>
            <w:szCs w:val="17"/>
          </w:rPr>
          <m:t>%</m:t>
        </m:r>
      </m:oMath>
      <w:r>
        <w:t xml:space="preserve"> </w:t>
      </w:r>
      <w:r>
        <w:t xml:space="preserve">empirical population inclusion and zero observed wrong-direction decisions. Its abstention is</w:t>
      </w:r>
      <w:r>
        <w:t xml:space="preserve">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at</w:t>
      </w:r>
      <w:r>
        <w:t xml:space="preserve"> </w:t>
      </w:r>
      <m:oMath>
        <m:r>
          <w:rPr>
            <w:sz w:val="17"/>
            <w:szCs w:val="17"/>
          </w:rPr>
          <m:t>m</m:t>
        </m:r>
        <m:r>
          <m:rPr>
            <m:sty m:val="p"/>
          </m:rPr>
          <w:rPr>
            <w:sz w:val="17"/>
            <w:szCs w:val="17"/>
          </w:rPr>
          <m:t>=</m:t>
        </m:r>
        <m:r>
          <w:rPr>
            <w:sz w:val="17"/>
            <w:szCs w:val="17"/>
          </w:rPr>
          <m:t>32</m:t>
        </m:r>
      </m:oMath>
      <w:r>
        <w:t xml:space="preserve"> </w:t>
      </w:r>
      <w:r>
        <w:t xml:space="preserve">and approximately one third for finite-radius configurations with</w:t>
      </w:r>
      <w:r>
        <w:t xml:space="preserve"> </w:t>
      </w:r>
      <m:oMath>
        <m:r>
          <w:rPr>
            <w:sz w:val="17"/>
            <w:szCs w:val="17"/>
          </w:rPr>
          <m:t>m</m:t>
        </m:r>
        <m:r>
          <m:rPr>
            <m:sty m:val="p"/>
          </m:rPr>
          <w:rPr>
            <w:sz w:val="17"/>
            <w:szCs w:val="17"/>
          </w:rPr>
          <m:t>≥</m:t>
        </m:r>
        <m:r>
          <w:rPr>
            <w:sz w:val="17"/>
            <w:szCs w:val="17"/>
          </w:rPr>
          <m:t>128</m:t>
        </m:r>
      </m:oMath>
      <w:r>
        <w:t xml:space="preserve">. At</w:t>
      </w:r>
      <w:r>
        <w:t xml:space="preserve"> </w:t>
      </w:r>
      <m:oMath>
        <m:sSub>
          <m:e>
            <m:r>
              <w:rPr>
                <w:sz w:val="17"/>
                <w:szCs w:val="17"/>
              </w:rPr>
              <m:t>N</m:t>
            </m:r>
          </m:e>
          <m:sub>
            <m:r>
              <m:rPr>
                <m:sty m:val="p"/>
              </m:rPr>
              <w:rPr>
                <w:sz w:val="17"/>
                <w:szCs w:val="17"/>
              </w:rPr>
              <m:t>c</m:t>
            </m:r>
            <m:r>
              <m:rPr>
                <m:sty m:val="p"/>
              </m:rPr>
              <w:rPr>
                <w:sz w:val="17"/>
                <w:szCs w:val="17"/>
              </w:rPr>
              <m:t>a</m:t>
            </m:r>
            <m:r>
              <m:rPr>
                <m:sty m:val="p"/>
              </m:rPr>
              <w:rPr>
                <w:sz w:val="17"/>
                <w:szCs w:val="17"/>
              </w:rPr>
              <m:t>l</m:t>
            </m:r>
          </m:sub>
        </m:sSub>
        <m:r>
          <m:rPr>
            <m:sty m:val="p"/>
          </m:rPr>
          <w:rPr>
            <w:sz w:val="17"/>
            <w:szCs w:val="17"/>
          </w:rPr>
          <m:t>=</m:t>
        </m:r>
        <m:r>
          <w:rPr>
            <w:sz w:val="17"/>
            <w:szCs w:val="17"/>
          </w:rPr>
          <m:t>18</m:t>
        </m:r>
      </m:oMath>
      <w:r>
        <w:t xml:space="preserve">, the unavailable calibration rank gives an unbounded interval, inclusion</w:t>
      </w:r>
      <w:r>
        <w:t xml:space="preserve"> </w:t>
      </w:r>
      <m:oMath>
        <m:r>
          <w:rPr>
            <w:sz w:val="17"/>
            <w:szCs w:val="17"/>
          </w:rPr>
          <m:t>1.000</m:t>
        </m:r>
      </m:oMath>
      <w:r>
        <w:t xml:space="preserve">, and</w:t>
      </w:r>
      <w:r>
        <w:t xml:space="preserve"> </w:t>
      </w:r>
      <m:oMath>
        <m:r>
          <w:rPr>
            <w:sz w:val="17"/>
            <w:szCs w:val="17"/>
          </w:rPr>
          <m:t>100</m:t>
        </m:r>
        <m:r>
          <m:rPr>
            <m:sty m:val="p"/>
          </m:rPr>
          <w:rPr>
            <w:sz w:val="17"/>
            <w:szCs w:val="17"/>
          </w:rPr>
          <m:t>%</m:t>
        </m:r>
      </m:oMath>
      <w:r>
        <w:t xml:space="preserve"> </w:t>
      </w:r>
      <w:r>
        <w:t xml:space="preserve">abstention at every batch size. These finite-simulation observations do not prove universal coverage.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An imperfect benefit predictor is fitted on 15 independent development episodes (m=32). Entries report Cell Coverage / Wrong-Direction Error / Abstention Rate. The point rule has 31\%–36\% wrong-direction error, entirely on null states Z=0, and 0\% abstention. In finite-radius configurations, the cell interval records 93.9\%–96.5\% empirical cell inclusion against nominal 95\%, approximately 100\% population inclusion, and zero observed wrong-direction decisions. The compound interval records 100\% empirical population inclusion and zero observed wrong-direction decisions. Its abstention is 99.9\%–100\% at m=32 and approximately one third for finite-radius configurations with m\ge128. At N_{\mathrm{cal}}=18, the unavailable calibration rank gives an unbounded interval, inclusion 1.000, and 100\% abstention at every batch size. These finite-simulation observations do not prove universal coverage.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94"/>
    <w:bookmarkStart w:id="9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utility cost of the added sampling allowance).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utility cost of the added sampling allowance).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95"/>
    <w:bookmarkEnd w:id="96"/>
    <w:bookmarkEnd w:id="97"/>
    <w:bookmarkStart w:id="130"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8"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8"/>
    <w:bookmarkStart w:id="99"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9"/>
    <w:bookmarkStart w:id="112"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00"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100"/>
    <w:bookmarkStart w:id="101"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01"/>
    <w:bookmarkStart w:id="102"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02"/>
    <w:bookmarkStart w:id="103"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03"/>
    <w:bookmarkStart w:id="104"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Benefit</w:t>
      </w:r>
      <w:r>
        <w:t xml:space="preserve"> </w:t>
      </w:r>
      <m:oMath>
        <m:r>
          <m:rPr>
            <m:sty m:val="p"/>
          </m:rPr>
          <w:rPr>
            <w:sz w:val="17"/>
            <w:szCs w:val="17"/>
          </w: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00"/>
        <w:gridCol w:w="1550"/>
        <w:gridCol w:w="1240"/>
        <w:gridCol w:w="1120"/>
        <w:gridCol w:w="700"/>
        <w:gridCol w:w="700"/>
        <w:gridCol w:w="940"/>
        <w:gridCol w:w="700"/>
        <w:gridCol w:w="700"/>
        <w:gridCol w:w="650"/>
        <w:gridCol w:w="1060"/>
      </w:tblGrid>
      <w:tr>
        <w:trPr>
          <w:tblHeader w:val="true"/>
          <w:cantSplit w:val="true"/>
        </w:trPr>
        <w:tc>
          <w:tcPr>
            <w:tcW w:w="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5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9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65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0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124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55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240"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9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104"/>
    <w:bookmarkStart w:id="105"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retained historical table labels</w:t>
      </w:r>
      <w:r>
        <w:t xml:space="preserve"> </w:t>
      </w:r>
      <w:r>
        <w:t xml:space="preserve">“Authenticated”</w:t>
      </w:r>
      <w:r>
        <w:t xml:space="preserve"> </w:t>
      </w:r>
      <w:r>
        <w:t xml:space="preserve">and</w:t>
      </w:r>
      <w:r>
        <w:t xml:space="preserve"> </w:t>
      </w:r>
      <w:r>
        <w:t xml:space="preserve">“Reference SAR</w:t>
      </w:r>
      <w:r>
        <w:t xml:space="preserve"> </w:t>
      </w:r>
      <w:r>
        <w:t xml:space="preserve">(official)”</w:t>
      </w:r>
      <w:r>
        <w:t xml:space="preserve"> </w:t>
      </w:r>
      <w:r>
        <w:t xml:space="preserve">name the archived presentation; they do not establish authenticated</w:t>
      </w:r>
      <w:r>
        <w:t xml:space="preserve"> </w:t>
      </w:r>
      <w:r>
        <w:t xml:space="preserve">native execution fidelity.</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05"/>
    <w:bookmarkStart w:id="106"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6"/>
    <w:bookmarkStart w:id="107"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7"/>
    <w:bookmarkStart w:id="109" w:name="Xbd0a4ea3428d9555540d200a856a500dc8d5814"/>
    <w:p>
      <w:pPr>
        <w:pStyle w:val="Heading3"/>
        <w:widowControl/>
      </w:pPr>
      <w:r>
        <w:t xml:space="preserve">B.3.3 Model Replication &amp; Checkpoint Inventory (Task 1)</w:t>
      </w:r>
    </w:p>
    <w:bookmarkStart w:id="108"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 Historical independent-checkpoint summaries (</w:t>
      </w:r>
      <m:oMath>
        <m:r>
          <w:rPr>
            <w:sz w:val="17"/>
            <w:szCs w:val="17"/>
          </w:rPr>
          <m:t>36</m:t>
        </m:r>
      </m:oMath>
      <w:r>
        <w:t xml:space="preserve"> </w:t>
      </w:r>
      <w:r>
        <w:t xml:space="preserve">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w:t>
      </w:r>
      <w:r>
        <w:t xml:space="preserve"> </w:t>
      </w:r>
      <m:oMath>
        <m:r>
          <w:rPr>
            <w:sz w:val="17"/>
            <w:szCs w:val="17"/>
          </w:rPr>
          <m:t>90</m:t>
        </m:r>
        <m:r>
          <m:rPr>
            <m:sty m:val="p"/>
          </m:rPr>
          <w:rPr>
            <w:sz w:val="17"/>
            <w:szCs w:val="17"/>
          </w:rPr>
          <m:t>%</m:t>
        </m:r>
      </m:oMath>
      <w:r>
        <w:t xml:space="preserve"> </w:t>
      </w:r>
      <w:r>
        <w:t xml:space="preserve">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w:t>
      </w:r>
    </w:p>
    <w:tbl>
      <w:tblPr>
        <w:tblStyle w:val="Table"/>
        <w:tblW w:type="dxa" w:w="9960"/>
        <w:jc w:val="left"/>
        <w:tblLayout w:type="fixed"/>
        <w:tblLook w:firstRow="1" w:lastRow="0" w:firstColumn="0" w:lastColumn="0" w:noHBand="0" w:noVBand="0" w:val="0020"/>
        <w:tblCaption w:val="Table 27. Historical independent-checkpoint summaries (36 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 90\% 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8"/>
    <w:bookmarkEnd w:id="109"/>
    <w:bookmarkStart w:id="111"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10"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10"/>
    <w:bookmarkEnd w:id="111"/>
    <w:bookmarkEnd w:id="112"/>
    <w:bookmarkStart w:id="11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13"/>
    <w:bookmarkStart w:id="11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14"/>
    <w:bookmarkStart w:id="11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15"/>
    <w:bookmarkStart w:id="11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6"/>
    <w:bookmarkStart w:id="120" w:name="b.8-boundary-and-transfer-diagnostics"/>
    <w:p>
      <w:pPr>
        <w:pStyle w:val="Heading2"/>
        <w:widowControl/>
      </w:pPr>
      <w:r>
        <w:t xml:space="preserve">B.8 Boundary and Transfer Diagnostics</w:t>
      </w:r>
    </w:p>
    <w:bookmarkStart w:id="11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7"/>
    <w:bookmarkStart w:id="118"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8"/>
    <w:bookmarkStart w:id="11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9"/>
    <w:bookmarkEnd w:id="120"/>
    <w:bookmarkStart w:id="127"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24"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51960" cy="212598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22" name="Picture"/>
            <a:graphic>
              <a:graphicData uri="http://schemas.openxmlformats.org/drawingml/2006/picture">
                <pic:pic>
                  <pic:nvPicPr>
                    <pic:cNvPr descr="/var/folders/pk/ksqc41pj60q3589gfwhqz5tw0000gn/T/kbound-docx-ppoeovxd/word_figures/figure-05-a432b33a97bd5dfd.png" id="123" name="Picture"/>
                    <pic:cNvPicPr>
                      <a:picLocks noChangeArrowheads="1" noChangeAspect="1"/>
                    </pic:cNvPicPr>
                  </pic:nvPicPr>
                  <pic:blipFill>
                    <a:blip r:embed="rId121"/>
                    <a:stretch>
                      <a:fillRect/>
                    </a:stretch>
                  </pic:blipFill>
                  <pic:spPr bwMode="auto">
                    <a:xfrm>
                      <a:off x="0" y="0"/>
                      <a:ext cx="4251960" cy="212598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24"/>
    <w:bookmarkStart w:id="125"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25"/>
    <w:bookmarkStart w:id="126"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6"/>
    <w:bookmarkEnd w:id="127"/>
    <w:bookmarkStart w:id="128"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8"/>
    <w:bookmarkStart w:id="129"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9"/>
    <w:bookmarkEnd w:id="130"/>
    <w:bookmarkStart w:id="131"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31"/>
    <w:bookmarkStart w:id="136" w:name="d-calibration-and-evaluation-contracts"/>
    <w:p>
      <w:pPr>
        <w:pStyle w:val="Heading1"/>
        <w:widowControl/>
      </w:pPr>
      <w:r>
        <w:t xml:space="preserve">D Calibration and Evaluation Contracts</w:t>
      </w:r>
    </w:p>
    <w:bookmarkStart w:id="132"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32"/>
    <w:bookmarkStart w:id="133"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33"/>
    <w:bookmarkStart w:id="134"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34"/>
    <w:bookmarkStart w:id="135"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35"/>
    <w:bookmarkEnd w:id="136"/>
    <w:bookmarkStart w:id="137"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7"/>
    <w:bookmarkStart w:id="144" w:name="f-inference-discipline"/>
    <w:p>
      <w:pPr>
        <w:pStyle w:val="Heading1"/>
        <w:widowControl/>
      </w:pPr>
      <w:r>
        <w:t xml:space="preserve">F Inference Discipline</w:t>
      </w:r>
    </w:p>
    <w:bookmarkStart w:id="138"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8"/>
    <w:bookmarkStart w:id="139"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9"/>
    <w:bookmarkStart w:id="140"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40"/>
    <w:bookmarkStart w:id="141"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41"/>
    <w:bookmarkStart w:id="143"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42"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42"/>
    <w:bookmarkEnd w:id="143"/>
    <w:bookmarkEnd w:id="144"/>
    <w:bookmarkStart w:id="149"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8" w:name="X70d84f40c09bb5f77e6b004cc7ba8ca8bcbd23b"/>
    <w:p>
      <w:pPr>
        <w:pStyle w:val="Heading2"/>
        <w:widowControl/>
      </w:pPr>
      <w:r>
        <w:t xml:space="preserve">G.1 CCT-20 Inference, Location, and Release Ledger</w:t>
      </w:r>
    </w:p>
    <w:bookmarkStart w:id="145"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45"/>
    <w:bookmarkStart w:id="146"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6"/>
    <w:bookmarkStart w:id="147"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7"/>
    <w:bookmarkEnd w:id="148"/>
    <w:bookmarkEnd w:id="149"/>
    <w:bookmarkStart w:id="154" w:name="h-extended-kga-implementation-contract"/>
    <w:p>
      <w:pPr>
        <w:pStyle w:val="Heading1"/>
        <w:widowControl/>
      </w:pPr>
      <w:r>
        <w:t xml:space="preserve">H Extended KGA Implementation Contract</w:t>
      </w:r>
    </w:p>
    <w:bookmarkStart w:id="150"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50"/>
    <w:bookmarkStart w:id="151"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51"/>
    <w:bookmarkStart w:id="152"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52"/>
    <w:bookmarkStart w:id="153"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53"/>
    <w:bookmarkEnd w:id="154"/>
    <w:bookmarkStart w:id="156" w:name="i-evidence-inventory"/>
    <w:p>
      <w:pPr>
        <w:pStyle w:val="Heading1"/>
        <w:widowControl/>
      </w:pPr>
      <w:r>
        <w:t xml:space="preserve">I Evidence Inventory</w:t>
      </w:r>
    </w:p>
    <w:bookmarkStart w:id="155"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55"/>
    <w:bookmarkEnd w:id="156"/>
    <w:bookmarkStart w:id="160"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59" w:name="Xf2b186d0c6749073039a36bcc2a623b55e15e01"/>
    <w:p>
      <w:pPr>
        <w:pStyle w:val="Heading2"/>
        <w:widowControl/>
      </w:pPr>
      <w:r>
        <w:t xml:space="preserve">J.1 Local Implementation and Workload Measurements</w:t>
      </w:r>
    </w:p>
    <w:bookmarkStart w:id="157" w:name="X47192f796eb217fcc011893e928e8f588a32065"/>
    <w:p>
      <w:pPr>
        <w:pStyle w:val="Heading3"/>
        <w:keepNext/>
        <w:widowControl/>
        <w:spacing w:before="100" w:after="20" w:line="252" w:lineRule="auto"/>
      </w:pPr>
      <w:r>
        <w:rPr>
          <w:rFonts w:ascii="Times New Roman" w:hAnsi="Times New Roman" w:eastAsia="Times New Roman" w:cs="Times New Roman"/>
          <w:b/>
          <w:sz w:val="19"/>
        </w:rPr>
        <w:t xml:space="preserve">Natural-shift calibration and candidate costs.</w:t>
      </w:r>
    </w:p>
    <w:p>
      <w:pPr>
        <w:pStyle w:val="FirstParagraph"/>
        <w:widowControl/>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widowControl/>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widowControl/>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57"/>
    <w:bookmarkStart w:id="158" w:name="lifecycle-and-local-api-measurements."/>
    <w:p>
      <w:pPr>
        <w:pStyle w:val="Heading3"/>
        <w:keepNext/>
        <w:widowControl/>
        <w:spacing w:before="100" w:after="20" w:line="252" w:lineRule="auto"/>
      </w:pPr>
      <w:r>
        <w:rPr>
          <w:rFonts w:ascii="Times New Roman" w:hAnsi="Times New Roman" w:eastAsia="Times New Roman" w:cs="Times New Roman"/>
          <w:b/>
          <w:sz w:val="19"/>
        </w:rPr>
        <w:t xml:space="preserve">Lifecycle and local API measurements.</w:t>
      </w:r>
    </w:p>
    <w:p>
      <w:pPr>
        <w:pStyle w:val="FirstParagraph"/>
        <w:widowControl/>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widowControl/>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58"/>
    <w:bookmarkEnd w:id="159"/>
    <w:bookmarkEnd w:id="160"/>
    <w:bookmarkStart w:id="165"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61"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61"/>
    <w:bookmarkStart w:id="162"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62"/>
    <w:bookmarkStart w:id="163"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63"/>
    <w:bookmarkStart w:id="164"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64"/>
    <w:bookmarkEnd w:id="165"/>
    <w:bookmarkStart w:id="173"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66"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66"/>
    <w:bookmarkStart w:id="167"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67"/>
    <w:bookmarkStart w:id="168"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68"/>
    <w:bookmarkStart w:id="169"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9"/>
    <w:bookmarkStart w:id="170"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70"/>
    <w:bookmarkStart w:id="171"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71"/>
    <w:bookmarkStart w:id="172"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72"/>
    <w:bookmarkEnd w:id="173"/>
    <w:bookmarkStart w:id="17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unrestricted historical extension;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r>
        <w:t xml:space="preserve"> </w:t>
      </w:r>
      <w:r>
        <w:t xml:space="preserve">The exact evidence-fibre supremum audit and the paired-transport polytope proof are LaTeX</w:t>
      </w:r>
      <w:r>
        <w:t xml:space="preserve"> </w:t>
      </w:r>
      <w:r>
        <w:t xml:space="preserve">arguments, not additional one-to-one entries in the 150-declaration registry. The printed</w:t>
      </w:r>
      <w:r>
        <w:t xml:space="preserve"> </w:t>
      </w:r>
      <w:r>
        <w:t xml:space="preserve">coverage-to-action proposition permits a random extended-real radius; its event-containment</w:t>
      </w:r>
      <w:r>
        <w:t xml:space="preserve"> </w:t>
      </w:r>
      <w:r>
        <w:t xml:space="preserve">argument is broader than the fixed-real-radius formal corollaries. No end-to-end formal proof</w:t>
      </w:r>
      <w:r>
        <w:t xml:space="preserve"> </w:t>
      </w:r>
      <w:r>
        <w:t xml:space="preserve">of numerical inverse-beta evaluation and the LP solver is claimed.</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75" w:name="m.1-population-to-cell-correspondence"/>
    <w:p>
      <w:pPr>
        <w:pStyle w:val="Heading2"/>
        <w:widowControl/>
      </w:pPr>
      <w:r>
        <w:t xml:space="preserve">M.1 Population-to-Cell Correspondence</w:t>
      </w:r>
    </w:p>
    <w:p>
      <w:pPr>
        <w:pStyle w:val="FirstParagraph"/>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74"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The 150 registered checks cover the scoped results described above.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74"/>
    <w:bookmarkEnd w:id="175"/>
    <w:bookmarkEnd w:id="176"/>
    <w:bookmarkStart w:id="183" w:name="n-reproducibility-and-release-procedures"/>
    <w:p>
      <w:pPr>
        <w:pStyle w:val="Heading1"/>
        <w:widowControl/>
      </w:pPr>
      <w:r>
        <w:t xml:space="preserve">N Reproducibility and Release Procedures</w:t>
      </w:r>
    </w:p>
    <w:bookmarkStart w:id="178"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77"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TableCaption"/>
        <w:widowControl/>
      </w:pPr>
      <w:r>
        <w:t xml:space="preserve">Table 44. Summary of principal empirical comparisons.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Summary of principal empirical comparison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77"/>
    <w:bookmarkEnd w:id="178"/>
    <w:bookmarkStart w:id="179"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For presentation-only rebuilding from already validated authorities, the command is:</w:t>
      </w:r>
    </w:p>
    <w:p>
      <w:pPr>
        <w:pStyle w:val="BodyText"/>
        <w:widowControl/>
      </w:pPr>
      <w:r>
        <w:rPr>
          <w:rStyle w:val="VerbatimChar"/>
        </w:rPr>
        <w:t xml:space="preserve">BUILD_LONG_TMLR=1 BUILD_DOCX=1 bash </w:t>
      </w:r>
      <w:r>
        <w:rPr>
          <w:rStyle w:val="VerbatimChar"/>
        </w:rPr>
        <w:t xml:space="preserve">docs/research/kbound/scripts/build_pdfs.sh</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79"/>
    <w:bookmarkStart w:id="180"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80"/>
    <w:bookmarkStart w:id="181"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81"/>
    <w:bookmarkStart w:id="182"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82"/>
    <w:bookmarkEnd w:id="183"/>
    <w:bookmarkStart w:id="187" w:name="Xc69e2e31872cb994b1fd9418ad1c91ea04860a1"/>
    <w:p>
      <w:pPr>
        <w:pStyle w:val="Heading1"/>
        <w:widowControl/>
      </w:pPr>
      <w:r>
        <w:t xml:space="preserve">O Additional Calibration Comparison: Units, Risk, and Provenance</w:t>
      </w:r>
    </w:p>
    <w:p>
      <w:pPr>
        <w:pStyle w:val="FirstParagraph"/>
        <w:widowControl/>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retained under</w:t>
      </w:r>
      <w:r>
        <w:t xml:space="preserve"> </w:t>
      </w:r>
      <w:r>
        <w:rPr>
          <w:rStyle w:val="VerbatimChar"/>
        </w:rPr>
        <w:t xml:space="preserve">output/next_phase/calibration_value_v1/</w:t>
      </w:r>
      <w:r>
        <w:t xml:space="preserve">; these summaries</w:t>
      </w:r>
      <w:r>
        <w:t xml:space="preserve"> </w:t>
      </w:r>
      <w:r>
        <w:t xml:space="preserve">authenticate the new calculations without supplying missing original training or</w:t>
      </w:r>
      <w:r>
        <w:t xml:space="preserve"> </w:t>
      </w:r>
      <w:r>
        <w:t xml:space="preserve">adaptation execution evidence.</w:t>
      </w:r>
    </w:p>
    <w:bookmarkStart w:id="184" w:name="separation-and-evaluation-units."/>
    <w:p>
      <w:pPr>
        <w:pStyle w:val="Heading2"/>
        <w:keepNext/>
        <w:widowControl/>
        <w:spacing w:before="100" w:after="20" w:line="252" w:lineRule="auto"/>
      </w:pPr>
      <w:r>
        <w:rPr>
          <w:rFonts w:ascii="Times New Roman" w:hAnsi="Times New Roman" w:eastAsia="Times New Roman" w:cs="Times New Roman"/>
          <w:b/>
          <w:sz w:val="19"/>
        </w:rPr>
        <w:t xml:space="preserve">Separation and evaluation units.</w:t>
      </w:r>
    </w:p>
    <w:p>
      <w:pPr>
        <w:pStyle w:val="FirstParagraph"/>
        <w:widowControl/>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Held-out score outcomes are</w:t>
      </w:r>
      <w:r>
        <w:t xml:space="preserve"> </w:t>
      </w:r>
      <w:r>
        <w:t xml:space="preserve">loaded only after serialized decisions; outcome-perturbation tests preserve the</w:t>
      </w:r>
      <w:r>
        <w:t xml:space="preserve"> </w:t>
      </w:r>
      <w:r>
        <w:t xml:space="preserve">fitted hashes, radii, thresholds, and decision bytes for the scored fold.</w:t>
      </w:r>
      <w:r>
        <w:t xml:space="preserve"> </w:t>
      </w:r>
      <w:r>
        <w:t xml:space="preserve">These computational separations do not make the already opened environments</w:t>
      </w:r>
      <w:r>
        <w:t xml:space="preserve"> </w:t>
      </w:r>
      <w:r>
        <w:t xml:space="preserve">exchangeable or independent deployments.</w:t>
      </w:r>
    </w:p>
    <w:p>
      <w:pPr>
        <w:pStyle w:val="BodyText"/>
        <w:widowControl/>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84"/>
    <w:bookmarkStart w:id="185" w:name="X7eb27266025d27ec44f64f4d3f23be00ff51833"/>
    <w:p>
      <w:pPr>
        <w:pStyle w:val="Heading2"/>
        <w:keepNext/>
        <w:widowControl/>
        <w:spacing w:before="100" w:after="20" w:line="252" w:lineRule="auto"/>
      </w:pPr>
      <w:r>
        <w:rPr>
          <w:rFonts w:ascii="Times New Roman" w:hAnsi="Times New Roman" w:eastAsia="Times New Roman" w:cs="Times New Roman"/>
          <w:b/>
          <w:sz w:val="19"/>
        </w:rPr>
        <w:t xml:space="preserve">Cell risk and group risk are different estimands.</w:t>
      </w:r>
    </w:p>
    <w:p>
      <w:pPr>
        <w:pStyle w:val="FirstParagraph"/>
        <w:widowControl/>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TableCaption"/>
        <w:widowControl/>
      </w:pPr>
      <w:r>
        <w:t xml:space="preserve">Table 46. Descriptive held-out risk for the 20% group-risk selection sensitivity.</w:t>
      </w:r>
      <w:r>
        <w:t xml:space="preserve"> </w:t>
      </w:r>
      <w:r>
        <w:t xml:space="preserve">The group error event is any accepted</w:t>
      </w:r>
      <w:r>
        <w:t xml:space="preserve"> </w:t>
      </w:r>
      <m:oMath>
        <m:r>
          <w:rPr>
            <w:sz w:val="17"/>
            <w:szCs w:val="17"/>
          </w:rPr>
          <m:t>B</m:t>
        </m:r>
        <m:r>
          <m:rPr>
            <m:sty m:val="p"/>
          </m:rPr>
          <w:rPr>
            <w:sz w:val="17"/>
            <w:szCs w:val="17"/>
          </w:rPr>
          <m:t>≤</m:t>
        </m:r>
        <m:r>
          <w:rPr>
            <w:sz w:val="17"/>
            <w:szCs w:val="17"/>
          </w:rPr>
          <m:t>0</m:t>
        </m:r>
      </m:oMath>
      <w:r>
        <w:t xml:space="preserve"> </w:t>
      </w:r>
      <w:r>
        <w:t xml:space="preserve">within a semantic group. Conditional</w:t>
      </w:r>
      <w:r>
        <w:t xml:space="preserve"> </w:t>
      </w:r>
      <w:r>
        <w:t xml:space="preserve">cell and group rates have different denominators and are not interchangeable.</w:t>
      </w:r>
      <w:r>
        <w:t xml:space="preserve"> </w:t>
      </w:r>
      <w:r>
        <w:t xml:space="preserve">Each candidate has 216 scored groups. These observations do not establish population risk control.</w:t>
      </w:r>
    </w:p>
    <w:tbl>
      <w:tblPr>
        <w:tblStyle w:val="Table"/>
        <w:tblW w:type="dxa" w:w="9960"/>
        <w:jc w:val="left"/>
        <w:tblLayout w:type="fixed"/>
        <w:tblLook w:firstRow="1" w:lastRow="0" w:firstColumn="0" w:lastColumn="0" w:noHBand="0" w:noVBand="0" w:val="0020"/>
        <w:tblCaption w:val="Table 46. Descriptive held-out risk for the 20% group-risk selection sensitivity. The group error event is any accepted B\le0 within a semantic group. Conditional cell and group rates have different denominators and are not interchangeable. Each candidate has 216 scored groups. These observations do not establish population risk contro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21"/>
        <w:gridCol w:w="1310"/>
        <w:gridCol w:w="1310"/>
        <w:gridCol w:w="1317"/>
        <w:gridCol w:w="2766"/>
        <w:gridCol w:w="1436"/>
      </w:tblGrid>
      <w:tr>
        <w:trPr>
          <w:tblHeader w:val="true"/>
          <w:cantSplit w:val="true"/>
        </w:trPr>
        <w:tc>
          <w:tcPr>
            <w:tcW w:w="18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CIFAR candidate</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Groups</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Exposed</w:t>
            </w:r>
          </w:p>
        </w:tc>
        <w:tc>
          <w:tcPr>
            <w:tcW w:w="13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Error groups</w:t>
            </w:r>
          </w:p>
        </w:tc>
        <w:tc>
          <w:tcPr>
            <w:tcW w:w="27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Conditional group error</w:t>
            </w:r>
          </w:p>
        </w:tc>
        <w:tc>
          <w:tcPr>
            <w:tcW w:w="14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error</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107</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7.48%</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180</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10.56%</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1.59%</w:t>
            </w:r>
          </w:p>
        </w:tc>
      </w:tr>
      <w:tr>
        <w:trPr>
          <w:cantSplit w:val="true"/>
        </w:trPr>
        <w:tc>
          <w:tcPr>
            <w:tcW w:w="182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65</w:t>
            </w:r>
          </w:p>
        </w:tc>
        <w:tc>
          <w:tcPr>
            <w:tcW w:w="13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7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c>
          <w:tcPr>
            <w:tcW w:w="143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r>
    </w:tbl>
    <w:p>
      <w:pPr>
        <w:pStyle w:val="BodyText"/>
        <w:widowControl/>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185"/>
    <w:bookmarkStart w:id="186" w:name="corrections-and-fixed-authorities."/>
    <w:p>
      <w:pPr>
        <w:pStyle w:val="Heading2"/>
        <w:keepNext/>
        <w:widowControl/>
        <w:spacing w:before="100" w:after="20" w:line="252" w:lineRule="auto"/>
      </w:pPr>
      <w:r>
        <w:rPr>
          <w:rFonts w:ascii="Times New Roman" w:hAnsi="Times New Roman" w:eastAsia="Times New Roman" w:cs="Times New Roman"/>
          <w:b/>
          <w:sz w:val="19"/>
        </w:rPr>
        <w:t xml:space="preserve">Corrections and fixed authorities.</w:t>
      </w:r>
    </w:p>
    <w:p>
      <w:pPr>
        <w:pStyle w:val="FirstParagraph"/>
        <w:widowControl/>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widowControl/>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186"/>
    <w:bookmarkEnd w:id="187"/>
    <w:bookmarkStart w:id="194" w:name="X622f1e0657b6c8aed1038a204019230882022ef"/>
    <w:p>
      <w:pPr>
        <w:pStyle w:val="Heading1"/>
        <w:widowControl/>
      </w:pPr>
      <w:r>
        <w:t xml:space="preserve">P Paired-Transport Certificate: Construction and Scope</w:t>
      </w:r>
    </w:p>
    <w:bookmarkStart w:id="188" w:name="sampling-and-probability-intervals."/>
    <w:p>
      <w:pPr>
        <w:pStyle w:val="Heading2"/>
        <w:keepNext/>
        <w:widowControl/>
        <w:spacing w:before="100" w:after="20" w:line="252" w:lineRule="auto"/>
      </w:pPr>
      <w:r>
        <w:rPr>
          <w:rFonts w:ascii="Times New Roman" w:hAnsi="Times New Roman" w:eastAsia="Times New Roman" w:cs="Times New Roman"/>
          <w:b/>
          <w:sz w:val="19"/>
        </w:rPr>
        <w:t xml:space="preserve">Sampling and probability intervals.</w:t>
      </w:r>
    </w:p>
    <w:p>
      <w:pPr>
        <w:pStyle w:val="FirstParagraph"/>
        <w:widowControl/>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188"/>
    <w:bookmarkStart w:id="189" w:name="linear-feasible-set."/>
    <w:p>
      <w:pPr>
        <w:pStyle w:val="Heading2"/>
        <w:keepNext/>
        <w:widowControl/>
        <w:spacing w:before="100" w:after="20" w:line="252" w:lineRule="auto"/>
      </w:pPr>
      <w:r>
        <w:rPr>
          <w:rFonts w:ascii="Times New Roman" w:hAnsi="Times New Roman" w:eastAsia="Times New Roman" w:cs="Times New Roman"/>
          <w:b/>
          <w:sz w:val="19"/>
        </w:rPr>
        <w:t xml:space="preserve">Linear feasible set.</w:t>
      </w:r>
    </w:p>
    <w:p>
      <w:pPr>
        <w:pStyle w:val="FirstParagraph"/>
        <w:widowControl/>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m:t>
          </m:r>
          <m:r>
            <m:t>1</m:t>
          </m:r>
          <m:r>
            <m:rPr>
              <m:sty m:val="p"/>
            </m:rPr>
            <m:t>,</m:t>
          </m:r>
          <m:nary>
            <m:naryPr>
              <m:chr m:val="∑"/>
              <m:limLoc m:val="undOvr"/>
              <m:subHide m:val="off"/>
              <m:supHide m:val="on"/>
            </m:naryPr>
            <m:sub>
              <m:r>
                <m:t>r</m:t>
              </m:r>
            </m:sub>
            <m:sup>
              <m:r>
                <m:t>​</m:t>
              </m:r>
            </m:sup>
            <m:e>
              <m:sSub>
                <m:e>
                  <m:r>
                    <m:t>t</m:t>
                  </m:r>
                </m:e>
                <m:sub>
                  <m:r>
                    <m:t>r</m:t>
                  </m:r>
                  <m:r>
                    <m:t>y</m:t>
                  </m:r>
                </m:sub>
              </m:sSub>
            </m:e>
          </m:nary>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oMath>
      </m:oMathPara>
    </w:p>
    <w:p>
      <w:pPr>
        <w:pStyle w:val="FirstParagraph"/>
        <w:widowControl/>
      </w:pPr>
      <m:oMathPara>
        <m:oMathParaPr>
          <m:jc m:val="center"/>
        </m:oMathParaPr>
        <m:oMath>
          <m:sSubSup>
            <m:e>
              <m:r>
                <m:t>L</m:t>
              </m:r>
            </m:e>
            <m:sub>
              <m:r>
                <m:t>r</m:t>
              </m:r>
              <m:r>
                <m:t>y</m:t>
              </m:r>
            </m:sub>
            <m:sup>
              <m:r>
                <m:t>A</m:t>
              </m:r>
            </m:sup>
          </m:sSubSup>
          <m:sSub>
            <m:e>
              <m:r>
                <m:t>π</m:t>
              </m:r>
            </m:e>
            <m:sub>
              <m:r>
                <m:t>y</m:t>
              </m:r>
            </m:sub>
          </m:sSub>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sSubSup>
            <m:e>
              <m:r>
                <m:t>L</m:t>
              </m:r>
            </m:e>
            <m:sub>
              <m:r>
                <m:t>r</m:t>
              </m:r>
            </m:sub>
            <m:sup>
              <m:r>
                <m:t>q</m:t>
              </m:r>
            </m:sup>
          </m:sSubSup>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oMath>
      </m:oMathPara>
    </w:p>
    <w:p>
      <w:pPr>
        <w:pStyle w:val="FirstParagraph"/>
        <w:widowControl/>
      </w:pPr>
      <m:oMathPara>
        <m:oMathParaPr>
          <m:jc m:val="center"/>
        </m:oMathParaPr>
        <m:oMath>
          <m:sSub>
            <m:e>
              <m:r>
                <m:t>v</m:t>
              </m:r>
            </m:e>
            <m:sub>
              <m:r>
                <m:t>r</m:t>
              </m:r>
              <m:r>
                <m:t>y</m:t>
              </m:r>
            </m:sub>
          </m:sSub>
          <m:r>
            <m:rPr>
              <m:sty m:val="p"/>
            </m:rPr>
            <m:t>≥</m:t>
          </m:r>
          <m:sSub>
            <m:e>
              <m:r>
                <m:t>t</m:t>
              </m:r>
            </m:e>
            <m:sub>
              <m:r>
                <m:t>r</m:t>
              </m:r>
              <m:r>
                <m:t>y</m:t>
              </m:r>
            </m:sub>
          </m:sSub>
          <m:r>
            <m:rPr>
              <m:sty m:val="p"/>
            </m:rPr>
            <m:t>−</m:t>
          </m:r>
          <m:sSub>
            <m:e>
              <m:r>
                <m:t>s</m:t>
              </m:r>
            </m:e>
            <m:sub>
              <m:r>
                <m:t>r</m:t>
              </m:r>
              <m:r>
                <m:t>y</m:t>
              </m:r>
            </m:sub>
          </m:sSub>
          <m:r>
            <m:rPr>
              <m:sty m:val="p"/>
            </m:rPr>
            <m:t>,</m:t>
          </m:r>
          <m:sSub>
            <m:e>
              <m:r>
                <m:t>v</m:t>
              </m:r>
            </m:e>
            <m:sub>
              <m:r>
                <m:t>r</m:t>
              </m:r>
              <m:r>
                <m:t>y</m:t>
              </m:r>
            </m:sub>
          </m:sSub>
          <m:r>
            <m:rPr>
              <m:sty m:val="p"/>
            </m:rPr>
            <m:t>≥</m:t>
          </m:r>
          <m:sSub>
            <m:e>
              <m:r>
                <m:t>s</m:t>
              </m:r>
            </m:e>
            <m:sub>
              <m:r>
                <m:t>r</m:t>
              </m:r>
              <m:r>
                <m:t>y</m:t>
              </m:r>
            </m:sub>
          </m:sSub>
          <m:r>
            <m:rPr>
              <m:sty m:val="p"/>
            </m:rPr>
            <m:t>−</m:t>
          </m:r>
          <m:sSub>
            <m:e>
              <m:r>
                <m:t>t</m:t>
              </m:r>
            </m:e>
            <m:sub>
              <m:r>
                <m:t>r</m:t>
              </m:r>
              <m:r>
                <m:t>y</m:t>
              </m:r>
            </m:sub>
          </m:sSub>
          <m:r>
            <m:rPr>
              <m:sty m:val="p"/>
            </m:rPr>
            <m:t>,</m:t>
          </m:r>
        </m:oMath>
      </m:oMathPara>
    </w:p>
    <w:p>
      <w:pPr>
        <w:pStyle w:val="FirstParagraph"/>
        <w:widowControl/>
      </w:pPr>
      <m:oMathPara>
        <m:oMathParaPr>
          <m:jc m:val="center"/>
        </m:oMathParaPr>
        <m:oMath>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rPr>
              <m:sty m:val="p"/>
            </m:rPr>
            <m:t>≤</m:t>
          </m:r>
          <m:r>
            <m:t>ρ</m:t>
          </m:r>
          <m:r>
            <m:rPr>
              <m:sty m:val="p"/>
            </m:rPr>
            <m:t>,</m:t>
          </m:r>
          <m:r>
            <m:t>0</m:t>
          </m:r>
          <m:r>
            <m:rPr>
              <m:sty m:val="p"/>
            </m:rPr>
            <m:t>≤</m:t>
          </m:r>
          <m:r>
            <m:t>t</m:t>
          </m:r>
          <m:r>
            <m:rPr>
              <m:sty m:val="p"/>
            </m:rPr>
            <m:t>,</m:t>
          </m:r>
          <m:r>
            <m:t>s</m:t>
          </m:r>
          <m:r>
            <m:rPr>
              <m:sty m:val="p"/>
            </m:rPr>
            <m:t>,</m:t>
          </m:r>
          <m:r>
            <m:t>π</m:t>
          </m:r>
          <m:r>
            <m:rPr>
              <m:sty m:val="p"/>
            </m:rPr>
            <m:t>,</m:t>
          </m:r>
          <m:r>
            <m:t>v</m:t>
          </m:r>
          <m:r>
            <m:rPr>
              <m:sty m:val="p"/>
            </m:rPr>
            <m:t>≤</m:t>
          </m:r>
          <m:r>
            <m:t>1</m:t>
          </m:r>
          <m:r>
            <m:rPr>
              <m:nor/>
              <m:sty m:val="p"/>
            </m:rPr>
            <m:t xml:space="preserve">  (28)</m:t>
          </m:r>
        </m:oMath>
      </m:oMathPara>
    </w:p>
    <w:p>
      <w:pPr>
        <w:pStyle w:val="FirstParagraph"/>
        <w:widowControl/>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p>
      <w:pPr>
        <w:pStyle w:val="BodyText"/>
        <w:widowControl/>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p>
      <w:pPr>
        <w:pStyle w:val="BodyText"/>
        <w:widowControl/>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widowControl/>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189"/>
    <w:bookmarkStart w:id="190" w:name="a-decision-without-prior-identification."/>
    <w:p>
      <w:pPr>
        <w:pStyle w:val="Heading2"/>
        <w:keepNext/>
        <w:widowControl/>
        <w:spacing w:before="100" w:after="20" w:line="252" w:lineRule="auto"/>
      </w:pPr>
      <w:r>
        <w:rPr>
          <w:rFonts w:ascii="Times New Roman" w:hAnsi="Times New Roman" w:eastAsia="Times New Roman" w:cs="Times New Roman"/>
          <w:b/>
          <w:sz w:val="19"/>
        </w:rPr>
        <w:t xml:space="preserve">A decision without prior identification.</w:t>
      </w:r>
    </w:p>
    <w:p>
      <w:pPr>
        <w:pStyle w:val="FirstParagraph"/>
        <w:widowControl/>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widowControl/>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190"/>
    <w:bookmarkStart w:id="191" w:name="why-paired-optimization-helps."/>
    <w:p>
      <w:pPr>
        <w:pStyle w:val="Heading2"/>
        <w:keepNext/>
        <w:widowControl/>
        <w:spacing w:before="100" w:after="20" w:line="252" w:lineRule="auto"/>
      </w:pPr>
      <w:r>
        <w:rPr>
          <w:rFonts w:ascii="Times New Roman" w:hAnsi="Times New Roman" w:eastAsia="Times New Roman" w:cs="Times New Roman"/>
          <w:b/>
          <w:sz w:val="19"/>
        </w:rPr>
        <w:t xml:space="preserve">Why paired optimization helps.</w:t>
      </w:r>
    </w:p>
    <w:p>
      <w:pPr>
        <w:pStyle w:val="FirstParagraph"/>
        <w:widowControl/>
      </w:pPr>
      <w:r>
        <w:t xml:space="preserve">On any common feasible set,</w:t>
      </w:r>
    </w:p>
    <w:p>
      <w:pPr>
        <w:pStyle w:val="BodyText"/>
        <w:widowControl/>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widowControl/>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widowControl/>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191"/>
    <w:bookmarkStart w:id="192" w:name="numerical-scope."/>
    <w:p>
      <w:pPr>
        <w:pStyle w:val="Heading2"/>
        <w:keepNext/>
        <w:widowControl/>
        <w:spacing w:before="100" w:after="20" w:line="252" w:lineRule="auto"/>
      </w:pPr>
      <w:r>
        <w:rPr>
          <w:rFonts w:ascii="Times New Roman" w:hAnsi="Times New Roman" w:eastAsia="Times New Roman" w:cs="Times New Roman"/>
          <w:b/>
          <w:sz w:val="19"/>
        </w:rPr>
        <w:t xml:space="preserve">Numerical scope.</w:t>
      </w:r>
    </w:p>
    <w:p>
      <w:pPr>
        <w:pStyle w:val="FirstParagraph"/>
        <w:widowControl/>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widowControl/>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nor/>
              <m:sty m:val="p"/>
            </m:rPr>
            <m:t xml:space="preserve">  (29)</m:t>
          </m:r>
        </m:oMath>
      </m:oMathPara>
    </w:p>
    <w:p>
      <w:pPr>
        <w:pStyle w:val="FirstParagraph"/>
        <w:widowControl/>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Residual and primal–dual-gap checks detect poor solver output but</w:t>
      </w:r>
      <w:r>
        <w:t xml:space="preserve"> </w:t>
      </w:r>
      <w:r>
        <w:t xml:space="preserve">do not prove exact primal feasibility or certify that a feasible set is</w:t>
      </w:r>
      <w:r>
        <w:t xml:space="preserve"> </w:t>
      </w:r>
      <w:r>
        <w:t xml:space="preserve">nonempty. Detected infeasibility, nonfinite output, and failed checks cause</w:t>
      </w:r>
      <w:r>
        <w:t xml:space="preserve"> </w:t>
      </w:r>
      <w:r>
        <w:t xml:space="preserve">abstention; a</w:t>
      </w:r>
      <w:r>
        <w:t xml:space="preserve"> </w:t>
      </w:r>
      <m:oMath>
        <m:sSup>
          <m:e>
            <m:r>
              <m:t>10</m:t>
            </m:r>
          </m:e>
          <m:sup>
            <m:r>
              <m:rPr>
                <m:sty m:val="p"/>
              </m:rPr>
              <m:t>−</m:t>
            </m:r>
            <m:r>
              <m:t>10</m:t>
            </m:r>
          </m:sup>
        </m:sSup>
      </m:oMath>
      <w:r>
        <w:t xml:space="preserve"> </w:t>
      </w:r>
      <w:r>
        <w:t xml:space="preserve">numerical sign margin is applied. Approximate primal</w:t>
      </w:r>
      <w:r>
        <w:t xml:space="preserve"> </w:t>
      </w:r>
      <w:r>
        <w:t xml:space="preserve">tables are diagnostic witnesses. The weak-dual bounds are valid for every</w:t>
      </w:r>
      <w:r>
        <w:t xml:space="preserve"> </w:t>
      </w:r>
      <w:r>
        <w:t xml:space="preserve">exact feasible point of the supplied floating-point problem; they do not</w:t>
      </w:r>
      <w:r>
        <w:t xml:space="preserve"> </w:t>
      </w:r>
      <w:r>
        <w:t xml:space="preserve">certify that such a point exists. Binomial endpoints use numerical inverse-beta</w:t>
      </w:r>
      <w:r>
        <w:t xml:space="preserve"> </w:t>
      </w:r>
      <w:r>
        <w:t xml:space="preserve">quantiles expanded by one floating-point unit, not a formally certified inverse</w:t>
      </w:r>
      <w:r>
        <w:t xml:space="preserve"> </w:t>
      </w:r>
      <w:r>
        <w:t xml:space="preserve">CDF. Accordingly, the statistical theorem concerns the exact intervals, while</w:t>
      </w:r>
      <w:r>
        <w:t xml:space="preserve"> </w:t>
      </w:r>
      <w:r>
        <w:t xml:space="preserve">the numerical certificate concerns its supplied endpoints.</w:t>
      </w:r>
    </w:p>
    <w:p>
      <w:pPr>
        <w:pStyle w:val="BodyText"/>
        <w:widowControl/>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preserved under</w:t>
      </w:r>
      <w:r>
        <w:t xml:space="preserve"> </w:t>
      </w:r>
      <w:r>
        <w:rPr>
          <w:rStyle w:val="VerbatimChar"/>
        </w:rPr>
        <w:t xml:space="preserve">output/next_phase/paired_transport_v1/</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192"/>
    <w:bookmarkStart w:id="193" w:name="X4539855c6f1077940adc26e8b8476a1cc11f144"/>
    <w:p>
      <w:pPr>
        <w:pStyle w:val="Heading2"/>
        <w:widowControl/>
      </w:pPr>
      <w:r>
        <w:t xml:space="preserve">P.1 Simulation-Only Architecture and Parameter Probes</w:t>
      </w:r>
    </w:p>
    <w:p>
      <w:pPr>
        <w:pStyle w:val="FirstParagraph"/>
        <w:widowControl/>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TableCaption"/>
        <w:widowControl/>
      </w:pPr>
      <w:r>
        <w:t xml:space="preserve">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p>
      <w:pPr>
        <w:pStyle w:val="TableCaption"/>
        <w:widowControl/>
      </w:pPr>
      <w:r>
        <w:t xml:space="preserve">Table 48.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48.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bookmarkEnd w:id="193"/>
    <w:bookmarkEnd w:id="194"/>
    <w:bookmarkStart w:id="198" w:name="q-additional-comparison-provenance"/>
    <w:p>
      <w:pPr>
        <w:pStyle w:val="Heading1"/>
        <w:widowControl/>
      </w:pPr>
      <w:r>
        <w:t xml:space="preserve">Q Additional Comparison Provenance</w:t>
      </w:r>
    </w:p>
    <w:bookmarkStart w:id="195" w:name="independent-checkpoint-replication"/>
    <w:p>
      <w:pPr>
        <w:pStyle w:val="Heading2"/>
        <w:keepNext/>
        <w:widowControl/>
        <w:spacing w:before="100" w:after="20" w:line="252" w:lineRule="auto"/>
      </w:pPr>
      <w:r>
        <w:rPr>
          <w:rFonts w:ascii="Times New Roman" w:hAnsi="Times New Roman" w:eastAsia="Times New Roman" w:cs="Times New Roman"/>
          <w:b/>
          <w:sz w:val="19"/>
        </w:rPr>
        <w:t xml:space="preserve">Independent-Checkpoint Replication:</w:t>
      </w:r>
    </w:p>
    <w:p>
      <w:pPr>
        <w:pStyle w:val="FirstParagraph"/>
        <w:widowControl/>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195"/>
    <w:bookmarkStart w:id="196" w:name="Xeccde8a7146f298adf8dc2426a942882a605177"/>
    <w:p>
      <w:pPr>
        <w:pStyle w:val="Heading2"/>
        <w:keepNext/>
        <w:widowControl/>
        <w:spacing w:before="100" w:after="20" w:line="252" w:lineRule="auto"/>
      </w:pPr>
      <w:r>
        <w:rPr>
          <w:rFonts w:ascii="Times New Roman" w:hAnsi="Times New Roman" w:eastAsia="Times New Roman" w:cs="Times New Roman"/>
          <w:b/>
          <w:sz w:val="19"/>
        </w:rPr>
        <w:t xml:space="preserve">Hardware and External Baseline Dependencies:</w:t>
      </w:r>
    </w:p>
    <w:p>
      <w:pPr>
        <w:pStyle w:val="FirstParagraph"/>
        <w:widowControl/>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bookmarkEnd w:id="196"/>
    <w:bookmarkStart w:id="197" w:name="X0caf2d57fbb4e4082520f8493334531f70d3f39"/>
    <w:p>
      <w:pPr>
        <w:pStyle w:val="Heading2"/>
        <w:keepNext/>
        <w:widowControl/>
        <w:spacing w:before="100" w:after="20" w:line="252" w:lineRule="auto"/>
      </w:pPr>
      <w:r>
        <w:rPr>
          <w:rFonts w:ascii="Times New Roman" w:hAnsi="Times New Roman" w:eastAsia="Times New Roman" w:cs="Times New Roman"/>
          <w:b/>
          <w:sz w:val="19"/>
        </w:rPr>
        <w:t xml:space="preserve">Camelyon17 decision-history qualification.</w:t>
      </w:r>
    </w:p>
    <w:p>
      <w:pPr>
        <w:pStyle w:val="FirstParagraph"/>
        <w:widowControl/>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197"/>
    <w:bookmarkEnd w:id="198"/>
    <w:bookmarkStart w:id="202" w:name="X6b5bb8d88e42b9e7038f87cc2a8352f20fa897c"/>
    <w:p>
      <w:pPr>
        <w:pStyle w:val="Heading1"/>
        <w:widowControl/>
      </w:pPr>
      <w:r>
        <w:t xml:space="preserve">R Contribution and Empirical Interpretation</w:t>
      </w:r>
    </w:p>
    <w:bookmarkStart w:id="199" w:name="r.1-what-the-constructions-add"/>
    <w:p>
      <w:pPr>
        <w:pStyle w:val="Heading2"/>
        <w:widowControl/>
      </w:pPr>
      <w:r>
        <w:t xml:space="preserve">R.1 What the constructions add</w:t>
      </w:r>
    </w:p>
    <w:p>
      <w:pPr>
        <w:pStyle w:val="FirstParagraph"/>
        <w:widowControl/>
      </w:pPr>
      <w:r>
        <w:t xml:space="preserve">The binary result fixes a predictor pair and a label-free evidence law, then</w:t>
      </w:r>
      <w:r>
        <w:t xml:space="preserve"> </w:t>
      </w:r>
      <w:r>
        <w:t xml:space="preserve">varies the conditional label kernel within an explicit residual budget. Its</w:t>
      </w:r>
      <w:r>
        <w:t xml:space="preserve"> </w:t>
      </w:r>
      <w:r>
        <w:t xml:space="preserve">additional content is the attainable clipped benefit set, the strict-sign</w:t>
      </w:r>
      <w:r>
        <w:t xml:space="preserve"> </w:t>
      </w:r>
      <w:r>
        <w:t xml:space="preserve">boundary including zero-benefit boundary worlds, and the corresponding</w:t>
      </w:r>
      <w:r>
        <w:t xml:space="preserve"> </w:t>
      </w:r>
      <w:r>
        <w:t xml:space="preserve">fibre-wise audit obstruction. Generic action identification and</w:t>
      </w:r>
      <w:r>
        <w:t xml:space="preserve"> </w:t>
      </w:r>
      <w:r>
        <w:t xml:space="preserve">indistinguishable-world testing are established ideas; Jhawar and</w:t>
      </w:r>
      <w:r>
        <w:t xml:space="preserve"> </w:t>
      </w:r>
      <w:r>
        <w:t xml:space="preserve">Wang [56] formulate adaptation identification directly</w:t>
      </w:r>
      <w:r>
        <w:t xml:space="preserve"> </w:t>
      </w:r>
      <w:r>
        <w:t xml:space="preserve">on evidence fibres. Our necessity statement concerns the full declared rich</w:t>
      </w:r>
      <w:r>
        <w:t xml:space="preserve"> </w:t>
      </w:r>
      <w:r>
        <w:t xml:space="preserve">class. Restricting that class can remove counterworlds, so necessity need not</w:t>
      </w:r>
      <w:r>
        <w:t xml:space="preserve"> </w:t>
      </w:r>
      <w:r>
        <w:t xml:space="preserve">survive; sufficiency remains valid. Zero disagreement instead gives zero</w:t>
      </w:r>
      <w:r>
        <w:t xml:space="preserve"> </w:t>
      </w:r>
      <w:r>
        <w:t xml:space="preserve">benefit, without defining disagreement-conditional moments.</w:t>
      </w:r>
    </w:p>
    <w:p>
      <w:pPr>
        <w:pStyle w:val="BodyText"/>
        <w:widowControl/>
      </w:pPr>
      <w:r>
        <w:t xml:space="preserve">The paired-transport construction addresses a different estimand and</w:t>
      </w:r>
      <w:r>
        <w:t xml:space="preserve"> </w:t>
      </w:r>
      <w:r>
        <w:t xml:space="preserve">assumption class. Relative to matrix-constraint confidence regions such as</w:t>
      </w:r>
      <w:r>
        <w:t xml:space="preserve"> </w:t>
      </w:r>
      <w:r>
        <w:t xml:space="preserve">Li, Han, and Ma [57], it retains a shared joint table</w:t>
      </w:r>
      <w:r>
        <w:t xml:space="preserve"> </w:t>
      </w:r>
      <w:r>
        <w:t xml:space="preserve">for two predictors and optimizes their accuracy contrast under a supplied</w:t>
      </w:r>
      <w:r>
        <w:t xml:space="preserve"> </w:t>
      </w:r>
      <w:r>
        <w:t xml:space="preserve">conditional-transport budget. Tighter bounds than separate subtraction follow</w:t>
      </w:r>
      <w:r>
        <w:t xml:space="preserve"> </w:t>
      </w:r>
      <w:r>
        <w:t xml:space="preserve">on that same feasible set; no dominance over another method’s feasible set is</w:t>
      </w:r>
      <w:r>
        <w:t xml:space="preserve"> </w:t>
      </w:r>
      <w:r>
        <w:t xml:space="preserve">implied. The probability-box theorem, numerical binomial endpoints and</w:t>
      </w:r>
      <w:r>
        <w:t xml:space="preserve"> </w:t>
      </w:r>
      <w:r>
        <w:t xml:space="preserve">floating-point objective bounds have the distinct scopes described in</w:t>
      </w:r>
      <w:r>
        <w:t xml:space="preserve"> </w:t>
      </w:r>
      <w:r>
        <w:t xml:space="preserve">Appendix P.</w:t>
      </w:r>
      <w:r>
        <w:t xml:space="preserve"> </w:t>
      </w:r>
      <w:r>
        <w:t xml:space="preserve">The numerical endpoints are not certified inverse-CDF bounds.</w:t>
      </w:r>
    </w:p>
    <w:p>
      <w:pPr>
        <w:pStyle w:val="BodyText"/>
        <w:widowControl/>
      </w:pPr>
      <w:r>
        <w:t xml:space="preserve">KGA uses historical labeled cell outcomes and is a separate empirical</w:t>
      </w:r>
      <w:r>
        <w:t xml:space="preserve"> </w:t>
      </w:r>
      <w:r>
        <w:t xml:space="preserve">construction. Its interval-to-action implication applies inherited calibration</w:t>
      </w:r>
      <w:r>
        <w:t xml:space="preserve"> </w:t>
      </w:r>
      <w:r>
        <w:t xml:space="preserve">ideas; it does not establish a new conformal validity theorem or estimate the</w:t>
      </w:r>
      <w:r>
        <w:t xml:space="preserve"> </w:t>
      </w:r>
      <w:r>
        <w:t xml:space="preserve">population residual budget. Coverage transfer requires its own assumptions:</w:t>
      </w:r>
      <w:r>
        <w:t xml:space="preserve"> </w:t>
      </w:r>
      <w:r>
        <w:t xml:space="preserve">Barber et al. [37] quantify coverage loss beyond</w:t>
      </w:r>
      <w:r>
        <w:t xml:space="preserve"> </w:t>
      </w:r>
      <w:r>
        <w:t xml:space="preserve">exchangeability, including for original conformal procedures, and study</w:t>
      </w:r>
      <w:r>
        <w:t xml:space="preserve"> </w:t>
      </w:r>
      <w:r>
        <w:t xml:space="preserve">modifications that can improve robustness. Learned adaptation selection also</w:t>
      </w:r>
      <w:r>
        <w:t xml:space="preserve"> </w:t>
      </w:r>
      <w:r>
        <w:t xml:space="preserve">predates this work. MORPHEUS [58] selects before candidate</w:t>
      </w:r>
      <w:r>
        <w:t xml:space="preserve"> </w:t>
      </w:r>
      <w:r>
        <w:t xml:space="preserve">execution, whereas KGA’s shadow-candidate features incur candidate computation.</w:t>
      </w:r>
      <w:r>
        <w:t xml:space="preserve"> </w:t>
      </w:r>
      <w:r>
        <w:t xml:space="preserve">A comparison must match both information access and cost.</w:t>
      </w:r>
    </w:p>
    <w:p>
      <w:pPr>
        <w:pStyle w:val="BodyText"/>
        <w:widowControl/>
      </w:pPr>
      <w:r>
        <w:t xml:space="preserve">The theoretical guarantees concern prespecified decisions and sampling</w:t>
      </w:r>
      <w:r>
        <w:t xml:space="preserve"> </w:t>
      </w:r>
      <w:r>
        <w:t xml:space="preserve">contracts. Marginal wrong-direction control does not imply an error bound</w:t>
      </w:r>
      <w:r>
        <w:t xml:space="preserve"> </w:t>
      </w:r>
      <w:r>
        <w:t xml:space="preserve">conditional on ADAPT. Candidates selected using evaluation evidence, repeated</w:t>
      </w:r>
      <w:r>
        <w:t xml:space="preserve"> </w:t>
      </w:r>
      <w:r>
        <w:t xml:space="preserve">uses and adaptive searches require additional control. The maintained</w:t>
      </w:r>
      <w:r>
        <w:t xml:space="preserve"> </w:t>
      </w:r>
      <w:r>
        <w:t xml:space="preserve">formalization’s scope and exclusions are given in the formal supplement; its</w:t>
      </w:r>
      <w:r>
        <w:t xml:space="preserve"> </w:t>
      </w:r>
      <w:r>
        <w:t xml:space="preserve">check count is not a measure of originality.</w:t>
      </w:r>
    </w:p>
    <w:bookmarkEnd w:id="199"/>
    <w:bookmarkStart w:id="200" w:name="r.2-units-utility-and-sensitivity"/>
    <w:p>
      <w:pPr>
        <w:pStyle w:val="Heading2"/>
        <w:widowControl/>
      </w:pPr>
      <w:r>
        <w:t xml:space="preserve">R.2 Units, utility and sensitivity</w:t>
      </w:r>
    </w:p>
    <w:p>
      <w:pPr>
        <w:pStyle w:val="FirstParagraph"/>
        <w:widowControl/>
      </w:pPr>
      <w:r>
        <w:t xml:space="preserve">The principal CIFAR panel and the shared-predictor study answer different</w:t>
      </w:r>
      <w:r>
        <w:t xml:space="preserve"> </w:t>
      </w:r>
      <w:r>
        <w:t xml:space="preserve">questions. Table 50 reconstructs equally weighted</w:t>
      </w:r>
      <w:r>
        <w:t xml:space="preserve"> </w:t>
      </w:r>
      <w:r>
        <w:t xml:space="preserve">mean accuracies and ordinary regret for the principal policy. The KGA minus</w:t>
      </w:r>
      <w:r>
        <w:t xml:space="preserve"> </w:t>
      </w:r>
      <w:r>
        <w:t xml:space="preserve">always-adapt differences are</w:t>
      </w:r>
      <w:r>
        <w:t xml:space="preserve"> </w:t>
      </w:r>
      <m:oMath>
        <m:r>
          <m:rPr>
            <m:sty m:val="p"/>
          </m:rPr>
          <m:t>+</m:t>
        </m:r>
        <m:r>
          <m:t>0.6183</m:t>
        </m:r>
      </m:oMath>
      <w:r>
        <w:t xml:space="preserve">,</w:t>
      </w:r>
      <w:r>
        <w:t xml:space="preserve"> </w:t>
      </w:r>
      <m:oMath>
        <m:r>
          <m:rPr>
            <m:sty m:val="p"/>
          </m:rPr>
          <m:t>+</m:t>
        </m:r>
        <m:r>
          <m:t>0.1673</m:t>
        </m:r>
      </m:oMath>
      <w:r>
        <w:t xml:space="preserve"> </w:t>
      </w:r>
      <w:r>
        <w:t xml:space="preserve">and</w:t>
      </w:r>
      <w:r>
        <w:t xml:space="preserve"> </w:t>
      </w:r>
      <m:oMath>
        <m:r>
          <m:rPr>
            <m:sty m:val="p"/>
          </m:rPr>
          <m:t>−</m:t>
        </m:r>
        <m:r>
          <m:t>0.1326</m:t>
        </m:r>
      </m:oMath>
      <w:r>
        <w:t xml:space="preserve"> </w:t>
      </w:r>
      <w:r>
        <w:t xml:space="preserve">percentage points</w:t>
      </w:r>
      <w:r>
        <w:t xml:space="preserve"> </w:t>
      </w:r>
      <w:r>
        <w:t xml:space="preserve">for Tent, EATA and SAR, respectively. The five stream seeds reuse an archived</w:t>
      </w:r>
      <w:r>
        <w:t xml:space="preserve"> </w:t>
      </w:r>
      <w:r>
        <w:t xml:space="preserve">source checkpoint and are not five independent training replications.</w:t>
      </w:r>
    </w:p>
    <w:p>
      <w:pPr>
        <w:pStyle w:val="BodyText"/>
        <w:widowControl/>
      </w:pPr>
      <w:r>
        <w:t xml:space="preserve">In the shared-predictor comparison,</w:t>
      </w:r>
      <w:r>
        <w:t xml:space="preserve"> </w:t>
      </w:r>
      <m:oMath>
        <m:r>
          <m:t>100</m:t>
        </m:r>
        <m:sSub>
          <m:e>
            <m:r>
              <m:t>L</m:t>
            </m:r>
          </m:e>
          <m:sub>
            <m:r>
              <m:t>5</m:t>
            </m:r>
          </m:sub>
        </m:sSub>
      </m:oMath>
      <w:r>
        <w:t xml:space="preserve"> </w:t>
      </w:r>
      <w:r>
        <w:t xml:space="preserve">assigns weight five to harmful</w:t>
      </w:r>
      <w:r>
        <w:t xml:space="preserve"> </w:t>
      </w:r>
      <w:r>
        <w:t xml:space="preserve">accepted updates. That declared benchmark loss is separate from accuracy,</w:t>
      </w:r>
      <w:r>
        <w:t xml:space="preserve"> </w:t>
      </w:r>
      <w:r>
        <w:t xml:space="preserve">ordinary regret and interval inclusion. Scaled calibration’s observed Tent</w:t>
      </w:r>
      <w:r>
        <w:t xml:space="preserve"> </w:t>
      </w:r>
      <w:r>
        <w:t xml:space="preserve">advantage is smaller after matching ADAPT exposure, and depends on the</w:t>
      </w:r>
      <w:r>
        <w:t xml:space="preserve"> </w:t>
      </w:r>
      <w:r>
        <w:t xml:space="preserve">corruption mix (Table 51). Paired resampling of</w:t>
      </w:r>
      <w:r>
        <w:t xml:space="preserve"> </w:t>
      </w:r>
      <w:r>
        <w:t xml:space="preserve">six corruption types gives wide descriptive ranges for the unmatched point</w:t>
      </w:r>
      <w:r>
        <w:t xml:space="preserve"> </w:t>
      </w:r>
      <w:r>
        <w:t xml:space="preserve">and margin comparisons. Removing JPEG reduces the advantage over point</w:t>
      </w:r>
      <w:r>
        <w:t xml:space="preserve"> </w:t>
      </w:r>
      <w:r>
        <w:t xml:space="preserve">prediction to</w:t>
      </w:r>
      <w:r>
        <w:t xml:space="preserve"> </w:t>
      </w:r>
      <m:oMath>
        <m:r>
          <m:t>0.004889</m:t>
        </m:r>
      </m:oMath>
      <w:r>
        <w:t xml:space="preserve"> </w:t>
      </w:r>
      <w:r>
        <w:t xml:space="preserve">percentage points and reverses the margin comparison.</w:t>
      </w:r>
      <w:r>
        <w:t xml:space="preserve"> </w:t>
      </w:r>
      <w:r>
        <w:t xml:space="preserve">This deletion is an influence diagnostic, not a revised primary analysis.</w:t>
      </w:r>
      <w:r>
        <w:t xml:space="preserve"> </w:t>
      </w:r>
      <w:r>
        <w:t xml:space="preserve">Constant-radius thresholds preserve the shared point predictor’s ranking;</w:t>
      </w:r>
      <w:r>
        <w:t xml:space="preserve"> </w:t>
      </w:r>
      <w:r>
        <w:t xml:space="preserve">changing exposure alone is not evidence of improved ranking. All candidate,</w:t>
      </w:r>
      <w:r>
        <w:t xml:space="preserve"> </w:t>
      </w:r>
      <w:r>
        <w:t xml:space="preserve">cohort and rule rows, including harmful acceptance, missed helpful</w:t>
      </w:r>
      <w:r>
        <w:t xml:space="preserve"> </w:t>
      </w:r>
      <w:r>
        <w:t xml:space="preserve">opportunities, abstention and harm-weight sensitivity, are available in</w:t>
      </w:r>
      <w:r>
        <w:t xml:space="preserve"> </w:t>
      </w:r>
      <w:r>
        <w:t xml:space="preserve">the accompanying versioned synthesis.</w:t>
      </w:r>
    </w:p>
    <w:p>
      <w:pPr>
        <w:pStyle w:val="BodyText"/>
        <w:widowControl/>
      </w:pPr>
      <w:r>
        <w:t xml:space="preserve">Table 49 separates cell inclusion from the event</w:t>
      </w:r>
      <w:r>
        <w:t xml:space="preserve"> </w:t>
      </w:r>
      <w:r>
        <w:t xml:space="preserve">that every cell in a complete semantic group is covered. There are 2,160 cells</w:t>
      </w:r>
      <w:r>
        <w:t xml:space="preserve"> </w:t>
      </w:r>
      <w:r>
        <w:t xml:space="preserve">and 216 complete groups per CIFAR candidate, built from six corruption types;</w:t>
      </w:r>
      <w:r>
        <w:t xml:space="preserve"> </w:t>
      </w:r>
      <w:r>
        <w:t xml:space="preserve">neither count is an independent-deployment sample size. A group-max radius</w:t>
      </w:r>
      <w:r>
        <w:t xml:space="preserve"> </w:t>
      </w:r>
      <w:r>
        <w:t xml:space="preserve">does not make its observed cell inclusion a simultaneous-group coverage rate.</w:t>
      </w:r>
      <w:r>
        <w:t xml:space="preserve"> </w:t>
      </w:r>
      <w:r>
        <w:t xml:space="preserve">All four observed rates remain descriptive evidence of transfer failure.</w:t>
      </w:r>
      <w:r>
        <w:t xml:space="preserve"> </w:t>
      </w:r>
      <w:r>
        <w:t xml:space="preserve">Unavailable finite-rank and zero-exposure quantities remain undefined rather</w:t>
      </w:r>
      <w:r>
        <w:t xml:space="preserve"> </w:t>
      </w:r>
      <w:r>
        <w:t xml:space="preserve">than being reported as successful conditional-risk control.</w:t>
      </w:r>
    </w:p>
    <w:p>
      <w:pPr>
        <w:pStyle w:val="BodyText"/>
        <w:widowControl/>
      </w:pPr>
      <w:r>
        <w:t xml:space="preserve">CCT-20’s reconstructed equal-cell mean accuracy is</w:t>
      </w:r>
      <w:r>
        <w:t xml:space="preserve"> </w:t>
      </w:r>
      <m:oMath>
        <m:r>
          <m:t>52.2936</m:t>
        </m:r>
        <m:r>
          <m:rPr>
            <m:sty m:val="p"/>
          </m:rPr>
          <m:t>%</m:t>
        </m:r>
      </m:oMath>
      <w:r>
        <w:t xml:space="preserve"> </w:t>
      </w:r>
      <w:r>
        <w:t xml:space="preserve">for both KGA</w:t>
      </w:r>
      <w:r>
        <w:t xml:space="preserve"> </w:t>
      </w:r>
      <w:r>
        <w:t xml:space="preserve">and freeze, versus</w:t>
      </w:r>
      <w:r>
        <w:t xml:space="preserve"> </w:t>
      </w:r>
      <m:oMath>
        <m:r>
          <m:t>34.1034</m:t>
        </m:r>
        <m:r>
          <m:rPr>
            <m:sty m:val="p"/>
          </m:rPr>
          <m:t>%</m:t>
        </m:r>
      </m:oMath>
      <w:r>
        <w:t xml:space="preserve"> </w:t>
      </w:r>
      <w:r>
        <w:t xml:space="preserve">for adaptation. Its zero ADAPT exposure supports</w:t>
      </w:r>
      <w:r>
        <w:t xml:space="preserve"> </w:t>
      </w:r>
      <w:r>
        <w:t xml:space="preserve">retention, not useful routing. Secondary CCT macro-F1 uses the preserved</w:t>
      </w:r>
      <w:r>
        <w:t xml:space="preserve"> </w:t>
      </w:r>
      <w:r>
        <w:t xml:space="preserve">16-indicator class universe and a zero-denominator value of zero, computed per</w:t>
      </w:r>
      <w:r>
        <w:t xml:space="preserve"> </w:t>
      </w:r>
      <w:r>
        <w:t xml:space="preserve">cell from class counts. It is not interchangeable with official single-label</w:t>
      </w:r>
      <w:r>
        <w:t xml:space="preserve"> </w:t>
      </w:r>
      <w:r>
        <w:t xml:space="preserve">macro-F1 or with F1 recomputed after pooling cells. The invalid historical</w:t>
      </w:r>
      <w:r>
        <w:t xml:space="preserve"> </w:t>
      </w:r>
      <w:r>
        <w:t xml:space="preserve">iWildCam macro-F1 comparison remains withheld.</w:t>
      </w:r>
    </w:p>
    <w:p>
      <w:pPr>
        <w:pStyle w:val="TableCaption"/>
        <w:widowControl/>
      </w:pPr>
      <w:r>
        <w:t xml:space="preserve">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w:t>
      </w:r>
    </w:p>
    <w:tbl>
      <w:tblPr>
        <w:tblStyle w:val="Table"/>
        <w:tblW w:type="dxa" w:w="9960"/>
        <w:jc w:val="left"/>
        <w:tblLayout w:type="fixed"/>
        <w:tblLook w:firstRow="0" w:lastRow="0" w:firstColumn="0" w:lastColumn="0" w:noHBand="0" w:noVBand="0" w:val="0000"/>
        <w:tblCaption w:val="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69"/>
        <w:gridCol w:w="2344"/>
        <w:gridCol w:w="2367"/>
        <w:gridCol w:w="1979"/>
        <w:gridCol w:w="2001"/>
      </w:tblGrid>
      <w:tr>
        <w:trPr>
          <w:cantSplit w:val="true"/>
          <w:tblHeader w:val="true"/>
        </w:trPr>
        <w:tc>
          <w:tcPr>
            <w:tcW w:w="126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2"/>
            <w:tcW w:w="47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Constant-cell radius</w:t>
            </w:r>
          </w:p>
        </w:tc>
        <w:tc>
          <w:tcPr>
            <w:gridSpan w:val="2"/>
            <w:tcW w:w="39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Group-max radius</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3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36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c>
          <w:tcPr>
            <w:tcW w:w="19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00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54.35</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61.90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56.94</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50.51</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32.41</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61.30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45.83</w:t>
            </w:r>
          </w:p>
        </w:tc>
      </w:tr>
      <w:tr>
        <w:trPr>
          <w:cantSplit w:val="true"/>
        </w:trPr>
        <w:tc>
          <w:tcPr>
            <w:tcW w:w="126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3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60.69</w:t>
            </w:r>
          </w:p>
        </w:tc>
        <w:tc>
          <w:tcPr>
            <w:tcW w:w="23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73.19</w:t>
            </w:r>
          </w:p>
        </w:tc>
        <w:tc>
          <w:tcPr>
            <w:tcW w:w="20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61.57</w:t>
            </w:r>
          </w:p>
        </w:tc>
      </w:tr>
    </w:tbl>
    <w:p>
      <w:pPr>
        <w:widowControl/>
      </w:pPr>
    </w:p>
    <w:p>
      <w:pPr>
        <w:pStyle w:val="TableCaption"/>
        <w:widowControl/>
      </w:pPr>
      <w:r>
        <w:t xml:space="preserve">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w:t>
      </w:r>
    </w:p>
    <w:tbl>
      <w:tblPr>
        <w:tblStyle w:val="Table"/>
        <w:tblW w:type="dxa" w:w="9960"/>
        <w:jc w:val="left"/>
        <w:tblLayout w:type="fixed"/>
        <w:tblLook w:firstRow="0" w:lastRow="0" w:firstColumn="0" w:lastColumn="0" w:noHBand="0" w:noVBand="0" w:val="0000"/>
        <w:tblCaption w:val="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39"/>
        <w:gridCol w:w="2110"/>
        <w:gridCol w:w="2088"/>
        <w:gridCol w:w="2044"/>
        <w:gridCol w:w="1239"/>
        <w:gridCol w:w="1240"/>
      </w:tblGrid>
      <w:tr>
        <w:trPr>
          <w:cantSplit w:val="true"/>
          <w:tblHeader w:val="true"/>
        </w:trPr>
        <w:tc>
          <w:tcPr>
            <w:tcW w:w="123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3"/>
            <w:tcW w:w="62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Mean accuracy (%)</w:t>
            </w:r>
          </w:p>
        </w:tc>
        <w:tc>
          <w:tcPr>
            <w:tcW w:w="123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11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c>
          <w:tcPr>
            <w:tcW w:w="208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w:t>
            </w:r>
          </w:p>
        </w:tc>
        <w:tc>
          <w:tcPr>
            <w:tcW w:w="20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KGA</w:t>
            </w:r>
          </w:p>
        </w:tc>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(pp)</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79.8992</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80.0666</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0.1603</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55.8796</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81.1067</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80.9741</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0.1661</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66.2037</w:t>
            </w:r>
          </w:p>
        </w:tc>
      </w:tr>
      <w:tr>
        <w:trPr>
          <w:cantSplit w:val="true"/>
        </w:trPr>
        <w:tc>
          <w:tcPr>
            <w:tcW w:w="123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1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78.6893</w:t>
            </w:r>
          </w:p>
        </w:tc>
        <w:tc>
          <w:tcPr>
            <w:tcW w:w="20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79.3076</w:t>
            </w:r>
          </w:p>
        </w:tc>
        <w:tc>
          <w:tcPr>
            <w:tcW w:w="123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0.1793</w:t>
            </w:r>
          </w:p>
        </w:tc>
        <w:tc>
          <w:tcPr>
            <w:tcW w:w="12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50.6481</w:t>
            </w:r>
          </w:p>
        </w:tc>
      </w:tr>
    </w:tbl>
    <w:p>
      <w:pPr>
        <w:widowControl/>
      </w:pPr>
    </w:p>
    <w:p>
      <w:pPr>
        <w:pStyle w:val="TableCaption"/>
        <w:widowControl/>
      </w:pPr>
      <w:r>
        <w:t xml:space="preserve">Table 51. Retrospective CIFAR Tent sensitivity, scaled calibration minus each comparator in</w:t>
      </w:r>
      <w:r>
        <w:t xml:space="preserve"> </w:t>
      </w:r>
      <m:oMath>
        <m:r>
          <w:rPr>
            <w:sz w:val="17"/>
            <w:szCs w:val="17"/>
          </w:rPr>
          <m:t>100</m:t>
        </m:r>
        <m:sSub>
          <m:e>
            <m:r>
              <w:rPr>
                <w:sz w:val="17"/>
                <w:szCs w:val="17"/>
              </w:rPr>
              <m:t>L</m:t>
            </m:r>
          </m:e>
          <m:sub>
            <m:r>
              <w:rPr>
                <w:sz w:val="17"/>
                <w:szCs w:val="17"/>
              </w:rPr>
              <m:t>5</m:t>
            </m:r>
          </m:sub>
        </m:sSub>
      </m:oMath>
      <w:r>
        <w:t xml:space="preserve"> </w:t>
      </w:r>
      <w:r>
        <w:t xml:space="preserve">percentage points; negative favors scaled calibration. The ranges use 1,000 paired resamples of six historical corruption types and are descriptive, not population confidence guarantees. JPEG is omitted only for the influence diagnostic; all six types remain in the primary estimate.</w:t>
      </w:r>
    </w:p>
    <w:tbl>
      <w:tblPr>
        <w:tblStyle w:val="Table"/>
        <w:tblW w:type="dxa" w:w="9960"/>
        <w:jc w:val="left"/>
        <w:tblLayout w:type="fixed"/>
        <w:tblLook w:firstRow="1" w:lastRow="0" w:firstColumn="0" w:lastColumn="0" w:noHBand="0" w:noVBand="0" w:val="0020"/>
        <w:tblCaption w:val="Table 51. Retrospective CIFAR Tent sensitivity, scaled calibration minus each comparator in 100L_5 percentage points; negative favors scaled calibration. The ranges use 1,000 paired resamples of six historical corruption types and are descriptive, not population confidence guarantees. JPEG is omitted only for the influence diagnostic; all six types remain in the primary estim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06"/>
        <w:gridCol w:w="2004"/>
        <w:gridCol w:w="3534"/>
        <w:gridCol w:w="1716"/>
      </w:tblGrid>
      <w:tr>
        <w:trPr>
          <w:tblHeader w:val="true"/>
          <w:cantSplit w:val="true"/>
        </w:trPr>
        <w:tc>
          <w:tcPr>
            <w:tcW w:w="27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20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difference</w:t>
            </w:r>
          </w:p>
        </w:tc>
        <w:tc>
          <w:tcPr>
            <w:tcW w:w="353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95% descriptive range</w:t>
            </w:r>
          </w:p>
        </w:tc>
        <w:tc>
          <w:tcPr>
            <w:tcW w:w="17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Without JPEG</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Point</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-0.143843</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[-0.428565, 0.138755]</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-0.004889</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Tuned margin</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-0.083495</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[-0.416991, 0.188282]</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0.090889</w:t>
            </w:r>
          </w:p>
        </w:tc>
      </w:tr>
      <w:tr>
        <w:trPr>
          <w:cantSplit w:val="true"/>
        </w:trPr>
        <w:tc>
          <w:tcPr>
            <w:tcW w:w="27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Point, matched exposure</w:t>
            </w:r>
          </w:p>
        </w:tc>
        <w:tc>
          <w:tcPr>
            <w:tcW w:w="200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-0.018148</w:t>
            </w:r>
          </w:p>
        </w:tc>
        <w:tc>
          <w:tcPr>
            <w:tcW w:w="353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[-0.042500, -0.001065]</w:t>
            </w:r>
          </w:p>
        </w:tc>
        <w:tc>
          <w:tcPr>
            <w:tcW w:w="17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-0.006528</w:t>
            </w:r>
          </w:p>
        </w:tc>
      </w:tr>
    </w:tbl>
    <w:bookmarkEnd w:id="200"/>
    <w:bookmarkStart w:id="201" w:name="r.3-scope-of-independent-confirmation"/>
    <w:p>
      <w:pPr>
        <w:pStyle w:val="Heading2"/>
        <w:widowControl/>
      </w:pPr>
      <w:r>
        <w:t xml:space="preserve">R.3 Scope of independent confirmation</w:t>
      </w:r>
    </w:p>
    <w:p>
      <w:pPr>
        <w:pStyle w:val="FirstParagraph"/>
        <w:widowControl/>
      </w:pPr>
      <w:r>
        <w:t xml:space="preserve">No eligible fresh natural-shift study was established by the bounded metadata</w:t>
      </w:r>
      <w:r>
        <w:t xml:space="preserve"> </w:t>
      </w:r>
      <w:r>
        <w:t xml:space="preserve">review. Previously opened environments cannot become fresh by changing a</w:t>
      </w:r>
      <w:r>
        <w:t xml:space="preserve"> </w:t>
      </w:r>
      <w:r>
        <w:t xml:space="preserve">seed. DomainNet’s six domains are insufficient even for the minimum finite</w:t>
      </w:r>
      <w:r>
        <w:t xml:space="preserve"> </w:t>
      </w:r>
      <w:r>
        <w:t xml:space="preserve">90% environment-level split-conformal rank before reserving development and</w:t>
      </w:r>
      <w:r>
        <w:t xml:space="preserve"> </w:t>
      </w:r>
      <w:r>
        <w:t xml:space="preserve">target units; nine calibration units would only satisfy the rank condition,</w:t>
      </w:r>
      <w:r>
        <w:t xml:space="preserve"> </w:t>
      </w:r>
      <w:r>
        <w:t xml:space="preserve">not establish exchangeability or adequate precision. So2Sat’s failed locked</w:t>
      </w:r>
      <w:r>
        <w:t xml:space="preserve"> </w:t>
      </w:r>
      <w:r>
        <w:t xml:space="preserve">screen remains binding and its target remains unscored. These limitations</w:t>
      </w:r>
      <w:r>
        <w:t xml:space="preserve"> </w:t>
      </w:r>
      <w:r>
        <w:t xml:space="preserve">leave useful independent natural-shift routing unresolved. The accompanying</w:t>
      </w:r>
      <w:r>
        <w:t xml:space="preserve"> </w:t>
      </w:r>
      <w:r>
        <w:t xml:space="preserve">eligibility report specifies the population, access-history, sample-size,</w:t>
      </w:r>
      <w:r>
        <w:t xml:space="preserve"> </w:t>
      </w:r>
      <w:r>
        <w:t xml:space="preserve">protocol and cost requirements for a future study.</w:t>
      </w:r>
    </w:p>
    <w:bookmarkEnd w:id="201"/>
    <w:bookmarkEnd w:id="202"/>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121" Type="http://schemas.openxmlformats.org/officeDocument/2006/relationships/image" Target="media/rId121.png"/><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2026-09-23T03:50:39Z</dcterms:created>
  <dcterms:modified xsi:type="dcterms:W3CDTF">2026-09-23T03:50:39Z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lower observed loss for CIFAR Tent at a prespecified utility–harm trade-off, but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