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8.pdf" ContentType="application/pdf"/>
  <Override PartName="/word/media/rId4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a model without new target labels, but an update can help or harm.</w:t>
      </w:r>
      <w:r>
        <w:t xml:space="preserve"> </w:t>
      </w:r>
      <w:r>
        <w:t xml:space="preserve">We ask when the available evidence supports replacing a frozen predictor with a fixed adapted</w:t>
      </w:r>
      <w:r>
        <w:t xml:space="preserve"> </w:t>
      </w:r>
      <w:r>
        <w:t xml:space="preserve">candidate. K-Bound answers this question for a binary population model with a declared bound</w:t>
      </w:r>
      <w:r>
        <w:t xml:space="preserve"> </w:t>
      </w:r>
      <m:oMath>
        <m:r>
          <m:t>β</m:t>
        </m:r>
      </m:oMath>
      <w:r>
        <w:t xml:space="preserve"> </w:t>
      </w:r>
      <w:r>
        <w:t xml:space="preserve">on the target calibration residual. We construct target label laws that preserve all</w:t>
      </w:r>
      <w:r>
        <w:t xml:space="preserve"> </w:t>
      </w:r>
      <w:r>
        <w:t xml:space="preserve">label-free observations and derive the exact feasible interval for paired benefit. A strict</w:t>
      </w:r>
      <w:r>
        <w:t xml:space="preserve"> </w:t>
      </w:r>
      <w:r>
        <w:t xml:space="preserve">decision is supported precisely when</w:t>
      </w:r>
      <w:r>
        <w:t xml:space="preserve"> </w:t>
      </w:r>
      <m:oMath>
        <m:r>
          <m:rPr>
            <m:sty m:val="p"/>
          </m:rPr>
          <m:t>|</m:t>
        </m:r>
        <m:r>
          <m:t>M</m:t>
        </m:r>
        <m:r>
          <m:rPr>
            <m:sty m:val="p"/>
          </m:rPr>
          <m:t>|</m:t>
        </m:r>
        <m:r>
          <m:rPr>
            <m:sty m:val="p"/>
          </m:rPr>
          <m:t>&gt;</m:t>
        </m:r>
        <m:r>
          <m:t>β</m:t>
        </m:r>
      </m:oMath>
      <w:r>
        <w:t xml:space="preserve">; inside the closed band, no strict direction is</w:t>
      </w:r>
      <w:r>
        <w:t xml:space="preserve"> </w:t>
      </w:r>
      <w:r>
        <w:t xml:space="preserve">uniformly justified. We also show why the same observations cannot audit away the unresolved</w:t>
      </w:r>
      <w:r>
        <w:t xml:space="preserve"> </w:t>
      </w:r>
      <w:r>
        <w:t xml:space="preserve">residual bound. Knowability-Guided Adaptation (</w:t>
      </w:r>
      <w:r>
        <w:rPr>
          <w:smallCaps/>
        </w:rPr>
        <w:t xml:space="preserve">KGA</w:t>
      </w:r>
      <w:r>
        <w:t xml:space="preserve">) is an empirical companion, not an implementation</w:t>
      </w:r>
      <w:r>
        <w:t xml:space="preserve"> </w:t>
      </w:r>
      <w:r>
        <w:t xml:space="preserve">of this frontier. It learns to predict observed evaluation-cell benefit from labeled historical</w:t>
      </w:r>
      <w:r>
        <w:t xml:space="preserve"> </w:t>
      </w:r>
      <w:r>
        <w:t xml:space="preserve">outcomes, then uses a residual-based interval to choose ADAPT, FREEZE, or ABSTAIN without new</w:t>
      </w:r>
      <w:r>
        <w:t xml:space="preserve"> </w:t>
      </w:r>
      <w:r>
        <w:t xml:space="preserve">evaluation labels. On an exploratory, cross-fitted CIFAR-10-C panel, Tent and EATA have lower point</w:t>
      </w:r>
      <w:r>
        <w:t xml:space="preserve"> </w:t>
      </w:r>
      <w:r>
        <w:t xml:space="preserve">regret than either fixed policy, while SAR favors always-adapt. On CCT-20, KGA retains frozen</w:t>
      </w:r>
      <w:r>
        <w:t xml:space="preserve"> </w:t>
      </w:r>
      <w:r>
        <w:t xml:space="preserve">predictions and avoids observed degradation from always-adapt, but makes no ADAPT decisions.</w:t>
      </w:r>
      <w:r>
        <w:t xml:space="preserve"> </w:t>
      </w:r>
      <w:r>
        <w:t xml:space="preserve">These results support candidate-specific commitment control; they do not establish interval</w:t>
      </w:r>
      <w:r>
        <w:t xml:space="preserve"> </w:t>
      </w:r>
      <w:r>
        <w:t xml:space="preserve">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Knowability-Guided Adaptation (KGA) is an</w:t>
      </w:r>
      <w:r>
        <w:t xml:space="preserve"> </w:t>
      </w:r>
      <w:r>
        <w:rPr>
          <w:i/>
          <w:iCs/>
        </w:rPr>
        <w:t xml:space="preserve">empirical companion</w:t>
      </w:r>
      <w:r>
        <w:t xml:space="preserve"> </w:t>
      </w:r>
      <w:r>
        <w:t xml:space="preserve">to this analysis. It predicts</w:t>
      </w:r>
      <w:r>
        <w:t xml:space="preserve"> </w:t>
      </w:r>
      <w:r>
        <w:t xml:space="preserve">the observed benefit of a model pair on an evaluation cell and acts only when a residual-based</w:t>
      </w:r>
      <w:r>
        <w:t xml:space="preserve"> </w:t>
      </w:r>
      <w:r>
        <w:t xml:space="preserve">interval excludes zero. KGA is label-free at deployment, not during development and calibration:</w:t>
      </w:r>
      <w:r>
        <w:t xml:space="preserve"> </w:t>
      </w:r>
      <w:r>
        <w:t xml:space="preserve">historical labeled outcomes train the benefit predictor and calibrate its errors. It neither</w:t>
      </w:r>
      <w:r>
        <w:t xml:space="preserve"> </w:t>
      </w:r>
      <w:r>
        <w:t xml:space="preserve">estimates the population residual bound nor implements the population frontier numerically.</w:t>
      </w:r>
      <w:r>
        <w:t xml:space="preserve"> </w:t>
      </w:r>
      <w:r>
        <w:t xml:space="preserve">Section 6.1 explains the common decision logic and the different guarantees.</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The CCT-20 study shows a different behavior: KGA retains frozen predictions and</w:t>
      </w:r>
      <w:r>
        <w:t xml:space="preserve"> </w:t>
      </w:r>
      <w:r>
        <w:t xml:space="preserve">avoids the measured loss from always adapting, but never selects ADAPT. These two studies separate</w:t>
      </w:r>
      <w:r>
        <w:t xml:space="preserve"> </w:t>
      </w:r>
      <w:r>
        <w:t xml:space="preserve">selective routing from conservative retention. The supplementary results retain adverse,</w:t>
      </w:r>
      <w:r>
        <w:t xml:space="preserve"> </w:t>
      </w:r>
      <w:r>
        <w:t xml:space="preserve">incomplete, and withheld studies, so this distinction does not depend on discarding unfavorable</w:t>
      </w:r>
      <w:r>
        <w:t xml:space="preserve"> </w:t>
      </w:r>
      <w:r>
        <w:t xml:space="preserve">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do not establish faithful</w:t>
      </w:r>
      <w:r>
        <w:t xml:space="preserve"> </w:t>
      </w:r>
      <w:r>
        <w:t xml:space="preserve">implementations of the published estimators or controllers. Authenticated native</w:t>
      </w:r>
      <w:r>
        <w:t xml:space="preserve"> </w:t>
      </w:r>
      <w:r>
        <w:t xml:space="preserve">comparisons under a shared protocol remain distinct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w:t>
      </w:r>
      <w:r>
        <w:t xml:space="preserve"> </w:t>
      </w:r>
      <w:r>
        <w:t xml:space="preserve">the paper does not report a synchronized official head-to-head experiment.</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the paper does not report a synchronized official head-to-head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e>
                </m:mr>
              </m:m>
            </m:e>
          </m:borderBox>
        </m:oMath>
      </m:oMathPara>
    </w:p>
    <w:p>
      <w:pPr>
        <w:pStyle w:val="FirstParagraph"/>
        <w:widowControl/>
      </w:pPr>
      <w:r>
        <w:t xml:space="preserve">This equality connects the audit problem to the strict-commitment frontier. It does not turn the</w:t>
      </w:r>
      <w:r>
        <w:t xml:space="preserve"> </w:t>
      </w:r>
      <w:r>
        <w:t xml:space="preserve">declaration into an estimate.</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 These are purchases made with labels or assumptions; they are not consequences of the</w:t>
      </w:r>
      <w:r>
        <w:t xml:space="preserve"> </w:t>
      </w:r>
      <w:r>
        <w:t xml:space="preserve">current unlabeled batch. Detailed rate results and extended constructions belong to the long-form</w:t>
      </w:r>
      <w:r>
        <w:t xml:space="preserve"> </w:t>
      </w:r>
      <w:r>
        <w:t xml:space="preserve">theory record and are not required by the empirical claims here.</w:t>
      </w:r>
    </w:p>
    <w:bookmarkEnd w:id="38"/>
    <w:bookmarkStart w:id="39" w:name="implications-for-k-bound"/>
    <w:p>
      <w:pPr>
        <w:pStyle w:val="Heading2"/>
        <w:widowControl/>
      </w:pPr>
      <w:r>
        <w:t xml:space="preserve">5.6 Implications for K-Bound</w:t>
      </w:r>
    </w:p>
    <w:p>
      <w:pPr>
        <w:pStyle w:val="FirstParagraph"/>
        <w:widowControl/>
      </w:pPr>
      <w:r>
        <w:t xml:space="preserve">KGA does not estimate</w:t>
      </w:r>
      <w:r>
        <w:t xml:space="preserve"> </w:t>
      </w:r>
      <m:oMath>
        <m:r>
          <m:t>β</m:t>
        </m:r>
      </m:oMath>
      <w:r>
        <w:t xml:space="preserve"> </w:t>
      </w:r>
      <w:r>
        <w:t xml:space="preserve">and does not numerically apply</w:t>
      </w:r>
      <w:r>
        <w:t xml:space="preserve"> </w:t>
      </w:r>
      <m:oMath>
        <m:r>
          <m:rPr>
            <m:sty m:val="p"/>
          </m:rPr>
          <m:t>|</m:t>
        </m:r>
        <m:r>
          <m:t>M</m:t>
        </m:r>
        <m:r>
          <m:rPr>
            <m:sty m:val="p"/>
          </m:rPr>
          <m:t>|</m:t>
        </m:r>
        <m:r>
          <m:rPr>
            <m:sty m:val="p"/>
          </m:rPr>
          <m:t>&gt;</m:t>
        </m:r>
        <m:r>
          <m:t>β</m:t>
        </m:r>
      </m:oMath>
      <w:r>
        <w:t xml:space="preserve"> </w:t>
      </w:r>
      <w:r>
        <w:t xml:space="preserve">on the reported real-data</w:t>
      </w:r>
      <w:r>
        <w:t xml:space="preserve"> </w:t>
      </w:r>
      <w:r>
        <w:t xml:space="preserve">benchmarks. Its practical certificate instead places a finite-sample uncertainty radius</w:t>
      </w:r>
      <w:r>
        <w:t xml:space="preserve"> </w:t>
      </w:r>
      <m:oMath>
        <m:r>
          <m:t>ε</m:t>
        </m:r>
      </m:oMath>
      <w:r>
        <w:t xml:space="preserve"> </w:t>
      </w:r>
      <w:r>
        <w:t xml:space="preserve">around the predicted cell benefit</w:t>
      </w:r>
      <w:r>
        <w:t xml:space="preserve"> </w:t>
      </w:r>
      <m:oMath>
        <m:acc>
          <m:accPr>
            <m:chr m:val="̂"/>
          </m:accPr>
          <m:e>
            <m:r>
              <m:rPr>
                <m:sty m:val="p"/>
              </m:rPr>
              <m:t>Δ</m:t>
            </m:r>
          </m:e>
        </m:acc>
      </m:oMath>
      <w:r>
        <w:t xml:space="preserve">. Population benefit</w:t>
      </w:r>
      <w:r>
        <w:t xml:space="preserve"> </w:t>
      </w:r>
      <m:oMath>
        <m:r>
          <m:rPr>
            <m:sty m:val="p"/>
          </m:rPr>
          <m:t>Δ</m:t>
        </m:r>
      </m:oMath>
      <w:r>
        <w:t xml:space="preserve"> </w:t>
      </w:r>
      <w:r>
        <w:t xml:space="preserve">and</w:t>
      </w:r>
      <w:r>
        <w:t xml:space="preserve"> </w:t>
      </w:r>
      <w:r>
        <w:t xml:space="preserve">observed 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concern the same model pair at different levels.</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p>
    <w:bookmarkEnd w:id="39"/>
    <w:bookmarkEnd w:id="40"/>
    <w:bookmarkStart w:id="51" w:name="kga-an-empirical-benefit-interval-gate"/>
    <w:p>
      <w:pPr>
        <w:pStyle w:val="Heading1"/>
        <w:widowControl/>
      </w:pPr>
      <w:r>
        <w:t xml:space="preserve">6 KGA: An Empirical Benefit-Interval Gate</w:t>
      </w:r>
    </w:p>
    <w:bookmarkStart w:id="41" w:name="X589f003ba31d3996d83b97080e3ab9296a9264a"/>
    <w:p>
      <w:pPr>
        <w:pStyle w:val="Heading2"/>
        <w:widowControl/>
      </w:pPr>
      <w:r>
        <w:t xml:space="preserve">6.1 What Transfers from the Population Analysis</w:t>
      </w:r>
    </w:p>
    <w:p>
      <w:pPr>
        <w:pStyle w:val="FirstParagraph"/>
        <w:widowControl/>
      </w:pPr>
      <w:r>
        <w:t xml:space="preserve">KGA is an empirical companion to K-Bound, not an implementation of its population frontier.</w:t>
      </w:r>
      <w:r>
        <w:t xml:space="preserve"> </w:t>
      </w:r>
      <w:r>
        <w:t xml:space="preserve">Both ask whether to accept the same proposed update and both leave unresolved evidence as</w:t>
      </w:r>
      <w:r>
        <w:t xml:space="preserve"> </w:t>
      </w:r>
      <w:r>
        <w:t xml:space="preserve">abstention. Their uncertainty objects differ. 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The observed cell outcome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oMath>
      </m:oMathPara>
    </w:p>
    <w:p>
      <w:pPr>
        <w:pStyle w:val="FirstParagraph"/>
        <w:widowControl/>
      </w:pPr>
      <w:r>
        <w:t xml:space="preserve">and the fitted empirical benefit prediction is</w:t>
      </w:r>
    </w:p>
    <w:p>
      <w:pPr>
        <w:pStyle w:val="BodyText"/>
        <w:widowControl/>
      </w:pPr>
      <m:oMathPara>
        <m:oMathParaPr>
          <m:jc m:val="center"/>
        </m:oMathParaPr>
        <m:oMath>
          <m:acc>
            <m:accPr>
              <m:chr m:val="̂"/>
            </m:accPr>
            <m:e>
              <m:r>
                <m:rPr>
                  <m:sty m:val="p"/>
                </m:rPr>
                <m:t>Δ</m:t>
              </m:r>
            </m:e>
          </m:acc>
          <m:r>
            <m:rPr>
              <m:sty m:val="p"/>
            </m:rPr>
            <m:t>=</m:t>
          </m:r>
          <m:sSub>
            <m:e>
              <m:r>
                <m:t>h</m:t>
              </m:r>
            </m:e>
            <m:sub>
              <m:r>
                <m:t>θ</m:t>
              </m:r>
            </m:sub>
          </m:sSub>
          <m:r>
            <m:rPr>
              <m:sty m:val="p"/>
            </m:rPr>
            <m:t>(</m:t>
          </m:r>
          <m:r>
            <m:t>Z</m:t>
          </m:r>
          <m:r>
            <m:rPr>
              <m:sty m:val="p"/>
            </m:rPr>
            <m:t>)</m:t>
          </m:r>
          <m:r>
            <m:rPr>
              <m:sty m:val="p"/>
            </m:rPr>
            <m:t>.</m:t>
          </m:r>
        </m:oMath>
      </m:oMathPara>
    </w:p>
    <w:p>
      <w:pPr>
        <w:pStyle w:val="FirstParagraph"/>
        <w:widowControl/>
      </w:pPr>
      <w:r>
        <w:t xml:space="preserve">KGA does not estimate</w:t>
      </w:r>
      <w:r>
        <w:t xml:space="preserve"> </w:t>
      </w:r>
      <m:oMath>
        <m:r>
          <m:t>M</m:t>
        </m:r>
      </m:oMath>
      <w:r>
        <w:t xml:space="preserve">,</w:t>
      </w:r>
      <w:r>
        <w:t xml:space="preserve"> </w:t>
      </w:r>
      <m:oMath>
        <m:r>
          <m:t>γ</m:t>
        </m:r>
      </m:oMath>
      <w:r>
        <w:t xml:space="preserve">, or</w:t>
      </w:r>
      <w:r>
        <w:t xml:space="preserve"> </w:t>
      </w:r>
      <m:oMath>
        <m:r>
          <m:t>β</m:t>
        </m:r>
      </m:oMath>
      <w:r>
        <w:t xml:space="preserve">, and does not numerically apply</w:t>
      </w:r>
      <w:r>
        <w:t xml:space="preserve"> </w:t>
      </w:r>
      <m:oMath>
        <m:r>
          <m:rPr>
            <m:sty m:val="p"/>
          </m:rPr>
          <m:t>|</m:t>
        </m:r>
        <m:r>
          <m:t>M</m:t>
        </m:r>
        <m:r>
          <m:rPr>
            <m:sty m:val="p"/>
          </m:rPr>
          <m:t>|</m:t>
        </m:r>
        <m:r>
          <m:rPr>
            <m:sty m:val="p"/>
          </m:rPr>
          <m:t>&gt;</m:t>
        </m:r>
        <m:r>
          <m:t>β</m:t>
        </m:r>
      </m:oMath>
      <w:r>
        <w:t xml:space="preserve">.</w:t>
      </w:r>
      <w:r>
        <w:t xml:space="preserve"> </w:t>
      </w:r>
      <w:r>
        <w:t xml:space="preserve">Its radius</w:t>
      </w:r>
      <w:r>
        <w:t xml:space="preserve"> </w:t>
      </w:r>
      <m:oMath>
        <m:r>
          <m:t>ε</m:t>
        </m:r>
      </m:oMath>
      <w:r>
        <w:t xml:space="preserve"> </w:t>
      </w:r>
      <w:r>
        <w:t xml:space="preserve">describes prediction error for a measured cell outcome, not the range of</w:t>
      </w:r>
      <w:r>
        <w:t xml:space="preserve"> </w:t>
      </w:r>
      <w:r>
        <w:t xml:space="preserve">population benefits compatible with a label-free evidence law.</w:t>
      </w:r>
    </w:p>
    <w:p>
      <w:pPr>
        <w:pStyle w:val="TableCaption"/>
        <w:widowControl/>
      </w:pPr>
      <w:r>
        <w:t xml:space="preserve">Table 4. Correspondence between population theory (K-Bound) and the empirical decision rule (KGA). A shared target functional does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 shared target functional does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33"/>
        <w:gridCol w:w="4959"/>
        <w:gridCol w:w="3968"/>
      </w:tblGrid>
      <w:tr>
        <w:trPr>
          <w:tblHeader w:val="true"/>
          <w:cantSplit w:val="true"/>
        </w:trPr>
        <w:tc>
          <w:tcPr>
            <w:tcW w:w="10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9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the Population Frontier</w:t>
            </w:r>
          </w:p>
        </w:tc>
        <w:tc>
          <w:tcPr>
            <w:tcW w:w="39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KGA</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uniform bound on</w:t>
            </w:r>
            <w:r>
              <w:rPr>
                <w:rFonts w:ascii="Times New Roman" w:hAnsi="Times New Roman"/>
                <w:sz w:val="17"/>
              </w:rPr>
              <w:t xml:space="preserve"> </w:t>
            </w:r>
            <m:oMath>
              <m:r>
                <m:rPr>
                  <m:sty m:val="p"/>
                </m:rPr>
                <m:t>|</m:t>
              </m:r>
              <m:r>
                <m:t>γ</m:t>
              </m:r>
              <m:r>
                <m:rPr>
                  <m:sty m:val="p"/>
                </m:rPr>
                <m:t>|</m:t>
              </m:r>
            </m:oMath>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risk reduction</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Estimand (cell or population)</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Theoretical regression function</w:t>
            </w:r>
            <w:r>
              <w:rPr>
                <w:rFonts w:ascii="Times New Roman" w:hAnsi="Times New Roman"/>
                <w:sz w:val="17"/>
              </w:rPr>
              <w:t xml:space="preserve"> </w:t>
            </w:r>
            <m:oMath>
              <m:r>
                <m:rPr>
                  <m:scr m:val="double-struck"/>
                  <m:sty m:val="p"/>
                </m:rPr>
                <m:t>E</m:t>
              </m:r>
              <m:r>
                <m:rPr>
                  <m:sty m:val="p"/>
                </m:rPr>
                <m:t>[</m:t>
              </m:r>
              <m:r>
                <m:rPr>
                  <m:sty m:val="p"/>
                </m:rPr>
                <m:t>Δ</m:t>
              </m:r>
              <m:r>
                <m:rPr>
                  <m:sty m:val="p"/>
                </m:rPr>
                <m:t>∣</m:t>
              </m:r>
              <m:r>
                <m:t>Z</m:t>
              </m:r>
              <m:r>
                <m:rPr>
                  <m:sty m:val="p"/>
                </m:rPr>
                <m:t>]</m:t>
              </m:r>
            </m:oMath>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(empirical proxy)</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Cell residual radius covering</w:t>
            </w:r>
            <w:r>
              <w:rPr>
                <w:rFonts w:ascii="Times New Roman" w:hAnsi="Times New Roman"/>
                <w:sz w:val="17"/>
              </w:rPr>
              <w:t xml:space="preserve"> </w:t>
            </w: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oMath>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Calibrated conformal quantile</w:t>
            </w:r>
          </w:p>
        </w:tc>
      </w:tr>
      <w:tr>
        <w:trPr>
          <w:cantSplit w:val="true"/>
        </w:trPr>
        <w:tc>
          <w:tcPr>
            <w:tcW w:w="1033"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9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Hoeffding concentration radius for fresh</w:t>
            </w:r>
            <w:r>
              <w:rPr>
                <w:rFonts w:ascii="Times New Roman" w:hAnsi="Times New Roman"/>
                <w:sz w:val="17"/>
              </w:rPr>
              <w:t xml:space="preserve"> </w:t>
            </w:r>
            <m:oMath>
              <m:r>
                <m:t>m</m:t>
              </m:r>
            </m:oMath>
            <w:r>
              <w:rPr>
                <w:rFonts w:ascii="Times New Roman" w:hAnsi="Times New Roman"/>
                <w:sz w:val="17"/>
              </w:rPr>
              <w:t xml:space="preserve"> </w:t>
            </w:r>
            <w:r>
              <w:rPr>
                <w:rFonts w:ascii="Times New Roman" w:hAnsi="Times New Roman"/>
                <w:sz w:val="17"/>
              </w:rPr>
              <w:t>draws</w:t>
            </w:r>
          </w:p>
        </w:tc>
        <w:tc>
          <w:tcPr>
            <w:tcW w:w="39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Population-transfer correction</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establishes what an entire declared family of target worlds permits: if every allowed drift in</w:t>
      </w:r>
      <w:r>
        <w:t xml:space="preserve"> </w:t>
      </w:r>
      <m:oMath>
        <m:sSub>
          <m:e>
            <m:r>
              <m:rPr>
                <m:scr m:val="script"/>
                <m:sty m:val="p"/>
              </m:rPr>
              <m:t>C</m:t>
            </m:r>
          </m:e>
          <m:sub>
            <m:r>
              <m:t>β</m:t>
            </m:r>
          </m:sub>
        </m:sSub>
      </m:oMath>
      <w:r>
        <w:t xml:space="preserve"> </w:t>
      </w:r>
      <w:r>
        <w:t xml:space="preserve">preserves one strict direction (</w:t>
      </w:r>
      <m:oMath>
        <m:r>
          <m:rPr>
            <m:sty m:val="p"/>
          </m:rPr>
          <m:t>|</m:t>
        </m:r>
        <m:r>
          <m:t>M</m:t>
        </m:r>
        <m:r>
          <m:rPr>
            <m:sty m:val="p"/>
          </m:rPr>
          <m:t>|</m:t>
        </m:r>
        <m:r>
          <m:rPr>
            <m:sty m:val="p"/>
          </m:rPr>
          <m:t>&gt;</m:t>
        </m:r>
        <m:r>
          <m:t>β</m:t>
        </m:r>
      </m:oMath>
      <w:r>
        <w:t xml:space="preserve">), that direction is population sound; otherwise the maximal uniform rule must abstain. KGA addresses the realized deployment unit under a separately declared operational transfer model: it predicts the empirical risk difference</w:t>
      </w:r>
      <w:r>
        <w:t xml:space="preserve"> </w:t>
      </w:r>
      <m:oMath>
        <m:sSub>
          <m:e>
            <m:r>
              <m:t>h</m:t>
            </m:r>
          </m:e>
          <m:sub>
            <m:r>
              <m:t>θ</m:t>
            </m:r>
          </m:sub>
        </m:sSub>
        <m:r>
          <m:rPr>
            <m:sty m:val="p"/>
          </m:rPr>
          <m:t>(</m:t>
        </m:r>
        <m:r>
          <m:t>Z</m:t>
        </m:r>
        <m:r>
          <m:rPr>
            <m:sty m:val="p"/>
          </m:rPr>
          <m:t>)</m:t>
        </m:r>
      </m:oMath>
      <w:r>
        <w:t xml:space="preserve"> </w:t>
      </w:r>
      <w:r>
        <w:t xml:space="preserve">and commits only when a calibrated interval excludes zero. The common object is</w:t>
      </w:r>
      <w:r>
        <w:t xml:space="preserve"> </w:t>
      </w:r>
      <m:oMath>
        <m:r>
          <m:rPr>
            <m:sty m:val="p"/>
          </m:rPr>
          <m:t>Δ</m:t>
        </m:r>
      </m:oMath>
      <w:r>
        <w:t xml:space="preserve">; the population theorem brackets it through</w:t>
      </w:r>
      <w:r>
        <w:t xml:space="preserve"> </w:t>
      </w:r>
      <m:oMath>
        <m:r>
          <m:rPr>
            <m:sty m:val="p"/>
          </m:rPr>
          <m:t>(</m:t>
        </m:r>
        <m:r>
          <m:t>M</m:t>
        </m:r>
        <m:r>
          <m:rPr>
            <m:sty m:val="p"/>
          </m:rPr>
          <m:t>,</m:t>
        </m:r>
        <m:r>
          <m:t>γ</m:t>
        </m:r>
        <m:r>
          <m:rPr>
            <m:sty m:val="p"/>
          </m:rPr>
          <m:t>,</m:t>
        </m:r>
        <m:r>
          <m:t>β</m:t>
        </m:r>
        <m:r>
          <m:rPr>
            <m:sty m:val="p"/>
          </m:rPr>
          <m:t>)</m:t>
        </m:r>
      </m:oMath>
      <w:r>
        <w:t xml:space="preserve">, whereas KGA brackets it through</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at the cell level, and through</w:t>
      </w:r>
      <w:r>
        <w:t xml:space="preserve"> </w:t>
      </w:r>
      <m:oMath>
        <m:r>
          <m:rPr>
            <m:sty m:val="p"/>
          </m:rPr>
          <m:t>(</m:t>
        </m:r>
        <m:acc>
          <m:accPr>
            <m:chr m:val="̂"/>
          </m:accPr>
          <m:e>
            <m:r>
              <m:rPr>
                <m:sty m:val="p"/>
              </m:rPr>
              <m:t>Δ</m:t>
            </m:r>
          </m:e>
        </m:acc>
        <m:r>
          <m:rPr>
            <m:sty m:val="p"/>
          </m:rPr>
          <m:t>,</m:t>
        </m:r>
        <m:r>
          <m:t>ε</m:t>
        </m:r>
        <m:r>
          <m:rPr>
            <m:sty m:val="p"/>
          </m:rPr>
          <m:t>+</m:t>
        </m:r>
        <m:r>
          <m:t>b</m:t>
        </m:r>
        <m:r>
          <m:rPr>
            <m:sty m:val="p"/>
          </m:rPr>
          <m:t>)</m:t>
        </m:r>
      </m:oMath>
      <w:r>
        <w:t xml:space="preserve"> </w:t>
      </w:r>
      <w:r>
        <w:t xml:space="preserve">at the population level via Proposition 3 (Theorem 4 in Appendix A.4).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(9)</m:t>
          </m:r>
        </m:oMath>
      </m:oMathPara>
    </w:p>
    <w:p>
      <w:pPr>
        <w:pStyle w:val="FirstParagraph"/>
        <w:widowControl/>
      </w:pPr>
      <w:r>
        <w:t xml:space="preserve">The proposition below concerns this target when this premise holds.</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r>
          <m:rPr>
            <m:sty m:val="p"/>
          </m:rPr>
          <m:t>=</m:t>
        </m:r>
        <m:r>
          <m:t>β</m:t>
        </m:r>
      </m:oMath>
      <w:r>
        <w:t xml:space="preserve"> </w:t>
      </w:r>
      <w:r>
        <w:t xml:space="preserve">is therefore a conceptual category error: it conflates a conditional</w:t>
      </w:r>
      <w:r>
        <w:t xml:space="preserve"> </w:t>
      </w:r>
      <w:r>
        <w:t xml:space="preserve">score residual on the disagreement region with an empirical cell-benefit prediction error.</w:t>
      </w:r>
      <w:r>
        <w:t xml:space="preserve"> </w:t>
      </w:r>
      <w:r>
        <w:t xml:space="preserve">While numerical equality could occur by coincidence, their mathematical definitions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benchmark panels; in particular, when a candidate adapts to evaluation inputs, transductive normalization couples the candidate across batches.</w:t>
      </w:r>
    </w:p>
    <w:p>
      <w:pPr>
        <w:pStyle w:val="BodyText"/>
        <w:widowControl/>
      </w:pPr>
      <w:r>
        <w:t xml:space="preserve">The deterministic action layer for this bridge is now kernel-checked in</w:t>
      </w:r>
      <w:r>
        <w:t xml:space="preserve"> </w:t>
      </w:r>
      <w:r>
        <w:rPr>
          <w:rStyle w:val="VerbatimChar"/>
        </w:rPr>
        <w:t xml:space="preserve">docs/research/kbound/formal/KBound/Population.lean</w:t>
      </w:r>
      <w:r>
        <w:t xml:space="preserve">: an outcome-blind estimate,</w:t>
      </w:r>
      <w:r>
        <w:t xml:space="preserve"> </w:t>
      </w:r>
      <w:r>
        <w:t xml:space="preserve">cell radius, and independently justified sampling radius define the compound interval,</w:t>
      </w:r>
      <w:r>
        <w:t xml:space="preserve"> </w:t>
      </w:r>
      <w:r>
        <w:t xml:space="preserve">and strict ADAPT/FREEZE actions are sound whenever the target benefit is inside that</w:t>
      </w:r>
      <w:r>
        <w:t xml:space="preserve"> </w:t>
      </w:r>
      <w:r>
        <w:t xml:space="preserve">interval. The companion replay interface is</w:t>
      </w:r>
      <w:r>
        <w:t xml:space="preserve"> </w:t>
      </w:r>
      <w:r>
        <w:rPr>
          <w:rStyle w:val="VerbatimChar"/>
        </w:rPr>
        <w:t xml:space="preserve">docs/research/kbound/scripts/run_population_panel.py</w:t>
      </w:r>
      <w:r>
        <w:t xml:space="preserve">; it rejects outcome-dependent</w:t>
      </w:r>
      <w:r>
        <w:t xml:space="preserve"> </w:t>
      </w:r>
      <w:r>
        <w:t xml:space="preserve">inputs and records the input hash. This procedure is available for a benchmark panel.</w:t>
      </w:r>
      <w:r>
        <w:t xml:space="preserve"> </w:t>
      </w:r>
      <w:r>
        <w:t xml:space="preserve">The historical canonical benchmark records do not contain a sealed per-cell tuple of</w:t>
      </w:r>
      <w:r>
        <w:t xml:space="preserve"> </w:t>
      </w:r>
      <w:r>
        <w:t xml:space="preserve">fitted prediction, cell radius, and fresh-sample size, so no population-transfer number</w:t>
      </w:r>
      <w:r>
        <w:t xml:space="preserve"> </w:t>
      </w:r>
      <w:r>
        <w:t xml:space="preserve">is promoted into those tables.</w:t>
      </w:r>
    </w:p>
    <w:bookmarkStart w:id="42" w:name="task-2-theoremcode-reconciliation."/>
    <w:p>
      <w:pPr>
        <w:pStyle w:val="Heading3"/>
        <w:keepNext/>
        <w:widowControl/>
        <w:spacing w:before="100" w:after="20" w:line="252" w:lineRule="auto"/>
      </w:pPr>
      <w:r>
        <w:rPr>
          <w:rFonts w:ascii="Times New Roman" w:hAnsi="Times New Roman" w:eastAsia="Times New Roman" w:cs="Times New Roman"/>
          <w:b/>
          <w:sz w:val="19"/>
        </w:rPr>
        <w:t xml:space="preserve">Task 2 theorem–code reconciliation.</w:t>
      </w:r>
    </w:p>
    <w:p>
      <w:pPr>
        <w:pStyle w:val="FirstParagraph"/>
        <w:widowControl/>
      </w:pPr>
      <w:r>
        <w:t xml:space="preserve">The formal map distinguishes the population and cell-level objects rather than treating</w:t>
      </w:r>
      <w:r>
        <w:t xml:space="preserve"> </w:t>
      </w:r>
      <w:r>
        <w:t xml:space="preserve">the implementation as a proof of the transfer premises. In particular,</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HistoricalExtension.lean</w:t>
      </w:r>
      <w:r>
        <w:t xml:space="preserve"> </w:t>
      </w:r>
      <w:r>
        <w:t xml:space="preserve">proves</w:t>
      </w:r>
      <w:r>
        <w:t xml:space="preserve"> </w:t>
      </w:r>
      <w:r>
        <w:rPr>
          <w:rStyle w:val="VerbatimChar"/>
        </w:rPr>
        <w:t xml:space="preserve">historical_</w:t>
      </w:r>
      <w:r>
        <w:rPr>
          <w:rStyle w:val="VerbatimChar"/>
        </w:rPr>
        <w:t xml:space="preserve">one_bit_</w:t>
      </w:r>
      <w:r>
        <w:rPr>
          <w:rStyle w:val="VerbatimChar"/>
        </w:rPr>
        <w:t xml:space="preserve">decoder_</w:t>
      </w:r>
      <w:r>
        <w:rPr>
          <w:rStyle w:val="VerbatimChar"/>
        </w:rPr>
        <w:t xml:space="preserve">iff_</w:t>
      </w:r>
      <w:r>
        <w:rPr>
          <w:rStyle w:val="VerbatimChar"/>
        </w:rPr>
        <w:t xml:space="preserve">fibre_</w:t>
      </w:r>
      <w:r>
        <w:rPr>
          <w:rStyle w:val="VerbatimChar"/>
        </w:rPr>
        <w:t xml:space="preserve">consistent</w:t>
      </w:r>
      <w:r>
        <w:t xml:space="preserve">: a label-free one-bit</w:t>
      </w:r>
      <w:r>
        <w:t xml:space="preserve"> </w:t>
      </w:r>
      <w:r>
        <w:t xml:space="preserve">decoder exists only when the label is constant on each observable evidence fibre. The</w:t>
      </w:r>
      <w:r>
        <w:t xml:space="preserve"> </w:t>
      </w:r>
      <w:r>
        <w:t xml:space="preserve">stronger historical claim that one representative per swap orbit is sufficient is</w:t>
      </w:r>
      <w:r>
        <w:t xml:space="preserve"> </w:t>
      </w:r>
      <w:r>
        <w:t xml:space="preserve">refuted by the checked counterexample in</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ChannelCounterexample.lean</w:t>
      </w:r>
      <w:r>
        <w:t xml:space="preserve">,</w:t>
      </w:r>
      <w:r>
        <w:t xml:space="preserve"> </w:t>
      </w:r>
      <w:r>
        <w:t xml:space="preserve">not silently promoted to a theorem. The same module formalizes</w:t>
      </w:r>
      <w:r>
        <w:t xml:space="preserve"> </w:t>
      </w:r>
      <w:r>
        <w:rPr>
          <w:rStyle w:val="VerbatimChar"/>
        </w:rPr>
        <w:t xml:space="preserve">h_ratio_rate_transfer</w:t>
      </w:r>
      <w:r>
        <w:t xml:space="preserve"> </w:t>
      </w:r>
      <w:r>
        <w:t xml:space="preserve">only under an explicit episode-level contract</w:t>
      </w:r>
      <w:r>
        <w:t xml:space="preserve"> </w:t>
      </w:r>
      <w:r>
        <w:t xml:space="preserve">(</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w:t>
      </w:r>
      <w:r>
        <w:t xml:space="preserve"> </w:t>
      </w:r>
      <w:r>
        <w:t xml:space="preserve">exchangeability, or establish prospective population provenance. Thus K-Bound’s</w:t>
      </w:r>
      <w:r>
        <w:t xml:space="preserve"> </w:t>
      </w:r>
      <w:r>
        <w:t xml:space="preserve">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distinct, with the population procedure adding</w:t>
      </w:r>
      <w:r>
        <w:t xml:space="preserve"> </w:t>
      </w:r>
      <w:r>
        <w:t xml:space="preserve">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14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strictly zero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14.</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13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12,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wrong-direction error rate (</w:t>
      </w:r>
      <m:oMath>
        <m:sSub>
          <m:e>
            <m:r>
              <m:rPr>
                <m:sty m:val="p"/>
              </m:rPr>
              <m:t>F</m:t>
            </m:r>
            <m:r>
              <m:rPr>
                <m:sty m:val="p"/>
              </m:rPr>
              <m:t>A</m:t>
            </m:r>
          </m:e>
          <m:sub>
            <m:r>
              <m:t>u</m:t>
            </m:r>
          </m:sub>
        </m:sSub>
      </m:oMath>
      <w:r>
        <w:t xml:space="preserve">) with</w:t>
      </w:r>
      <w:r>
        <w:t xml:space="preserve"> </w:t>
      </w:r>
      <m:oMath>
        <m:r>
          <m:t>0</m:t>
        </m:r>
        <m:r>
          <m:rPr>
            <m:sty m:val="p"/>
          </m:rPr>
          <m:t>%</m:t>
        </m:r>
      </m:oMath>
      <w:r>
        <w:t xml:space="preserve"> </w:t>
      </w:r>
      <w:r>
        <w:t xml:space="preserve">abstention;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wrong-direction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strictly zero wrong-direction error (</w:t>
      </w:r>
      <m:oMath>
        <m:r>
          <m:t>0.000</m:t>
        </m:r>
        <m:r>
          <m:rPr>
            <m:sty m:val="p"/>
          </m:rPr>
          <m:t>≤</m:t>
        </m:r>
        <m:sSub>
          <m:e>
            <m:r>
              <m:t>α</m:t>
            </m:r>
          </m:e>
          <m:sub>
            <m:r>
              <m:rPr>
                <m:sty m:val="p"/>
              </m:rPr>
              <m:t>p</m:t>
            </m:r>
            <m:r>
              <m:rPr>
                <m:sty m:val="p"/>
              </m:rPr>
              <m:t>o</m:t>
            </m:r>
            <m:r>
              <m:rPr>
                <m:sty m:val="p"/>
              </m:rPr>
              <m:t>p</m:t>
            </m:r>
          </m:sub>
        </m:sSub>
        <m:r>
          <m:rPr>
            <m:sty m:val="p"/>
          </m:rPr>
          <m:t>=</m:t>
        </m:r>
        <m:r>
          <m:t>0.10</m:t>
        </m:r>
      </m:oMath>
      <w:r>
        <w:t xml:space="preserve">),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effective rank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(10)</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are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is excluded from the pool used to compute its own radius</w:t>
      </w:r>
      <w:r>
        <w:t xml:space="preserve"> </w:t>
      </w:r>
      <m:oMath>
        <m:sSub>
          <m:e>
            <m:r>
              <m:t>ε</m:t>
            </m:r>
          </m:e>
          <m:sub>
            <m:r>
              <m:t>i</m:t>
            </m:r>
          </m:sub>
        </m:sSub>
      </m:oMath>
      <w:r>
        <w:t xml:space="preserve">. However, we distinguish this peer-dependent leave-one-out construction from strict outcome-disjoint evaluation: in peer-dependent LOO,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radius pool through model fitting.</w:t>
      </w:r>
      <w:r>
        <w:t xml:space="preserve"> </w:t>
      </w:r>
      <w:r>
        <w:rPr>
          <w:i/>
          <w:iCs/>
        </w:rPr>
        <w:t xml:space="preserve">Protocol B: Three-way cell-outcome-disjoint cross-fitting</w:t>
      </w:r>
      <w:r>
        <w:t xml:space="preserve"> </w:t>
      </w:r>
      <w:r>
        <w:t xml:space="preserve">(</w:t>
      </w:r>
      <w:r>
        <w:rPr>
          <w:rStyle w:val="VerbatimChar"/>
        </w:rPr>
        <w:t xml:space="preserve">kga.crossfit.controlled_grid_crossfit</w:t>
      </w:r>
      <w:r>
        <w:t xml:space="preserve">, used in the current primary CIFAR table and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(10)</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Comparable end-to-end latency measurements are</w:t>
      </w:r>
      <w:r>
        <w:t xml:space="preserve"> </w:t>
      </w:r>
      <w:r>
        <w:t xml:space="preserve">not available across the recorded tracks.</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replayed on the stored</w:t>
      </w:r>
      <w:r>
        <w:t xml:space="preserve"> </w:t>
      </w:r>
      <w:r>
        <w:t xml:space="preserve">benefit predictions and cell outcomes. For the current canonical replay, the analysis uses</w:t>
      </w:r>
      <w:r>
        <w:t xml:space="preserve"> </w:t>
      </w:r>
      <w:r>
        <w:t xml:space="preserve">three-way 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are not used to regenerate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(11)</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(12)</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1" w:name="primary-results"/>
    <w:p>
      <w:pPr>
        <w:pStyle w:val="Heading1"/>
        <w:widowControl/>
      </w:pPr>
      <w:r>
        <w:t xml:space="preserve">8 Primary Results</w:t>
      </w:r>
    </w:p>
    <w:bookmarkStart w:id="56"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Their current actions are 1,094/334/732 and</w:t>
      </w:r>
      <w:r>
        <w:t xml:space="preserve"> </w:t>
      </w:r>
      <w:r>
        <w:t xml:space="preserve">1,207/118/835, respectively; both have zero observed false adaptations.</w:t>
      </w:r>
      <w:r>
        <w:t xml:space="preserve"> </w:t>
      </w:r>
      <w:r>
        <w:t xml:space="preserve">SAR makes 1,430/0/730 decisions and has regret</w:t>
      </w:r>
      <w:r>
        <w:t xml:space="preserve"> </w:t>
      </w:r>
      <m:oMath>
        <m:r>
          <m:t>0.0017</m:t>
        </m:r>
      </m:oMath>
      <w:r>
        <w:t xml:space="preserve">, versus</w:t>
      </w:r>
      <w:r>
        <w:t xml:space="preserve"> </w:t>
      </w:r>
      <m:oMath>
        <m:r>
          <m:t>0.0003</m:t>
        </m:r>
      </m:oMath>
      <w:r>
        <w:t xml:space="preserve"> </w:t>
      </w:r>
      <w:r>
        <w:t xml:space="preserve">for always-adapt.</w:t>
      </w:r>
      <w:r>
        <w:t xml:space="preserve"> </w:t>
      </w:r>
      <w:r>
        <w:t xml:space="preserve">A gate can avoid harmful updates yet lose opportunities when it abstains.</w:t>
      </w:r>
    </w:p>
    <w:p>
      <w:pPr>
        <w:pStyle w:val="BodyText"/>
        <w:widowControl/>
      </w:pPr>
      <w:r>
        <w:t xml:space="preserve">A historical cluster-bootstrap sensitivity analysis treats each of the five run-seed</w:t>
      </w:r>
      <w:r>
        <w:t xml:space="preserve"> </w:t>
      </w:r>
      <w:r>
        <w:t xml:space="preserve">groups as a resampling unit (</w:t>
      </w:r>
      <m:oMath>
        <m:r>
          <m:t>m</m:t>
        </m:r>
        <m:r>
          <m:rPr>
            <m:sty m:val="p"/>
          </m:rPr>
          <m:t>=</m:t>
        </m:r>
        <m:r>
          <m:t>5</m:t>
        </m:r>
      </m:oMath>
      <w:r>
        <w:t xml:space="preserve"> </w:t>
      </w:r>
      <w:r>
        <w:t xml:space="preserve">groups, 5</w:t>
      </w:r>
      <w:r>
        <w:t xml:space="preserve">,</w:t>
      </w:r>
      <w:r>
        <w:t xml:space="preserve">000 replicates). Distinct source-training</w:t>
      </w:r>
      <w:r>
        <w:t xml:space="preserve"> </w:t>
      </w:r>
      <w:r>
        <w:t xml:space="preserve">checkpoint identities are not established by the inspected replay manifest; this</w:t>
      </w:r>
      <w:r>
        <w:t xml:space="preserve"> </w:t>
      </w:r>
      <w:r>
        <w:t xml:space="preserve">grouping must not be interpreted as independent-model inference. Across seeds 0–4,</w:t>
      </w:r>
      <w:r>
        <w:t xml:space="preserve"> </w:t>
      </w:r>
      <w:r>
        <w:t xml:space="preserve">KGA Tent achieves regret</w:t>
      </w:r>
      <w:r>
        <w:t xml:space="preserve"> </w:t>
      </w:r>
      <m:oMath>
        <m:r>
          <m:rPr>
            <m:sty m:val="p"/>
          </m:rPr>
          <m:t>[</m:t>
        </m:r>
        <m:r>
          <m:t>0.00194</m:t>
        </m:r>
        <m:r>
          <m:rPr>
            <m:sty m:val="p"/>
          </m:rPr>
          <m:t>,</m:t>
        </m:r>
        <m:r>
          <m:t>0.00164</m:t>
        </m:r>
        <m:r>
          <m:rPr>
            <m:sty m:val="p"/>
          </m:rPr>
          <m:t>,</m:t>
        </m:r>
        <m:r>
          <m:t>0.00142</m:t>
        </m:r>
        <m:r>
          <m:rPr>
            <m:sty m:val="p"/>
          </m:rPr>
          <m:t>,</m:t>
        </m:r>
        <m:r>
          <m:t>0.00150</m:t>
        </m:r>
        <m:r>
          <m:rPr>
            <m:sty m:val="p"/>
          </m:rPr>
          <m:t>,</m:t>
        </m:r>
        <m:r>
          <m:t>0.00151</m:t>
        </m:r>
        <m:r>
          <m:rPr>
            <m:sty m:val="p"/>
          </m:rPr>
          <m:t>]</m:t>
        </m:r>
      </m:oMath>
      <w:r>
        <w:t xml:space="preserve">, consistently outperforming</w:t>
      </w:r>
      <w:r>
        <w:t xml:space="preserve"> </w:t>
      </w:r>
      <w:r>
        <w:t xml:space="preserve">Always Adapt (regret</w:t>
      </w:r>
      <w:r>
        <w:t xml:space="preserve"> </w:t>
      </w:r>
      <m:oMath>
        <m:r>
          <m:rPr>
            <m:sty m:val="p"/>
          </m:rPr>
          <m:t>[</m:t>
        </m:r>
        <m:r>
          <m:t>0.01098</m:t>
        </m:r>
        <m:r>
          <m:rPr>
            <m:sty m:val="p"/>
          </m:rPr>
          <m:t>,</m:t>
        </m:r>
        <m:r>
          <m:t>0.01105</m:t>
        </m:r>
        <m:r>
          <m:rPr>
            <m:sty m:val="p"/>
          </m:rPr>
          <m:t>,</m:t>
        </m:r>
        <m:r>
          <m:t>0.00729</m:t>
        </m:r>
        <m:r>
          <m:rPr>
            <m:sty m:val="p"/>
          </m:rPr>
          <m:t>,</m:t>
        </m:r>
        <m:r>
          <m:t>0.00783</m:t>
        </m:r>
        <m:r>
          <m:rPr>
            <m:sty m:val="p"/>
          </m:rPr>
          <m:t>,</m:t>
        </m:r>
        <m:r>
          <m:t>0.00744</m:t>
        </m:r>
        <m:r>
          <m:rPr>
            <m:sty m:val="p"/>
          </m:rPr>
          <m:t>]</m:t>
        </m:r>
      </m:oMath>
      <w:r>
        <w:t xml:space="preserve">, with pairwise regret reductions</w:t>
      </w:r>
      <w:r>
        <w:t xml:space="preserve"> </w:t>
      </w:r>
      <w:r>
        <w:t xml:space="preserve">of</w:t>
      </w:r>
      <w:r>
        <w:t xml:space="preserve"> </w:t>
      </w:r>
      <m:oMath>
        <m:r>
          <m:rPr>
            <m:sty m:val="p"/>
          </m:rPr>
          <m:t>+</m:t>
        </m:r>
        <m:r>
          <m:t>0.00903</m:t>
        </m:r>
        <m:r>
          <m:rPr>
            <m:sty m:val="p"/>
          </m:rPr>
          <m:t>,</m:t>
        </m:r>
        <m:r>
          <m:rPr>
            <m:sty m:val="p"/>
          </m:rPr>
          <m:t>+</m:t>
        </m:r>
        <m:r>
          <m:t>0.00941</m:t>
        </m:r>
        <m:r>
          <m:rPr>
            <m:sty m:val="p"/>
          </m:rPr>
          <m:t>,</m:t>
        </m:r>
        <m:r>
          <m:rPr>
            <m:sty m:val="p"/>
          </m:rPr>
          <m:t>+</m:t>
        </m:r>
        <m:r>
          <m:t>0.00587</m:t>
        </m:r>
        <m:r>
          <m:rPr>
            <m:sty m:val="p"/>
          </m:rPr>
          <m:t>,</m:t>
        </m:r>
        <m:r>
          <m:rPr>
            <m:sty m:val="p"/>
          </m:rPr>
          <m:t>+</m:t>
        </m:r>
        <m:r>
          <m:t>0.00633</m:t>
        </m:r>
        <m:r>
          <m:rPr>
            <m:sty m:val="p"/>
          </m:rPr>
          <m:t>,</m:t>
        </m:r>
        <m:r>
          <m:rPr>
            <m:sty m:val="p"/>
          </m:rPr>
          <m:t>+</m:t>
        </m:r>
        <m:r>
          <m:t>0.00593</m:t>
        </m:r>
      </m:oMath>
      <w:r>
        <w:t xml:space="preserve">) and Always Freeze (regret</w:t>
      </w:r>
      <w:r>
        <w:t xml:space="preserve"> </w:t>
      </w:r>
      <m:oMath>
        <m:r>
          <m:rPr>
            <m:sty m:val="p"/>
          </m:rPr>
          <m:t>[</m:t>
        </m:r>
        <m:r>
          <m:t>0.12164</m:t>
        </m:r>
        <m:r>
          <m:rPr>
            <m:sty m:val="p"/>
          </m:rPr>
          <m:t>,</m:t>
        </m:r>
        <m:r>
          <m:t>0.12059</m:t>
        </m:r>
        <m:r>
          <m:rPr>
            <m:sty m:val="p"/>
          </m:rPr>
          <m:t>,</m:t>
        </m:r>
        <m:r>
          <m:t>0.12365</m:t>
        </m:r>
        <m:r>
          <m:rPr>
            <m:sty m:val="p"/>
          </m:rPr>
          <m:t>,</m:t>
        </m:r>
        <m:r>
          <m:t>0.12398</m:t>
        </m:r>
        <m:r>
          <m:rPr>
            <m:sty m:val="p"/>
          </m:rPr>
          <m:t>,</m:t>
        </m:r>
        <m:r>
          <m:t>0.12457</m:t>
        </m:r>
        <m:r>
          <m:rPr>
            <m:sty m:val="p"/>
          </m:rPr>
          <m:t>]</m:t>
        </m:r>
      </m:oMath>
      <w:r>
        <w:t xml:space="preserve">, with pairwise reductions of</w:t>
      </w:r>
      <w:r>
        <w:t xml:space="preserve"> </w:t>
      </w:r>
      <m:oMath>
        <m:r>
          <m:rPr>
            <m:sty m:val="p"/>
          </m:rPr>
          <m:t>+</m:t>
        </m:r>
        <m:r>
          <m:t>0.11970</m:t>
        </m:r>
        <m:r>
          <m:rPr>
            <m:sty m:val="p"/>
          </m:rPr>
          <m:t>,</m:t>
        </m:r>
        <m:r>
          <m:rPr>
            <m:sty m:val="p"/>
          </m:rPr>
          <m:t>+</m:t>
        </m:r>
        <m:r>
          <m:t>0.11894</m:t>
        </m:r>
        <m:r>
          <m:rPr>
            <m:sty m:val="p"/>
          </m:rPr>
          <m:t>,</m:t>
        </m:r>
        <m:r>
          <m:rPr>
            <m:sty m:val="p"/>
          </m:rPr>
          <m:t>+</m:t>
        </m:r>
        <m:r>
          <m:t>0.12223</m:t>
        </m:r>
        <m:r>
          <m:rPr>
            <m:sty m:val="p"/>
          </m:rPr>
          <m:t>,</m:t>
        </m:r>
        <m:r>
          <m:rPr>
            <m:sty m:val="p"/>
          </m:rPr>
          <m:t>+</m:t>
        </m:r>
        <m:r>
          <m:t>0.12248</m:t>
        </m:r>
        <m:r>
          <m:rPr>
            <m:sty m:val="p"/>
          </m:rPr>
          <m:t>,</m:t>
        </m:r>
        <m:r>
          <m:rPr>
            <m:sty m:val="p"/>
          </m:rPr>
          <m:t>+</m:t>
        </m:r>
        <m:r>
          <m:t>0.12306</m:t>
        </m:r>
      </m:oMath>
      <w:r>
        <w:t xml:space="preserve">). Over all seeds, KGA Tent’s regret advantage over always-adapt has a cluster-bootstrap 95%</w:t>
      </w:r>
      <w:r>
        <w:t xml:space="preserve"> </w:t>
      </w:r>
      <w:r>
        <w:t xml:space="preserve">interval of</w:t>
      </w:r>
      <w:r>
        <w:t xml:space="preserve"> </w:t>
      </w:r>
      <m:oMath>
        <m:r>
          <m:rPr>
            <m:sty m:val="p"/>
          </m:rPr>
          <m:t>[</m:t>
        </m:r>
        <m:r>
          <m:rPr>
            <m:sty m:val="p"/>
          </m:rPr>
          <m:t>+</m:t>
        </m:r>
        <m:r>
          <m:t>0.006</m:t>
        </m:r>
        <m:r>
          <m:rPr>
            <m:sty m:val="p"/>
          </m:rPr>
          <m:t>,</m:t>
        </m:r>
        <m:r>
          <m:t> </m:t>
        </m:r>
        <m:r>
          <m:rPr>
            <m:sty m:val="p"/>
          </m:rPr>
          <m:t>+</m:t>
        </m:r>
        <m:r>
          <m:t>0.009</m:t>
        </m:r>
        <m:r>
          <m:rPr>
            <m:sty m:val="p"/>
          </m:rPr>
          <m:t>]</m:t>
        </m:r>
      </m:oMath>
      <w:r>
        <w:t xml:space="preserve">, and over always-freeze of</w:t>
      </w:r>
      <w:r>
        <w:t xml:space="preserve"> </w:t>
      </w:r>
      <m:oMath>
        <m:r>
          <m:rPr>
            <m:sty m:val="p"/>
          </m:rPr>
          <m:t>[</m:t>
        </m:r>
        <m:r>
          <m:rPr>
            <m:sty m:val="p"/>
          </m:rPr>
          <m:t>+</m:t>
        </m:r>
        <m:r>
          <m:t>0.120</m:t>
        </m:r>
        <m:r>
          <m:rPr>
            <m:sty m:val="p"/>
          </m:rPr>
          <m:t>,</m:t>
        </m:r>
        <m:r>
          <m:t> </m:t>
        </m:r>
        <m:r>
          <m:rPr>
            <m:sty m:val="p"/>
          </m:rPr>
          <m:t>+</m:t>
        </m:r>
        <m:r>
          <m:t>0.123</m:t>
        </m:r>
        <m:r>
          <m:rPr>
            <m:sty m:val="p"/>
          </m:rPr>
          <m:t>]</m:t>
        </m:r>
      </m:oMath>
      <w:r>
        <w:t xml:space="preserve">; both exclude zero in the</w:t>
      </w:r>
      <w:r>
        <w:t xml:space="preserve"> </w:t>
      </w:r>
      <w:r>
        <w:t xml:space="preserve">favorable direction, with all 5</w:t>
      </w:r>
      <w:r>
        <w:t xml:space="preserve">,</w:t>
      </w:r>
      <w:r>
        <w:t xml:space="preserve">000 bootstrap replicates exhibiting positive advantage (</w:t>
      </w:r>
      <m:oMath>
        <m:sSup>
          <m:e>
            <m:r>
              <m:rPr>
                <m:scr m:val="double-struck"/>
                <m:sty m:val="p"/>
              </m:rPr>
              <m:t>P</m:t>
            </m:r>
          </m:e>
          <m:sup>
            <m:r>
              <m:rPr>
                <m:sty m:val="p"/>
              </m:rPr>
              <m:t>*</m:t>
            </m:r>
          </m:sup>
        </m:sSup>
        <m:r>
          <m:rPr>
            <m:sty m:val="p"/>
          </m:rPr>
          <m:t>(</m:t>
        </m:r>
        <m:r>
          <m:rPr>
            <m:nor/>
            <m:sty m:val="p"/>
          </m:rPr>
          <m:t>gap</m:t>
        </m:r>
        <m:r>
          <m:rPr>
            <m:sty m:val="p"/>
          </m:rPr>
          <m:t>&gt;</m:t>
        </m:r>
        <m:r>
          <m:t>0</m:t>
        </m:r>
        <m:r>
          <m:rPr>
            <m:sty m:val="p"/>
          </m:rPr>
          <m:t>)</m:t>
        </m:r>
        <m:r>
          <m:rPr>
            <m:sty m:val="p"/>
          </m:rPr>
          <m:t>=</m:t>
        </m:r>
        <m:r>
          <m:t>1.0</m:t>
        </m:r>
      </m:oMath>
      <w:r>
        <w:t xml:space="preserve">,</w:t>
      </w:r>
      <w:r>
        <w:t xml:space="preserve"> </w:t>
      </w:r>
      <w:r>
        <w:t xml:space="preserve">one-sided bootstrap replication probability, empirical</w:t>
      </w:r>
      <w:r>
        <w:t xml:space="preserve"> </w:t>
      </w:r>
      <m:oMath>
        <m:sSup>
          <m:e>
            <m:r>
              <m:t>p</m:t>
            </m:r>
          </m:e>
          <m:sup>
            <m:r>
              <m:rPr>
                <m:sty m:val="p"/>
              </m:rPr>
              <m:t>*</m:t>
            </m:r>
          </m:sup>
        </m:sSup>
        <m:r>
          <m:rPr>
            <m:sty m:val="p"/>
          </m:rPr>
          <m:t>&lt;</m:t>
        </m:r>
        <m:r>
          <m:t>0.0002</m:t>
        </m:r>
      </m:oMath>
      <w:r>
        <w:t xml:space="preserve">). These reported</w:t>
      </w:r>
      <w:r>
        <w:t xml:space="preserve"> </w:t>
      </w:r>
      <w:r>
        <w:t xml:space="preserve">historical group-resampling intervals do not establish independent-checkpoint or</w:t>
      </w:r>
      <w:r>
        <w:t xml:space="preserve"> </w:t>
      </w:r>
      <w:r>
        <w:t xml:space="preserve">confirmatory superiority. Zero false adaptations on the recorded cells</w:t>
      </w:r>
      <w:r>
        <w:t xml:space="preserve"> </w:t>
      </w:r>
      <w:r>
        <w:t xml:space="preserve">(</w:t>
      </w:r>
      <m:oMath>
        <m:sSub>
          <m:e>
            <m:r>
              <m:rPr>
                <m:sty m:val="p"/>
              </m:rPr>
              <m:t>F</m:t>
            </m:r>
            <m:r>
              <m:rPr>
                <m:sty m:val="p"/>
              </m:rPr>
              <m:t>A</m:t>
            </m:r>
          </m:e>
          <m:sub>
            <m:r>
              <m:rPr>
                <m:sty m:val="p"/>
              </m:rPr>
              <m:t>u</m:t>
            </m:r>
          </m:sub>
        </m:sSub>
        <m:r>
          <m:rPr>
            <m:sty m:val="p"/>
          </m:rPr>
          <m:t>=</m:t>
        </m:r>
        <m:r>
          <m:t>0.000</m:t>
        </m:r>
      </m:oMath>
      <w:r>
        <w:t xml:space="preserve">) is an empirical count, not a population guarantee.</w:t>
      </w:r>
      <w:r>
        <w:t xml:space="preserve"> </w:t>
      </w:r>
      <w:r>
        <w:t xml:space="preserve">Corruption-family sensitivity breakdowns appear in Table 24.</w:t>
      </w:r>
    </w:p>
    <w:bookmarkEnd w:id="56"/>
    <w:bookmarkStart w:id="57"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separately, together with full interval width. The calculation replays the current order-statistic</w:t>
      </w:r>
      <w:r>
        <w:t xml:space="preserve"> </w:t>
      </w:r>
      <w:r>
        <w:t xml:space="preserve">rule from saved predictions and already-opened cell outcomes; it does not reuse historical</w:t>
      </w:r>
      <w:r>
        <w:t xml:space="preserve"> </w:t>
      </w:r>
      <w:r>
        <w:t xml:space="preserve">stored actions or radii.</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The same collection supplies overlapping leave-one-out residual pools, so pooled inclusion is</w:t>
      </w:r>
      <w:r>
        <w:t xml:space="preserve"> </w:t>
      </w:r>
      <w:r>
        <w:t xml:space="preserve">rank-constrained and is not independent validation of next-environment coverage.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The same collection supplies overlapping leave-one-out residual pools, so pooled inclusion is rank-constrained and is not independent validation of next-environment coverage.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The nominal target is not a verified coverage guarantee for these dependent cells.</w:t>
      </w:r>
      <w:r>
        <w:t xml:space="preserve"> </w:t>
      </w:r>
      <w:r>
        <w:t xml:space="preserve">Inclusion near 90% can follow from the rank procedure itself, even when transfer to a new family</w:t>
      </w:r>
      <w:r>
        <w:t xml:space="preserve"> </w:t>
      </w:r>
      <w:r>
        <w:t xml:space="preserve">is poor. Family differences are useful diagnostics, but independent held-out-family,</w:t>
      </w:r>
      <w:r>
        <w:t xml:space="preserve"> </w:t>
      </w:r>
      <w:r>
        <w:t xml:space="preserve">checkpoint, and natural-environment coverage remains a separate test.</w:t>
      </w:r>
    </w:p>
    <w:p>
      <w:pPr>
        <w:pStyle w:val="BodyText"/>
        <w:widowControl/>
      </w:pPr>
      <w:r>
        <w:t xml:space="preserve">Observed inclusion rates closely track the 90% nominal level: Tent includes 1,954 of 2,160 outcomes</w:t>
      </w:r>
      <w:r>
        <w:t xml:space="preserve"> </w:t>
      </w:r>
      <w:r>
        <w:t xml:space="preserve">(90.46%), EATA includes 1,957 (90.60%), and SAR includes 1,933 (89.49%). Zero observed false adaptations</w:t>
      </w:r>
      <w:r>
        <w:t xml:space="preserve"> </w:t>
      </w:r>
      <w:r>
        <w:t xml:space="preserve">do not imply zero directional errors overall: EATA commits one false FREEZE among 118 FREEZE decisions</w:t>
      </w:r>
      <w:r>
        <w:t xml:space="preserve"> </w:t>
      </w:r>
      <w:r>
        <w:t xml:space="preserve">(</w:t>
      </w:r>
      <m:oMath>
        <m:sSub>
          <m:e>
            <m:r>
              <m:rPr>
                <m:sty m:val="p"/>
              </m:rPr>
              <m:t>F</m:t>
            </m:r>
            <m:r>
              <m:rPr>
                <m:sty m:val="p"/>
              </m:rPr>
              <m:t>F</m:t>
            </m:r>
          </m:e>
          <m:sub>
            <m:r>
              <m:t>c</m:t>
            </m:r>
          </m:sub>
        </m:sSub>
        <m:r>
          <m:rPr>
            <m:sty m:val="p"/>
          </m:rPr>
          <m:t>=</m:t>
        </m:r>
        <m:r>
          <m:t>0.0085</m:t>
        </m:r>
      </m:oMath>
      <w:r>
        <w:t xml:space="preserve">), occurring in the Gaussian-noise family (1 error among 1 FREEZE decision). Tent</w:t>
      </w:r>
      <w:r>
        <w:t xml:space="preserve"> </w:t>
      </w:r>
      <w:r>
        <w:t xml:space="preserve">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w:t>
      </w:r>
      <m:oMath>
        <m:sSub>
          <m:e>
            <m:r>
              <m:rPr>
                <m:sty m:val="p"/>
              </m:rPr>
              <m:t>F</m:t>
            </m:r>
            <m:r>
              <m:rPr>
                <m:sty m:val="p"/>
              </m:rPr>
              <m:t>F</m:t>
            </m:r>
          </m:e>
          <m:sub>
            <m:r>
              <m:t>c</m:t>
            </m:r>
          </m:sub>
        </m:sSub>
      </m:oMath>
      <w:r>
        <w:t xml:space="preserve"> </w:t>
      </w:r>
      <w:r>
        <w:t xml:space="preserve">undefined) and one false ADAPT among 1,430 ADAPT decisions</w:t>
      </w:r>
      <w:r>
        <w:t xml:space="preserve"> </w:t>
      </w:r>
      <w:r>
        <w:t xml:space="preserve">(</w:t>
      </w:r>
      <m:oMath>
        <m:sSub>
          <m:e>
            <m:r>
              <m:rPr>
                <m:sty m:val="p"/>
              </m:rPr>
              <m:t>F</m:t>
            </m:r>
            <m:r>
              <m:rPr>
                <m:sty m:val="p"/>
              </m:rPr>
              <m:t>A</m:t>
            </m:r>
          </m:e>
          <m:sub>
            <m:r>
              <m:t>c</m:t>
            </m:r>
          </m:sub>
        </m:sSub>
        <m:r>
          <m:rPr>
            <m:sty m:val="p"/>
          </m:rPr>
          <m:t>=</m:t>
        </m:r>
        <m:r>
          <m:t>0.0007</m:t>
        </m:r>
      </m:oMath>
      <w:r>
        <w:t xml:space="preserve">, occurring in pixelate). These denominators matter more than a pooled near-nominal</w:t>
      </w:r>
      <w:r>
        <w:t xml:space="preserve"> </w:t>
      </w:r>
      <w:r>
        <w:t xml:space="preserve">inclusion fraction alone.</w:t>
      </w:r>
    </w:p>
    <w:bookmarkEnd w:id="57"/>
    <w:bookmarkStart w:id="58" w:name="X263277f01fe1bec7cb727d812c392382a529493"/>
    <w:p>
      <w:pPr>
        <w:pStyle w:val="Heading2"/>
        <w:widowControl/>
      </w:pPr>
      <w:r>
        <w:t xml:space="preserve">8.3 Synchronized Development Baseline Comparison</w:t>
      </w:r>
    </w:p>
    <w:p>
      <w:pPr>
        <w:pStyle w:val="FirstParagraph"/>
        <w:widowControl/>
      </w:pPr>
      <w:r>
        <w:t xml:space="preserve">Table 9 is regenerated from the authenticated</w:t>
      </w:r>
      <w:r>
        <w:t xml:space="preserve"> </w:t>
      </w:r>
      <w:r>
        <w:t xml:space="preserve">current CIFAR-10-C Tent authority: 432 conditions in each of five run-seed</w:t>
      </w:r>
      <w:r>
        <w:t xml:space="preserve"> </w:t>
      </w:r>
      <w:r>
        <w:t xml:space="preserve">groups, with equal weight on all 2,160 rows. These are stream/adaptation</w:t>
      </w:r>
      <w:r>
        <w:t xml:space="preserve"> </w:t>
      </w:r>
      <w:r>
        <w:t xml:space="preserve">repetitions, not authenticated independently trained source models. Every rule</w:t>
      </w:r>
      <w:r>
        <w:t xml:space="preserve"> </w:t>
      </w:r>
      <w:r>
        <w:t xml:space="preserve">uses the same saved frozen/candidate scores and candidate-specific oracle.</w:t>
      </w:r>
      <w:r>
        <w:t xml:space="preserve"> </w:t>
      </w:r>
      <w:r>
        <w:t xml:space="preserve">Confidence increase and entropy decrease are fixed scalar rules, not renamed</w:t>
      </w:r>
      <w:r>
        <w:t xml:space="preserve"> </w:t>
      </w:r>
      <w:r>
        <w:t xml:space="preserve">AETTA or POEM implementations. The point-benefit rule and KGA share exactly the</w:t>
      </w:r>
      <w:r>
        <w:t xml:space="preserve"> </w:t>
      </w:r>
      <w:r>
        <w:t xml:space="preserve">same fitted predictions; only the decision rule differs.</w:t>
      </w:r>
    </w:p>
    <w:p>
      <w:pPr>
        <w:pStyle w:val="BodyText"/>
        <w:widowControl/>
      </w:pPr>
      <w:r>
        <w:t xml:space="preserve">The current gate uses Protocol B: five deterministic score folds per run-seed</w:t>
      </w:r>
      <w:r>
        <w:t xml:space="preserve"> </w:t>
      </w:r>
      <w:r>
        <w:t xml:space="preserve">group, with 241 or 242 estimator-fit records and 104 separate residual-calibration</w:t>
      </w:r>
      <w:r>
        <w:t xml:space="preserve"> </w:t>
      </w:r>
      <w:r>
        <w:t xml:space="preserve">records per fold. At</w:t>
      </w:r>
      <w:r>
        <w:t xml:space="preserve"> </w:t>
      </w:r>
      <m:oMath>
        <m:r>
          <m:t>α</m:t>
        </m:r>
        <m:r>
          <m:rPr>
            <m:sty m:val="p"/>
          </m:rPr>
          <m:t>=</m:t>
        </m:r>
        <m:r>
          <m:t>0.10</m:t>
        </m:r>
      </m:oMath>
      <w:r>
        <w:t xml:space="preserve">, the calibration rank is 95. The original</w:t>
      </w:r>
      <w:r>
        <w:t xml:space="preserve"> </w:t>
      </w:r>
      <w:r>
        <w:t xml:space="preserve">literal candidate/seed/condition identifiers and GBR settings are retained.</w:t>
      </w:r>
      <w:r>
        <w:t xml:space="preserve"> </w:t>
      </w:r>
      <w:r>
        <w:t xml:space="preserve">A pinned-runtime replay reproduced every prediction, radius and action for all</w:t>
      </w:r>
      <w:r>
        <w:t xml:space="preserve"> </w:t>
      </w:r>
      <w:r>
        <w:t xml:space="preserve">five groups. In five additional full-pipeline checks, changing the first scored</w:t>
      </w:r>
      <w:r>
        <w:t xml:space="preserve"> </w:t>
      </w:r>
      <w:r>
        <w:t xml:space="preserve">cell’s candidate accuracy to zero (one intervention per group) left its prediction,</w:t>
      </w:r>
      <w:r>
        <w:t xml:space="preserve"> </w:t>
      </w:r>
      <w:r>
        <w:t xml:space="preserve">radius, zero decision threshold and action unchanged. These checks begin with</w:t>
      </w:r>
      <w:r>
        <w:t xml:space="preserve"> </w:t>
      </w:r>
      <w:r>
        <w:t xml:space="preserve">saved features; they are not upstream label-independence or environment-held-out</w:t>
      </w:r>
      <w:r>
        <w:t xml:space="preserve"> </w:t>
      </w:r>
      <w:r>
        <w:t xml:space="preserve">tests.</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 not interval coverage.</w:t>
      </w:r>
      <w:r>
        <w:t xml:space="preserve"> </w:t>
      </w:r>
      <w:r>
        <w:t xml:space="preserve">No native external method or prospective significance claim is included.</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not interval coverage. No native external method or prospective significance claim is includ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has lower point regret than either fixed policy on these records, but</w:t>
      </w:r>
      <w:r>
        <w:t xml:space="preserve"> </w:t>
      </w:r>
      <w:r>
        <w:t xml:space="preserve">the same-prediction point gate has lower regret than KGA. The latter commits</w:t>
      </w:r>
      <w:r>
        <w:t xml:space="preserve"> </w:t>
      </w:r>
      <w:r>
        <w:t xml:space="preserve">88 non-positive adaptations out of 2,160 rows, whereas KGA commits none while</w:t>
      </w:r>
      <w:r>
        <w:t xml:space="preserve"> </w:t>
      </w:r>
      <w:r>
        <w:t xml:space="preserve">abstaining on 732 rows. This is an observed accuracy–commitment trade-off,</w:t>
      </w:r>
      <w:r>
        <w:t xml:space="preserve"> </w:t>
      </w:r>
      <w:r>
        <w:t xml:space="preserve">not proof of future directional safety or superiority to a separately tuned</w:t>
      </w:r>
      <w:r>
        <w:t xml:space="preserve"> </w:t>
      </w:r>
      <w:r>
        <w:t xml:space="preserve">abstaining threshold rule. No bootstrap intervals from the superseded table</w:t>
      </w:r>
      <w:r>
        <w:t xml:space="preserve"> </w:t>
      </w:r>
      <w:r>
        <w:t xml:space="preserve">are transferred to this regenerated comparison.</w:t>
      </w:r>
    </w:p>
    <w:p>
      <w:pPr>
        <w:pStyle w:val="BodyText"/>
        <w:widowControl/>
      </w:pPr>
      <w:r>
        <w:t xml:space="preserve">The earlier synchronized and P4 threshold tables are retained in the repository</w:t>
      </w:r>
      <w:r>
        <w:t xml:space="preserve"> </w:t>
      </w:r>
      <w:r>
        <w:t xml:space="preserve">as unpromoted historical text, not as current comparative evidence. Their</w:t>
      </w:r>
      <w:r>
        <w:t xml:space="preserve"> </w:t>
      </w:r>
      <w:r>
        <w:t xml:space="preserve">printed fixed-policy regrets do not match the inspected paired arrays, and the</w:t>
      </w:r>
      <w:r>
        <w:t xml:space="preserve"> </w:t>
      </w:r>
      <w:r>
        <w:t xml:space="preserve">previously cited aggressive archive contains 270 rather than 432 conditions per</w:t>
      </w:r>
      <w:r>
        <w:t xml:space="preserve"> </w:t>
      </w:r>
      <w:r>
        <w:t xml:space="preserve">seed. The streaming-versus-episodic explanation is therefore withdrawn for</w:t>
      </w:r>
      <w:r>
        <w:t xml:space="preserve"> </w:t>
      </w:r>
      <w:r>
        <w:t xml:space="preserve">these authorities. The source audit, exact-replay receipt and generated per-cell</w:t>
      </w:r>
      <w:r>
        <w:t xml:space="preserve"> </w:t>
      </w:r>
      <w:r>
        <w:t xml:space="preserve">policy records are indexed in</w:t>
      </w:r>
      <w:r>
        <w:t xml:space="preserve"> </w:t>
      </w:r>
      <w:r>
        <w:t xml:space="preserve">Appendix N.</w:t>
      </w:r>
      <w:r>
        <w:t xml:space="preserve"> </w:t>
      </w:r>
      <w:r>
        <w:t xml:space="preserve">Authenticated native TTA/ALine [51], AETTA [18]</w:t>
      </w:r>
      <w:r>
        <w:t xml:space="preserve"> </w:t>
      </w:r>
      <w:r>
        <w:t xml:space="preserve">and POEM [14] comparisons remain separate unfinished experiments.</w:t>
      </w:r>
    </w:p>
    <w:bookmarkEnd w:id="58"/>
    <w:bookmarkStart w:id="59" w:name="X34df60e14288daee5bfa689f9e7844a27c3cc63"/>
    <w:p>
      <w:pPr>
        <w:pStyle w:val="Heading2"/>
        <w:widowControl/>
      </w:pPr>
      <w:r>
        <w:t xml:space="preserve">8.4 CCT-20: Conservative Retention, Not Selective Routing</w:t>
      </w:r>
    </w:p>
    <w:p>
      <w:pPr>
        <w:pStyle w:val="FirstParagraph"/>
        <w:widowControl/>
      </w:pPr>
      <w:r>
        <w:t xml:space="preserve">Across 45 cells, KGA issued 0 ADAPT, 44 FREEZE, and</w:t>
      </w:r>
      <w:r>
        <w:t xml:space="preserve"> </w:t>
      </w:r>
      <w:r>
        <w:t xml:space="preserve">1 ABSTAIN decisions. It therefore served the frozen predictions in every cell.</w:t>
      </w:r>
      <w:r>
        <w:t xml:space="preserve"> </w:t>
      </w:r>
      <w:r>
        <w:t xml:space="preserve">The candidate was helpful in 1 cell, tied in 0, and harmed in</w:t>
      </w:r>
      <w:r>
        <w:t xml:space="preserve"> </w:t>
      </w:r>
      <w:r>
        <w:t xml:space="preserve">44. The gate rejected most harmful updates but did not select the helpful one.</w:t>
      </w:r>
    </w:p>
    <w:p>
      <w:pPr>
        <w:pStyle w:val="TableCaption"/>
        <w:widowControl/>
      </w:pPr>
      <w:r>
        <w:t xml:space="preserve">Table 10. CCT-20 safe-utility endpoint defined in Eq. (11).</w:t>
      </w:r>
      <w:r>
        <w:t xml:space="preserve"> </w:t>
      </w:r>
      <w:r>
        <w:t xml:space="preserve">Contrasts are baseline regret minus KGA regret on the set-membership accuracy-proportion scale.</w:t>
      </w:r>
      <w:r>
        <w:t xml:space="preserve"> </w:t>
      </w:r>
      <w:r>
        <w:t xml:space="preserve">These are nominal pointwise 95% two-way bootstrap intervals, not interval coverage for individual</w:t>
      </w:r>
      <w:r>
        <w:t xml:space="preserve"> </w:t>
      </w:r>
      <w:r>
        <w:t xml:space="preserve">cell-benefit predictions. The stronger comparisons and location-level records remain in the supplement.</w:t>
      </w:r>
    </w:p>
    <w:tbl>
      <w:tblPr>
        <w:tblStyle w:val="Table"/>
        <w:tblW w:type="dxa" w:w="9960"/>
        <w:jc w:val="left"/>
        <w:tblLayout w:type="fixed"/>
        <w:tblLook w:firstRow="1" w:lastRow="0" w:firstColumn="0" w:lastColumn="0" w:noHBand="0" w:noVBand="0" w:val="0020"/>
        <w:tblCaption w:val="Table 10. CCT-20 safe-utility endpoint defined in Eq. (11). Contrasts are baseline regret minus KGA regret on the set-membership accuracy-proportion scale. These are nominal pointwise 95% two-way bootstrap intervals, not interval coverage for individual cell-benefit predictions. The stronger comparisons and location-level records remain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 The recorded verdict remains</w:t>
      </w:r>
      <w:r>
        <w:t xml:space="preserve"> </w:t>
      </w:r>
      <w:r>
        <w:t xml:space="preserve">SAFE UTILITY ONLY</w:t>
      </w:r>
      <w:r>
        <w:t xml:space="preserve">:</w:t>
      </w:r>
      <w:r>
        <w:t xml:space="preserve"> </w:t>
      </w:r>
      <w:r>
        <w:t xml:space="preserve">a scoped safe-utility result, not a finite-sample population-safety guarantee.</w:t>
      </w:r>
      <w:r>
        <w:t xml:space="preserve"> </w:t>
      </w:r>
      <w:r>
        <w:t xml:space="preserve">The stronger routing criterion failed because the gate never selected ADAPT and matched freeze.</w:t>
      </w:r>
      <w:r>
        <w:t xml:space="preserve"> </w:t>
      </w:r>
      <w:r>
        <w:t xml:space="preserve">The zero false-adapt count (0/45) follows mechanically from zero</w:t>
      </w:r>
      <w:r>
        <w:t xml:space="preserve"> </w:t>
      </w:r>
      <w:r>
        <w:t xml:space="preserve">adapt exposure.</w:t>
      </w:r>
    </w:p>
    <w:p>
      <w:pPr>
        <w:pStyle w:val="BodyText"/>
        <w:widowControl/>
      </w:pPr>
      <w:r>
        <w:t xml:space="preserve">All development cells were harmful for Tent, so the fit supplied no helpful example.</w:t>
      </w:r>
      <w:r>
        <w:t xml:space="preserve"> </w:t>
      </w:r>
      <w:r>
        <w:t xml:space="preserve">Only two locations contributed fitting data, and calibration-to-target transfer is unverified.</w:t>
      </w:r>
      <w:r>
        <w:t xml:space="preserve"> </w:t>
      </w:r>
      <w:r>
        <w:t xml:space="preserve">The complete target-location ledger and primary inference are retained in</w:t>
      </w:r>
      <w:r>
        <w:t xml:space="preserve"> </w:t>
      </w:r>
      <w:r>
        <w:t xml:space="preserve">Appendix G.1; no new natural-shift success is inferred from this result.</w:t>
      </w:r>
    </w:p>
    <w:bookmarkEnd w:id="59"/>
    <w:bookmarkStart w:id="60"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This contrast demonstrates that KGA’s conservative behavior on CCT-20 is not an inability to issue</w:t>
      </w:r>
      <w:r>
        <w:t xml:space="preserve"> </w:t>
      </w:r>
      <w:r>
        <w:t xml:space="preserve">ADAPT decisions on natural data, but a reflection of the candidate’s empirical profile: where adaptation is</w:t>
      </w:r>
      <w:r>
        <w:t xml:space="preserve"> </w:t>
      </w:r>
      <w:r>
        <w:t xml:space="preserve">harmful or unsupported (CCT-20), KGA safely defaults to freeze; where adaptation provides sustained empirical utility</w:t>
      </w:r>
      <w:r>
        <w:t xml:space="preserve"> </w:t>
      </w:r>
      <w:r>
        <w:t xml:space="preserve">(Camelyon17), adaptation exposure is preserved. Nevertheless, safely transferring a fixed benefit predictor</w:t>
      </w:r>
      <w:r>
        <w:t xml:space="preserve"> </w:t>
      </w:r>
      <w:r>
        <w:t xml:space="preserve">across completely unseen wild domains without target calibration remains an open empirical challenge.</w:t>
      </w:r>
      <w:r>
        <w:t xml:space="preserve"> </w:t>
      </w:r>
      <w:r>
        <w:t xml:space="preserve">Appendix B reports the valid diagnostic rows on separate metric scales, together with the</w:t>
      </w:r>
      <w:r>
        <w:t xml:space="preserve"> </w:t>
      </w:r>
      <w:r>
        <w:t xml:space="preserve">reasons why iWildCam, historical POEM/AETTA ports, and the focused Office-Home route cannot support current</w:t>
      </w:r>
      <w:r>
        <w:t xml:space="preserve"> </w:t>
      </w:r>
      <w:r>
        <w:t xml:space="preserve">headline comparisons.</w:t>
      </w:r>
    </w:p>
    <w:bookmarkEnd w:id="60"/>
    <w:bookmarkEnd w:id="61"/>
    <w:bookmarkStart w:id="67" w:name="limitations-and-broader-impact"/>
    <w:p>
      <w:pPr>
        <w:pStyle w:val="Heading1"/>
        <w:widowControl/>
      </w:pPr>
      <w:r>
        <w:t xml:space="preserve">9 Limitations and Broader Impact</w:t>
      </w:r>
    </w:p>
    <w:bookmarkStart w:id="64"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2" w:name="the-development-based-surrogate-failed."/>
    <w:p>
      <w:pPr>
        <w:pStyle w:val="Heading3"/>
        <w:keepNext/>
        <w:widowControl/>
        <w:spacing w:before="100" w:after="20" w:line="252" w:lineRule="auto"/>
      </w:pPr>
      <w:r>
        <w:rPr>
          <w:rFonts w:ascii="Times New Roman" w:hAnsi="Times New Roman" w:eastAsia="Times New Roman" w:cs="Times New Roman"/>
          <w:b/>
          <w:sz w:val="19"/>
        </w:rPr>
        <w:t xml:space="preserve">The development-based surrogate failed.</w:t>
      </w:r>
    </w:p>
    <w:p>
      <w:pPr>
        <w:pStyle w:val="FirstParagraph"/>
        <w:widowControl/>
      </w:pPr>
      <w:r>
        <w:t xml:space="preserve">We tested a source-development benefit-scale proxy as an operational surrogate for</w:t>
      </w:r>
      <w:r>
        <w:t xml:space="preserve"> </w:t>
      </w:r>
      <m:oMath>
        <m:r>
          <m:t>β</m:t>
        </m:r>
      </m:oMath>
      <w:r>
        <w:t xml:space="preserve"> </w:t>
      </w:r>
      <w:r>
        <w:t xml:space="preserve">rather than declaring the population budget directly; this proxy does not</w:t>
      </w:r>
      <w:r>
        <w:t xml:space="preserve"> </w:t>
      </w:r>
      <w:r>
        <w:t xml:space="preserve">estimate the theorem’s disagreement-conditional calibration-residual bound. On</w:t>
      </w:r>
      <w:r>
        <w:t xml:space="preserve"> </w:t>
      </w:r>
      <w:r>
        <w:t xml:space="preserve">CIFAR-10-C, the surrogate is</w:t>
      </w:r>
      <w:r>
        <w:t xml:space="preserve"> </w:t>
      </w:r>
      <m:oMath>
        <m:r>
          <m:t>1.4</m:t>
        </m:r>
      </m:oMath>
      <w:r>
        <w:t xml:space="preserve">–</w:t>
      </w:r>
      <m:oMath>
        <m:r>
          <m:t>50</m:t>
        </m:r>
        <m:r>
          <m:rPr>
            <m:sty m:val="p"/>
          </m:rPr>
          <m:t>×</m:t>
        </m:r>
      </m:oMath>
      <w:r>
        <w:t xml:space="preserve"> </w:t>
      </w:r>
      <w:r>
        <w:t xml:space="preserve">too small for operational soundness:</w:t>
      </w:r>
      <w:r>
        <w:t xml:space="preserve"> </w:t>
      </w:r>
      <w:r>
        <w:t xml:space="preserve">24–73% of evaluation cells produced measured outcomes outside the proxy-declared interval,</w:t>
      </w:r>
      <w:r>
        <w:t xml:space="preserve"> </w:t>
      </w:r>
      <w:r>
        <w:t xml:space="preserve">and commit error is 0.4–16.6%. On ImageNet-C, 5 of 10 configurations return zero</w:t>
      </w:r>
      <w:r>
        <w:t xml:space="preserve"> </w:t>
      </w:r>
      <w:r>
        <w:t xml:space="preserve">commitments on all 405 evaluation cells. These historical numbers summarize the failure</w:t>
      </w:r>
      <w:r>
        <w:t xml:space="preserve"> </w:t>
      </w:r>
      <w:r>
        <w:t xml:space="preserve">of an empirical proxy heuristic, not a verified numerical measurement of theoretical-class</w:t>
      </w:r>
      <w:r>
        <w:t xml:space="preserve"> </w:t>
      </w:r>
      <w:r>
        <w:t xml:space="preserve">violations (the latent residual</w:t>
      </w:r>
      <w:r>
        <w:t xml:space="preserve"> </w:t>
      </w:r>
      <m:oMath>
        <m:r>
          <m:t>γ</m:t>
        </m:r>
      </m:oMath>
      <w:r>
        <w:t xml:space="preserve"> </w:t>
      </w:r>
      <w:r>
        <w:t xml:space="preserve">is unobservable without labels, and the historical</w:t>
      </w:r>
      <w:r>
        <w:t xml:space="preserve"> </w:t>
      </w:r>
      <w:r>
        <w:t xml:space="preserve">raw sweep artifact is unavailable). We therefore withdraw this surrogate estimation route</w:t>
      </w:r>
      <w:r>
        <w:t xml:space="preserve"> </w:t>
      </w:r>
      <w:r>
        <w:t xml:space="preserve">and declare</w:t>
      </w:r>
      <w:r>
        <w:t xml:space="preserve"> </w:t>
      </w:r>
      <m:oMath>
        <m:r>
          <m:t>β</m:t>
        </m:r>
      </m:oMath>
      <w:r>
        <w:t xml:space="preserve"> </w:t>
      </w:r>
      <w:r>
        <w:t xml:space="preserve">from domain knowledge or an explicit transfer assumption instead.</w:t>
      </w:r>
      <w:r>
        <w:t xml:space="preserve"> </w:t>
      </w:r>
      <w:r>
        <w:t xml:space="preserve">KGA’s empirical prediction radius</w:t>
      </w:r>
      <w:r>
        <w:t xml:space="preserve"> </w:t>
      </w:r>
      <m:oMath>
        <m:r>
          <m:t>ε</m:t>
        </m:r>
      </m:oMath>
      <w:r>
        <w:t xml:space="preserve"> </w:t>
      </w:r>
      <w:r>
        <w:t xml:space="preserve">is not an estimator of the population</w:t>
      </w:r>
      <w:r>
        <w:t xml:space="preserve"> </w:t>
      </w:r>
      <w:r>
        <w:t xml:space="preserve">residual bound</w:t>
      </w:r>
      <w:r>
        <w:t xml:space="preserve"> </w:t>
      </w:r>
      <m:oMath>
        <m:r>
          <m:t>β</m:t>
        </m:r>
      </m:oMath>
      <w:r>
        <w:t xml:space="preserve">. A population-benefit guarantee can instead be obtained through</w:t>
      </w:r>
      <w:r>
        <w:t xml:space="preserve"> </w:t>
      </w:r>
      <w:r>
        <w:t xml:space="preserve">an explicit statistical protocol: valid conformal calibration for measured cell benefit,</w:t>
      </w:r>
      <w:r>
        <w:t xml:space="preserve"> </w:t>
      </w:r>
      <w:r>
        <w:t xml:space="preserve">a justified cell-to-population sampling bound</w:t>
      </w:r>
      <w:r>
        <w:t xml:space="preserve"> </w:t>
      </w:r>
      <m:oMath>
        <m:r>
          <m:t>b</m:t>
        </m:r>
        <m:r>
          <m:rPr>
            <m:sty m:val="p"/>
          </m:rPr>
          <m:t>(</m:t>
        </m:r>
        <m:r>
          <m:t>m</m:t>
        </m:r>
        <m:r>
          <m:rPr>
            <m:sty m:val="p"/>
          </m:rPr>
          <m:t>,</m:t>
        </m:r>
        <m:r>
          <m:t>δ</m:t>
        </m:r>
        <m:r>
          <m:rPr>
            <m:sty m:val="p"/>
          </m:rPr>
          <m:t>)</m:t>
        </m:r>
      </m:oMath>
      <w:r>
        <w:t xml:space="preserve">, and an enlarged decision interval</w:t>
      </w:r>
      <w:r>
        <w:t xml:space="preserve"> </w:t>
      </w:r>
      <m:oMath>
        <m:r>
          <m:t>ε</m:t>
        </m:r>
        <m:r>
          <m:rPr>
            <m:sty m:val="p"/>
          </m:rPr>
          <m:t>+</m:t>
        </m:r>
        <m:r>
          <m:t>b</m:t>
        </m:r>
      </m:oMath>
      <w:r>
        <w:t xml:space="preserve"> </w:t>
      </w:r>
      <w:r>
        <w:t xml:space="preserve">(Proposition 3). These conditions are not established</w:t>
      </w:r>
      <w:r>
        <w:t xml:space="preserve"> </w:t>
      </w:r>
      <w:r>
        <w:t xml:space="preserve">for the currently reported benchmark panels. KGA neither estimates nor numerically uses</w:t>
      </w:r>
      <w:r>
        <w:t xml:space="preserve"> </w:t>
      </w:r>
      <m:oMath>
        <m:r>
          <m:t>β</m:t>
        </m:r>
      </m:oMath>
      <w:r>
        <w:t xml:space="preserve">.</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2"/>
    <w:bookmarkStart w:id="63"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3"/>
    <w:bookmarkEnd w:id="64"/>
    <w:bookmarkStart w:id="65" w:name="Xb7fb7dadb693866ea52d7a97e11e3d1b4c1a00e"/>
    <w:p>
      <w:pPr>
        <w:pStyle w:val="Heading2"/>
        <w:widowControl/>
      </w:pPr>
      <w:r>
        <w:t xml:space="preserve">9.2 Empirical Delimitations and Future Prospective Validation</w:t>
      </w:r>
    </w:p>
    <w:p>
      <w:pPr>
        <w:pStyle w:val="FirstParagraph"/>
        <w:widowControl/>
      </w:pPr>
      <w:r>
        <w:t xml:space="preserve">The current controlled results share checkpoints and related corruption cells.</w:t>
      </w:r>
      <w:r>
        <w:t xml:space="preserve"> </w:t>
      </w:r>
      <w:r>
        <w:t xml:space="preserve">The new interval-inclusion table is a retrospective diagnostic, not an independent calibration test.</w:t>
      </w:r>
      <w:r>
        <w:t xml:space="preserve"> </w:t>
      </w:r>
      <w:r>
        <w:t xml:space="preserve">The natural results primarily evaluate retention. CCT-20 is a protocol-scoped prospective,</w:t>
      </w:r>
      <w:r>
        <w:t xml:space="preserve"> </w:t>
      </w:r>
      <w:r>
        <w:t xml:space="preserve">outcome-unopened real-population study at held-out camera locations, but it supplied no ADAPT</w:t>
      </w:r>
      <w:r>
        <w:t xml:space="preserve"> </w:t>
      </w:r>
      <w:r>
        <w:t xml:space="preserve">exposure; So2Sat stopped in development. Empirical abstention may reflect weak prediction, limited</w:t>
      </w:r>
      <w:r>
        <w:t xml:space="preserve"> </w:t>
      </w:r>
      <w:r>
        <w:t xml:space="preserve">data, wide intervals, or transfer failure. It does not establish population non-identifiability.</w:t>
      </w:r>
    </w:p>
    <w:p>
      <w:pPr>
        <w:pStyle w:val="BodyText"/>
        <w:widowControl/>
      </w:pPr>
      <w:r>
        <w:t xml:space="preserve">While a synchronized current-policy replay against protocol-matched TTA/ALine, AETTA, POEM,</w:t>
      </w:r>
      <w:r>
        <w:t xml:space="preserve"> </w:t>
      </w:r>
      <w:r>
        <w:t xml:space="preserve">and simple benefit-estimation baselines is now included in Section 8.3</w:t>
      </w:r>
      <w:r>
        <w:t xml:space="preserve"> </w:t>
      </w:r>
      <w:r>
        <w:t xml:space="preserve">(Table 9), broader evidence would strengthen the empirical claim:</w:t>
      </w:r>
      <w:r>
        <w:t xml:space="preserve"> </w:t>
      </w:r>
      <w:r>
        <w:t xml:space="preserve">a natural-shift study with helpful and harmful updates and nonzero ADAPT/FREEZE exposure;</w:t>
      </w:r>
      <w:r>
        <w:t xml:space="preserve"> </w:t>
      </w:r>
      <w:r>
        <w:t xml:space="preserve">interval inclusion and error evaluated on untouched groups; and inference across independently</w:t>
      </w:r>
      <w:r>
        <w:t xml:space="preserve"> </w:t>
      </w:r>
      <w:r>
        <w:t xml:space="preserve">trained checkpoints and held-out environments. For tracks other than CCT-20, these remain future</w:t>
      </w:r>
      <w:r>
        <w:t xml:space="preserve"> </w:t>
      </w:r>
      <w:r>
        <w:t xml:space="preserve">prospective tests, not results obtained by rewriting or reclassifying an existing panel. The</w:t>
      </w:r>
      <w:r>
        <w:t xml:space="preserve"> </w:t>
      </w:r>
      <w:r>
        <w:t xml:space="preserve">future protocol is specified in Appendix K.</w:t>
      </w:r>
    </w:p>
    <w:p>
      <w:pPr>
        <w:pStyle w:val="BodyText"/>
        <w:widowControl/>
      </w:pPr>
      <w:r>
        <w:t xml:space="preserve">As a release-audit check, we replayed the outcome-blind population procedure on a</w:t>
      </w:r>
      <w:r>
        <w:t xml:space="preserve"> </w:t>
      </w:r>
      <w:r>
        <w:t xml:space="preserve">three-record synthetic panel and on 108 cells of the authenticated local ImageNet-C</w:t>
      </w:r>
      <w:r>
        <w:t xml:space="preserve"> </w:t>
      </w:r>
      <w:r>
        <w:t xml:space="preserve">development panel (five-fold cross-fitting; 36 cells each for Tent, EATA, and SAR).</w:t>
      </w:r>
      <w:r>
        <w:t xml:space="preserve"> </w:t>
      </w:r>
      <w:r>
        <w:t xml:space="preserve">The resulting records are outcome-blind at decision time. These checks verify that the</w:t>
      </w:r>
      <w:r>
        <w:t xml:space="preserve"> </w:t>
      </w:r>
      <w:r>
        <w:t xml:space="preserve">population action construction and the common metric implementation execute end to end;</w:t>
      </w:r>
      <w:r>
        <w:t xml:space="preserve"> </w:t>
      </w:r>
      <w:r>
        <w:t xml:space="preserve">they are not independent prospective population evidence, and they do not convert the</w:t>
      </w:r>
      <w:r>
        <w:t xml:space="preserve"> </w:t>
      </w:r>
      <w:r>
        <w:t xml:space="preserve">protocol-matched TTA/ALine, AETTA, or POEM rows into official native reproductions.</w:t>
      </w:r>
    </w:p>
    <w:bookmarkEnd w:id="65"/>
    <w:bookmarkStart w:id="66"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66"/>
    <w:bookmarkEnd w:id="67"/>
    <w:bookmarkStart w:id="68"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p>
    <w:bookmarkEnd w:id="68"/>
    <w:bookmarkStart w:id="72" w:name="references"/>
    <w:p>
      <w:pPr>
        <w:pStyle w:val="Heading1"/>
        <w:widowControl/>
      </w:pPr>
      <w:r>
        <w:t xml:space="preserve">References</w:t>
      </w:r>
    </w:p>
    <w:p>
      <w:pPr>
        <w:widowControl/>
        <w:numPr>
          <w:ilvl w:val="0"/>
          <w:numId w:val="1008"/>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8"/>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8"/>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8"/>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8"/>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69">
        <w:r>
          <w:rPr>
            <w:rStyle w:val="Hyperlink"/>
          </w:rPr>
          <w:t xml:space="preserve">https://proceedings.mlr.press/v267/chen25ch.html</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8"/>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8"/>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8"/>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8"/>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8"/>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8"/>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8"/>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8"/>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8"/>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8"/>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8"/>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8"/>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8"/>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8"/>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8"/>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8"/>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8"/>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8"/>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8"/>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8"/>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8"/>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8"/>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8"/>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8"/>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8"/>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8"/>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8"/>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8"/>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8"/>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8"/>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8"/>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8"/>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8"/>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8"/>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8"/>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8"/>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8"/>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0">
        <w:r>
          <w:rPr>
            <w:rStyle w:val="Hyperlink"/>
          </w:rPr>
          <w:t xml:space="preserve">https://proceedings.mlr.press/v9/david10a.html</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8"/>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1">
        <w:r>
          <w:rPr>
            <w:rStyle w:val="Hyperlink"/>
          </w:rPr>
          <w:t xml:space="preserve">10.52202/079017-3820</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8"/>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8"/>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bookmarkEnd w:id="72"/>
    <w:bookmarkStart w:id="8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3" w:name="Xf0cd6bc7119b4d96c3873b1362b05324b174b39"/>
    <w:p>
      <w:pPr>
        <w:pStyle w:val="Heading2"/>
        <w:widowControl/>
      </w:pPr>
      <w:r>
        <w:t xml:space="preserve">A.1 Unit Scaling and the Category Error of</w:t>
      </w:r>
      <w:r>
        <w:t xml:space="preserve"> </w:t>
      </w:r>
      <m:oMath>
        <m:r>
          <m:t>ε</m:t>
        </m:r>
        <m:r>
          <m:rPr>
            <m:sty m:val="p"/>
          </m:rPr>
          <m:t>=</m:t>
        </m:r>
        <m:r>
          <m:t>β</m:t>
        </m:r>
      </m:oMath>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(13)</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(14)</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(15)</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r>
          <m:rPr>
            <m:sty m:val="p"/>
          </m:rPr>
          <m:t>=</m:t>
        </m:r>
        <m:r>
          <m:t>β</m:t>
        </m:r>
      </m:oMath>
      <w:r>
        <w:t xml:space="preserve"> </w:t>
      </w:r>
      <w:r>
        <w:t xml:space="preserve">is therefore</w:t>
      </w:r>
      <w:r>
        <w:t xml:space="preserve"> </w:t>
      </w:r>
      <w:r>
        <w:t xml:space="preserve">a dimensional and conceptual category error:</w:t>
      </w:r>
      <w:r>
        <w:t xml:space="preserve"> </w:t>
      </w:r>
      <m:oMath>
        <m:r>
          <m:t>β</m:t>
        </m:r>
      </m:oMath>
      <w:r>
        <w:t xml:space="preserve"> </w:t>
      </w:r>
      <w:r>
        <w:t xml:space="preserve">bounds a conditional score bias on</w:t>
      </w:r>
      <w:r>
        <w:t xml:space="preserve"> </w:t>
      </w:r>
      <m:oMath>
        <m:r>
          <m:t>D</m:t>
        </m:r>
      </m:oMath>
      <w:r>
        <w:t xml:space="preserve">, whereas</w:t>
      </w:r>
      <w:r>
        <w:t xml:space="preserve"> </w:t>
      </w:r>
      <m:oMath>
        <m:r>
          <m:t>ε</m:t>
        </m:r>
      </m:oMath>
      <w:r>
        <w:t xml:space="preserve"> </w:t>
      </w:r>
      <w:r>
        <w:t xml:space="preserve">measures prediction error for an empirical cell outcome on the entire input domain. While numerical equality</w:t>
      </w:r>
      <w:r>
        <w:t xml:space="preserve"> </w:t>
      </w:r>
      <w:r>
        <w:t xml:space="preserve">could occur by accidental coincidence, identifying their mathematical definitions is fundamentally incorrect.</w:t>
      </w:r>
    </w:p>
    <w:bookmarkEnd w:id="73"/>
    <w:bookmarkStart w:id="7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4"/>
    <w:bookmarkStart w:id="7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09"/>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09"/>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09"/>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09"/>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09"/>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5"/>
    <w:bookmarkStart w:id="8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(16)</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(17)</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(18)</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(19)</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(20)</m:t>
          </m:r>
        </m:oMath>
      </m:oMathPara>
    </w:p>
    <w:p>
      <w:pPr>
        <w:pStyle w:val="FirstParagraph"/>
        <w:widowControl/>
      </w:pPr>
      <w:r>
        <w:rPr>
          <w:i/>
          <w:iCs/>
        </w:rPr>
        <w:t xml:space="preserve">Proof.</w:t>
      </w:r>
      <w:r>
        <w:t xml:space="preserve"> </w:t>
      </w:r>
      <w:r>
        <w:t xml:space="preserve">The proof proceeds in four discrete steps:</w:t>
      </w:r>
    </w:p>
    <w:bookmarkStart w:id="7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76"/>
    <w:bookmarkStart w:id="7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77"/>
    <w:bookmarkStart w:id="7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78"/>
    <w:bookmarkStart w:id="7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79"/>
    <w:bookmarkEnd w:id="80"/>
    <w:bookmarkStart w:id="81"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11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11.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1.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1"/>
    <w:bookmarkStart w:id="8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(21)</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(22)</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(23)</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2"/>
    <w:bookmarkStart w:id="86"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0"/>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calibrated via leave-one-cell-out or split-conformal empirical</w:t>
      </w:r>
      <w:r>
        <w:t xml:space="preserve"> </w:t>
      </w:r>
      <w:r>
        <w:t xml:space="preserve">residuals (Section 6). This is the operational decision rule instantiated in all</w:t>
      </w:r>
      <w:r>
        <w:t xml:space="preserve"> </w:t>
      </w:r>
      <w:r>
        <w:t xml:space="preserve">reported empirical benchmark analyses (CIFAR-10-C, ImageNet-C, CCT-20, Office-Home, etc.).</w:t>
      </w:r>
    </w:p>
    <w:p>
      <w:pPr>
        <w:widowControl/>
        <w:numPr>
          <w:ilvl w:val="0"/>
          <w:numId w:val="1010"/>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rPr>
          <w:i/>
          <w:iCs/>
        </w:rPr>
        <w:t xml:space="preserve">not</w:t>
      </w:r>
      <w:r>
        <w:t xml:space="preserve"> </w:t>
      </w:r>
      <w:r>
        <w:t xml:space="preserve">instantiated on the historical empirical benchmark tables, which evaluate transductive</w:t>
      </w:r>
      <w:r>
        <w:t xml:space="preserve"> </w:t>
      </w:r>
      <w:r>
        <w:t xml:space="preserve">evaluation-cell benefit rather than independent population draws.</w:t>
      </w:r>
    </w:p>
    <w:p>
      <w:pPr>
        <w:widowControl/>
        <w:numPr>
          <w:ilvl w:val="0"/>
          <w:numId w:val="1010"/>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 (</w:t>
      </w:r>
      <w:r>
        <w:rPr>
          <w:rStyle w:val="VerbatimChar"/>
        </w:rPr>
        <w:t xml:space="preserve">experiments/kbound/synthetic_population_diagnostic.py</w:t>
      </w:r>
      <w:r>
        <w:t xml:space="preserve">).</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13),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w:t>
      </w:r>
      <w:r>
        <w:t xml:space="preserve"> </w:t>
      </w:r>
      <w:r>
        <w:rPr>
          <w:rStyle w:val="VerbatimChar"/>
        </w:rPr>
        <w:t xml:space="preserve">experiments/kbound/results/synthetic_diagnostic/diagnostic_summary.json</w:t>
      </w:r>
      <w:r>
        <w:t xml:space="preserve">.</w:t>
      </w:r>
    </w:p>
    <w:bookmarkEnd w:id="83"/>
    <w:bookmarkStart w:id="8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w:t>
      </w:r>
      <w:r>
        <w:t xml:space="preserve"> </w:t>
      </w:r>
      <w:r>
        <w:rPr>
          <w:rStyle w:val="VerbatimChar"/>
        </w:rPr>
        <w:t xml:space="preserve">experiments/kbound/results/synthetic_diagnostic/nonoracle_diagnostic_summary.json</w:t>
      </w:r>
      <w:r>
        <w:t xml:space="preserve">).</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12):</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13.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w:t>
      </w:r>
      <w:r>
        <w:t xml:space="preserve"> </w:t>
      </w:r>
      <w:r>
        <w:rPr>
          <w:rStyle w:val="VerbatimChar"/>
        </w:rPr>
        <w:t xml:space="preserve">experiments/kbound/results/synthetic_diagnostic/diagnostic_summary.json</w:t>
      </w:r>
      <w:r>
        <w:t xml:space="preserve">.</w:t>
      </w:r>
    </w:p>
    <w:tbl>
      <w:tblPr>
        <w:tblStyle w:val="Table"/>
        <w:tblW w:type="dxa" w:w="9960"/>
        <w:jc w:val="left"/>
        <w:tblLayout w:type="fixed"/>
        <w:tblLook w:firstRow="1" w:lastRow="0" w:firstColumn="0" w:lastColumn="0" w:noHBand="0" w:noVBand="0" w:val="0020"/>
        <w:tblCaption w:val="Table 13.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 experiments/kbound/results/synthetic_diagnostic/diagnostic_summary.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4"/>
    <w:bookmarkStart w:id="8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14).</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w:t>
      </w:r>
      <w:r>
        <w:t xml:space="preserve"> </w:t>
      </w:r>
      <w:r>
        <w:t xml:space="preserve">receipts are</w:t>
      </w:r>
      <w:r>
        <w:t xml:space="preserve"> </w:t>
      </w:r>
      <w:r>
        <w:rPr>
          <w:rStyle w:val="VerbatimChar"/>
        </w:rPr>
        <w:t xml:space="preserve">experiments/kbound/results/task2_imagenetc_population_replay_20260911/</w:t>
      </w:r>
      <w:r>
        <w:t xml:space="preserve"> </w:t>
      </w:r>
      <w:r>
        <w:rPr>
          <w:rStyle w:val="VerbatimChar"/>
        </w:rPr>
        <w:t xml:space="preserve">TASK2_IMAGENETC_POPULATION_REPLAY_RECEIPT.json</w:t>
      </w:r>
      <w:r>
        <w:t xml:space="preserve"> </w:t>
      </w:r>
      <w:r>
        <w:t xml:space="preserve">and</w:t>
      </w:r>
      <w:r>
        <w:t xml:space="preserve"> </w:t>
      </w:r>
      <w:r>
        <w:rPr>
          <w:rStyle w:val="VerbatimChar"/>
        </w:rPr>
        <w:t xml:space="preserve">experiments/kbound/results/task2_population_panel_rerun_20260911_final.json</w:t>
      </w:r>
      <w:r>
        <w:t xml:space="preserve">.</w:t>
      </w:r>
      <w:r>
        <w:t xml:space="preserve"> </w:t>
      </w:r>
      <w:r>
        <w:t xml:space="preserve">This is a benchmark replay, not independent sampling or prospective population evidence.</w:t>
      </w:r>
    </w:p>
    <w:p>
      <w:pPr>
        <w:pStyle w:val="TableCaption"/>
        <w:widowControl/>
      </w:pPr>
      <w:r>
        <w:t xml:space="preserve">Table 14.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1" w:lastRow="0" w:firstColumn="0" w:lastColumn="0" w:noHBand="0" w:noVBand="0" w:val="0020"/>
        <w:tblCaption w:val="Table 14.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596"/>
        <w:gridCol w:w="560"/>
        <w:gridCol w:w="1422"/>
        <w:gridCol w:w="560"/>
        <w:gridCol w:w="1130"/>
        <w:gridCol w:w="560"/>
        <w:gridCol w:w="560"/>
        <w:gridCol w:w="780"/>
        <w:gridCol w:w="1067"/>
        <w:gridCol w:w="1010"/>
        <w:gridCol w:w="560"/>
        <w:gridCol w:w="1155"/>
      </w:tblGrid>
      <w:tr>
        <w:trPr>
          <w:tblHeader w:val="true"/>
          <w:cantSplit w:val="true"/>
        </w:trPr>
        <w:tc>
          <w:tcPr>
            <w:tcW w:w="5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4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Folds (Fit / Cal / Score)</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sSub>
                <m:e>
                  <m:r>
                    <m:t>α</m:t>
                  </m:r>
                </m:e>
                <m:sub>
                  <m:r>
                    <m:rPr>
                      <m:sty m:val="p"/>
                    </m:rPr>
                    <m:t>c</m:t>
                  </m:r>
                  <m:r>
                    <m:rPr>
                      <m:sty m:val="p"/>
                    </m:rPr>
                    <m:t>e</m:t>
                  </m:r>
                  <m:r>
                    <m:rPr>
                      <m:sty m:val="p"/>
                    </m:rPr>
                    <m:t>l</m:t>
                  </m:r>
                  <m:r>
                    <m:rPr>
                      <m:sty m:val="p"/>
                    </m:rPr>
                    <m:t>l</m:t>
                  </m:r>
                </m:sub>
              </m:sSub>
              <m:r>
                <m:rPr>
                  <m:sty m:val="p"/>
                </m:rPr>
                <m:t>/</m:t>
              </m:r>
              <m:r>
                <m:t>δ</m:t>
              </m:r>
              <m:r>
                <m:rPr>
                  <m:sty m:val="p"/>
                </m:rPr>
                <m:t>/</m:t>
              </m:r>
              <m:sSub>
                <m:e>
                  <m:r>
                    <m:t>α</m:t>
                  </m:r>
                </m:e>
                <m:sub>
                  <m:r>
                    <m:rPr>
                      <m:sty m:val="p"/>
                    </m:rPr>
                    <m:t>p</m:t>
                  </m:r>
                  <m:r>
                    <m:rPr>
                      <m:sty m:val="p"/>
                    </m:rPr>
                    <m:t>o</m:t>
                  </m:r>
                  <m:r>
                    <m:rPr>
                      <m:sty m:val="p"/>
                    </m:rPr>
                    <m:t>p</m:t>
                  </m:r>
                </m:sub>
              </m:sSub>
            </m:oMath>
          </w:p>
        </w:tc>
        <w:tc>
          <w:tcPr>
            <w:tcW w:w="11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 Radius</w:t>
            </w:r>
            <w:r>
              <w:rPr>
                <w:rFonts w:ascii="Times New Roman" w:hAnsi="Times New Roman"/>
                <w:b/>
                <w:sz w:val="14"/>
              </w:rPr>
              <w:t xml:space="preserve"> </w:t>
            </w:r>
            <m:oMath>
              <m:r>
                <m:t>ε</m:t>
              </m:r>
            </m:oMath>
            <w:r>
              <w:rPr>
                <w:rFonts w:ascii="Times New Roman" w:hAnsi="Times New Roman"/>
                <w:b/>
                <w:sz w:val="14"/>
              </w:rPr>
              <w:t xml:space="preserve"> </w:t>
            </w:r>
            <w:r>
              <w:rPr>
                <w:rFonts w:ascii="Times New Roman" w:hAnsi="Times New Roman"/>
                <w:b/>
                <w:sz w:val="14"/>
              </w:rPr>
              <w:t>(mean [min, max])</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 xml:space="preserve">Samp. </w:t>
            </w:r>
            <m:oMath>
              <m:r>
                <m:t>b</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Finite</w:t>
            </w:r>
            <w:r>
              <w:rPr>
                <w:rFonts w:ascii="Times New Roman" w:hAnsi="Times New Roman"/>
                <w:b/>
                <w:sz w:val="14"/>
              </w:rPr>
              <w:t xml:space="preserve"> </w:t>
            </w:r>
            <m:oMath>
              <m:r>
                <m:t>ε</m:t>
              </m:r>
            </m:oMath>
          </w:p>
        </w:tc>
        <w:tc>
          <w:tcPr>
            <w:tcW w:w="7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(Cell / Pop)</w:t>
            </w:r>
          </w:p>
        </w:tc>
        <w:tc>
          <w:tcPr>
            <w:tcW w:w="10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 Gate (A / F / U)</w:t>
            </w:r>
          </w:p>
        </w:tc>
        <w:tc>
          <w:tcPr>
            <w:tcW w:w="10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Compound (A / F / U)</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1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Population Truth</w:t>
            </w:r>
          </w:p>
        </w:tc>
      </w:tr>
      <w:tr>
        <w:trPr>
          <w:cantSplit w:val="true"/>
        </w:trPr>
        <w:tc>
          <w:tcPr>
            <w:tcW w:w="59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Tent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w:t>
            </w:r>
          </w:p>
        </w:tc>
        <w:tc>
          <w:tcPr>
            <w:tcW w:w="142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5 folds (</w:t>
            </w:r>
            <m:oMath>
              <m:r>
                <m:t>9</m:t>
              </m:r>
            </m:oMath>
            <w:r>
              <w:rPr>
                <w:rFonts w:ascii="Times New Roman" w:hAnsi="Times New Roman"/>
                <w:sz w:val="14"/>
              </w:rPr>
              <w:t>–</w:t>
            </w:r>
            <m:oMath>
              <m:r>
                <m:t>10</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19</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7</m:t>
              </m:r>
            </m:oMath>
            <w:r>
              <w:rPr>
                <w:rFonts w:ascii="Times New Roman" w:hAnsi="Times New Roman"/>
                <w:sz w:val="14"/>
              </w:rPr>
              <w:t>–</w:t>
            </w:r>
            <m:oMath>
              <m:r>
                <m:t>8</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0.05</m:t>
              </m:r>
              <m:r>
                <m:rPr>
                  <m:sty m:val="p"/>
                </m:rPr>
                <m:t>/</m:t>
              </m:r>
              <m:r>
                <m:t>0.05</m:t>
              </m:r>
              <m:r>
                <m:rPr>
                  <m:sty m:val="p"/>
                </m:rPr>
                <m:t>/</m:t>
              </m:r>
              <m:r>
                <m:t>0.10</m:t>
              </m:r>
            </m:oMath>
          </w:p>
        </w:tc>
        <w:tc>
          <w:tcPr>
            <w:tcW w:w="1130"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4"/>
              </w:rPr>
              <w:t xml:space="preserve"> </w:t>
            </w:r>
            <w:r>
              <w:rPr>
                <w:rFonts w:ascii="Times New Roman" w:hAnsi="Times New Roman"/>
                <w:sz w:val="14"/>
              </w:rPr>
              <w:t>[</w:t>
            </w:r>
            <m:oMath>
              <m:r>
                <m:t>0.0331</m:t>
              </m:r>
            </m:oMath>
            <w:r>
              <w:rPr>
                <w:rFonts w:ascii="Times New Roman" w:hAnsi="Times New Roman"/>
                <w:sz w:val="14"/>
              </w:rPr>
              <w:t>,</w:t>
            </w:r>
            <w:r>
              <w:rPr>
                <w:rFonts w:ascii="Times New Roman" w:hAnsi="Times New Roman"/>
                <w:sz w:val="14"/>
              </w:rPr>
              <w:t xml:space="preserve"> </w:t>
            </w:r>
            <m:oMath>
              <m:r>
                <m:t>0.0659</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0.0607</m:t>
              </m:r>
            </m:oMath>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 / 36</w:t>
            </w:r>
          </w:p>
        </w:tc>
        <w:tc>
          <w:tcPr>
            <w:tcW w:w="780"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0.0468</m:t>
              </m:r>
            </m:oMath>
          </w:p>
        </w:tc>
        <w:tc>
          <w:tcPr>
            <w:tcW w:w="10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 / 0 / 18</w:t>
            </w:r>
          </w:p>
        </w:tc>
        <w:tc>
          <w:tcPr>
            <w:tcW w:w="10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 / 0 / 35</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0.000</m:t>
              </m:r>
            </m:oMath>
          </w:p>
        </w:tc>
        <w:tc>
          <w:tcPr>
            <w:tcW w:w="11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Not established (replay)</w:t>
            </w:r>
          </w:p>
        </w:tc>
      </w:tr>
      <w:tr>
        <w:trPr>
          <w:cantSplit w:val="true"/>
        </w:trPr>
        <w:tc>
          <w:tcPr>
            <w:tcW w:w="59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EATA</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w:t>
            </w:r>
          </w:p>
        </w:tc>
        <w:tc>
          <w:tcPr>
            <w:tcW w:w="142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5 folds (</w:t>
            </w:r>
            <m:oMath>
              <m:r>
                <m:t>9</m:t>
              </m:r>
            </m:oMath>
            <w:r>
              <w:rPr>
                <w:rFonts w:ascii="Times New Roman" w:hAnsi="Times New Roman"/>
                <w:sz w:val="14"/>
              </w:rPr>
              <w:t>–</w:t>
            </w:r>
            <m:oMath>
              <m:r>
                <m:t>10</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19</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7</m:t>
              </m:r>
            </m:oMath>
            <w:r>
              <w:rPr>
                <w:rFonts w:ascii="Times New Roman" w:hAnsi="Times New Roman"/>
                <w:sz w:val="14"/>
              </w:rPr>
              <w:t>–</w:t>
            </w:r>
            <m:oMath>
              <m:r>
                <m:t>8</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0.05</m:t>
              </m:r>
              <m:r>
                <m:rPr>
                  <m:sty m:val="p"/>
                </m:rPr>
                <m:t>/</m:t>
              </m:r>
              <m:r>
                <m:t>0.05</m:t>
              </m:r>
              <m:r>
                <m:rPr>
                  <m:sty m:val="p"/>
                </m:rPr>
                <m:t>/</m:t>
              </m:r>
              <m:r>
                <m:t>0.10</m:t>
              </m:r>
            </m:oMath>
          </w:p>
        </w:tc>
        <w:tc>
          <w:tcPr>
            <w:tcW w:w="1130"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4"/>
              </w:rPr>
              <w:t xml:space="preserve"> </w:t>
            </w:r>
            <w:r>
              <w:rPr>
                <w:rFonts w:ascii="Times New Roman" w:hAnsi="Times New Roman"/>
                <w:sz w:val="14"/>
              </w:rPr>
              <w:t>[</w:t>
            </w:r>
            <m:oMath>
              <m:r>
                <m:t>0.0196</m:t>
              </m:r>
            </m:oMath>
            <w:r>
              <w:rPr>
                <w:rFonts w:ascii="Times New Roman" w:hAnsi="Times New Roman"/>
                <w:sz w:val="14"/>
              </w:rPr>
              <w:t>,</w:t>
            </w:r>
            <w:r>
              <w:rPr>
                <w:rFonts w:ascii="Times New Roman" w:hAnsi="Times New Roman"/>
                <w:sz w:val="14"/>
              </w:rPr>
              <w:t xml:space="preserve"> </w:t>
            </w:r>
            <m:oMath>
              <m:r>
                <m:t>0.0393</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0.0607</m:t>
              </m:r>
            </m:oMath>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 / 36</w:t>
            </w:r>
          </w:p>
        </w:tc>
        <w:tc>
          <w:tcPr>
            <w:tcW w:w="780"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0.0386</m:t>
              </m:r>
            </m:oMath>
          </w:p>
        </w:tc>
        <w:tc>
          <w:tcPr>
            <w:tcW w:w="10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 / 0 / 16</w:t>
            </w:r>
          </w:p>
        </w:tc>
        <w:tc>
          <w:tcPr>
            <w:tcW w:w="10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 / 0 / 36</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0.000</m:t>
              </m:r>
            </m:oMath>
          </w:p>
        </w:tc>
        <w:tc>
          <w:tcPr>
            <w:tcW w:w="11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Not established (replay)</w:t>
            </w:r>
          </w:p>
        </w:tc>
      </w:tr>
      <w:tr>
        <w:trPr>
          <w:cantSplit w:val="true"/>
        </w:trPr>
        <w:tc>
          <w:tcPr>
            <w:tcW w:w="59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SAR</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w:t>
            </w:r>
          </w:p>
        </w:tc>
        <w:tc>
          <w:tcPr>
            <w:tcW w:w="142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5 folds (</w:t>
            </w:r>
            <m:oMath>
              <m:r>
                <m:t>9</m:t>
              </m:r>
            </m:oMath>
            <w:r>
              <w:rPr>
                <w:rFonts w:ascii="Times New Roman" w:hAnsi="Times New Roman"/>
                <w:sz w:val="14"/>
              </w:rPr>
              <w:t>–</w:t>
            </w:r>
            <m:oMath>
              <m:r>
                <m:t>10</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19</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7</m:t>
              </m:r>
            </m:oMath>
            <w:r>
              <w:rPr>
                <w:rFonts w:ascii="Times New Roman" w:hAnsi="Times New Roman"/>
                <w:sz w:val="14"/>
              </w:rPr>
              <w:t>–</w:t>
            </w:r>
            <m:oMath>
              <m:r>
                <m:t>8</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0.05</m:t>
              </m:r>
              <m:r>
                <m:rPr>
                  <m:sty m:val="p"/>
                </m:rPr>
                <m:t>/</m:t>
              </m:r>
              <m:r>
                <m:t>0.05</m:t>
              </m:r>
              <m:r>
                <m:rPr>
                  <m:sty m:val="p"/>
                </m:rPr>
                <m:t>/</m:t>
              </m:r>
              <m:r>
                <m:t>0.10</m:t>
              </m:r>
            </m:oMath>
          </w:p>
        </w:tc>
        <w:tc>
          <w:tcPr>
            <w:tcW w:w="1130"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4"/>
              </w:rPr>
              <w:t xml:space="preserve"> </w:t>
            </w:r>
            <w:r>
              <w:rPr>
                <w:rFonts w:ascii="Times New Roman" w:hAnsi="Times New Roman"/>
                <w:sz w:val="14"/>
              </w:rPr>
              <w:t>[</w:t>
            </w:r>
            <m:oMath>
              <m:r>
                <m:t>0.0365</m:t>
              </m:r>
            </m:oMath>
            <w:r>
              <w:rPr>
                <w:rFonts w:ascii="Times New Roman" w:hAnsi="Times New Roman"/>
                <w:sz w:val="14"/>
              </w:rPr>
              <w:t>,</w:t>
            </w:r>
            <w:r>
              <w:rPr>
                <w:rFonts w:ascii="Times New Roman" w:hAnsi="Times New Roman"/>
                <w:sz w:val="14"/>
              </w:rPr>
              <w:t xml:space="preserve"> </w:t>
            </w:r>
            <m:oMath>
              <m:r>
                <m:t>0.2106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0.0607</m:t>
              </m:r>
            </m:oMath>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36 / 36</w:t>
            </w:r>
          </w:p>
        </w:tc>
        <w:tc>
          <w:tcPr>
            <w:tcW w:w="780"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0.0267</m:t>
              </m:r>
            </m:oMath>
          </w:p>
        </w:tc>
        <w:tc>
          <w:tcPr>
            <w:tcW w:w="10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 / 11 / 23</w:t>
            </w:r>
          </w:p>
        </w:tc>
        <w:tc>
          <w:tcPr>
            <w:tcW w:w="10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 / 10 / 26</w:t>
            </w:r>
          </w:p>
        </w:tc>
        <w:tc>
          <w:tcPr>
            <w:tcW w:w="560" w:type="dxa"/>
            <w:vAlign w:val="center"/>
            <w:tcMar>
              <w:top w:w="60" w:type="dxa"/>
              <w:start w:w="80" w:type="dxa"/>
              <w:bottom w:w="60" w:type="dxa"/>
              <w:end w:w="80" w:type="dxa"/>
            </w:tcMar>
          </w:tcPr>
          <w:p>
            <w:pPr>
              <w:pStyle w:val="Compact"/>
              <w:keepNext/>
              <w:spacing w:before="0" w:after="0" w:line="240" w:lineRule="auto"/>
              <w:jc w:val="left"/>
            </w:pPr>
            <m:oMath>
              <m:r>
                <m:t>0.000</m:t>
              </m:r>
            </m:oMath>
          </w:p>
        </w:tc>
        <w:tc>
          <w:tcPr>
            <w:tcW w:w="11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Not established (replay)</w:t>
            </w:r>
          </w:p>
        </w:tc>
      </w:tr>
      <w:tr>
        <w:trPr>
          <w:cantSplit w:val="true"/>
        </w:trPr>
        <w:tc>
          <w:tcPr>
            <w:tcW w:w="5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Total / Panel</w:t>
            </w:r>
          </w:p>
        </w:tc>
        <w:tc>
          <w:tcPr>
            <w:tcW w:w="5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108</w:t>
            </w:r>
          </w:p>
        </w:tc>
        <w:tc>
          <w:tcPr>
            <w:tcW w:w="14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folds (</w:t>
            </w:r>
            <m:oMath>
              <m:r>
                <m:t>9</m:t>
              </m:r>
            </m:oMath>
            <w:r>
              <w:rPr>
                <w:rFonts w:ascii="Times New Roman" w:hAnsi="Times New Roman"/>
                <w:sz w:val="14"/>
              </w:rPr>
              <w:t>–</w:t>
            </w:r>
            <m:oMath>
              <m:r>
                <m:t>10</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19</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m:t>7</m:t>
              </m:r>
            </m:oMath>
            <w:r>
              <w:rPr>
                <w:rFonts w:ascii="Times New Roman" w:hAnsi="Times New Roman"/>
                <w:sz w:val="14"/>
              </w:rPr>
              <w:t>–</w:t>
            </w:r>
            <m:oMath>
              <m:r>
                <m:t>8</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val="0"/>
              <w:spacing w:before="0" w:after="0" w:line="240" w:lineRule="auto"/>
              <w:jc w:val="left"/>
            </w:pPr>
            <m:oMath>
              <m:r>
                <m:t>0.05</m:t>
              </m:r>
              <m:r>
                <m:rPr>
                  <m:sty m:val="p"/>
                </m:rPr>
                <m:t>/</m:t>
              </m:r>
              <m:r>
                <m:t>0.05</m:t>
              </m:r>
              <m:r>
                <m:rPr>
                  <m:sty m:val="p"/>
                </m:rPr>
                <m:t>/</m:t>
              </m:r>
              <m:r>
                <m:t>0.10</m:t>
              </m:r>
            </m:oMath>
          </w:p>
        </w:tc>
        <w:tc>
          <w:tcPr>
            <w:tcW w:w="1130"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4"/>
              </w:rPr>
              <w:t xml:space="preserve"> </w:t>
            </w:r>
            <w:r>
              <w:rPr>
                <w:rFonts w:ascii="Times New Roman" w:hAnsi="Times New Roman"/>
                <w:sz w:val="14"/>
              </w:rPr>
              <w:t>[</w:t>
            </w:r>
            <m:oMath>
              <m:r>
                <m:t>0.0196</m:t>
              </m:r>
            </m:oMath>
            <w:r>
              <w:rPr>
                <w:rFonts w:ascii="Times New Roman" w:hAnsi="Times New Roman"/>
                <w:sz w:val="14"/>
              </w:rPr>
              <w:t>,</w:t>
            </w:r>
            <w:r>
              <w:rPr>
                <w:rFonts w:ascii="Times New Roman" w:hAnsi="Times New Roman"/>
                <w:sz w:val="14"/>
              </w:rPr>
              <w:t xml:space="preserve"> </w:t>
            </w:r>
            <m:oMath>
              <m:r>
                <m:t>0.2106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val="0"/>
              <w:spacing w:before="0" w:after="0" w:line="240" w:lineRule="auto"/>
              <w:jc w:val="left"/>
            </w:pPr>
            <m:oMath>
              <m:r>
                <m:t>0.0607</m:t>
              </m:r>
            </m:oMath>
          </w:p>
        </w:tc>
        <w:tc>
          <w:tcPr>
            <w:tcW w:w="5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108 / 108</w:t>
            </w:r>
          </w:p>
        </w:tc>
        <w:tc>
          <w:tcPr>
            <w:tcW w:w="78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0.0167</w:t>
            </w:r>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w:r>
              <w:rPr>
                <w:rFonts w:ascii="Times New Roman" w:hAnsi="Times New Roman"/>
                <w:b/>
                <w:bCs/>
                <w:sz w:val="14"/>
              </w:rPr>
              <w:t>0.0374</w:t>
            </w:r>
          </w:p>
        </w:tc>
        <w:tc>
          <w:tcPr>
            <w:tcW w:w="10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40 / 11 / 57</w:t>
            </w:r>
          </w:p>
        </w:tc>
        <w:tc>
          <w:tcPr>
            <w:tcW w:w="10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 / 10 / 97</w:t>
            </w:r>
          </w:p>
        </w:tc>
        <w:tc>
          <w:tcPr>
            <w:tcW w:w="5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11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Not established (replay)</w:t>
            </w:r>
          </w:p>
        </w:tc>
      </w:tr>
    </w:tbl>
    <w:bookmarkEnd w:id="85"/>
    <w:bookmarkEnd w:id="86"/>
    <w:bookmarkEnd w:id="87"/>
    <w:bookmarkStart w:id="106"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88" w:name="b.1-accuracy-based-diagnostic-replays"/>
    <w:p>
      <w:pPr>
        <w:pStyle w:val="Heading2"/>
        <w:widowControl/>
      </w:pPr>
      <w:r>
        <w:t xml:space="preserve">B.1 Accuracy-Based Diagnostic Replays</w:t>
      </w:r>
    </w:p>
    <w:p>
      <w:pPr>
        <w:pStyle w:val="FirstParagraph"/>
        <w:widowControl/>
      </w:pPr>
      <w:r>
        <w:t xml:space="preserve">Table 15 collects the remaining ordinary-accuracy replays;</w:t>
      </w:r>
      <w:r>
        <w:t xml:space="preserve"> </w:t>
      </w:r>
      <w:r>
        <w:t xml:space="preserve">the dataset-specific interpretations follow below.</w:t>
      </w:r>
    </w:p>
    <w:p>
      <w:pPr>
        <w:pStyle w:val="TableCaption"/>
        <w:widowControl/>
      </w:pPr>
      <w:r>
        <w:t xml:space="preserve">Table 15.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5.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88"/>
    <w:bookmarkStart w:id="89" w:name="b.2-balanced-accuracy-diagnostic-replays"/>
    <w:p>
      <w:pPr>
        <w:pStyle w:val="Heading2"/>
        <w:widowControl/>
      </w:pPr>
      <w:r>
        <w:t xml:space="preserve">B.2 Balanced-Accuracy Diagnostic Replays</w:t>
      </w:r>
    </w:p>
    <w:p>
      <w:pPr>
        <w:pStyle w:val="FirstParagraph"/>
        <w:widowControl/>
      </w:pPr>
      <w:r>
        <w:t xml:space="preserve">Table 16 reports the balanced-accuracy replays on their own</w:t>
      </w:r>
      <w:r>
        <w:t xml:space="preserve"> </w:t>
      </w:r>
      <w:r>
        <w:t xml:space="preserve">metric scale, with each recorded candidate and evaluation unit kept distinct.</w:t>
      </w:r>
    </w:p>
    <w:p>
      <w:pPr>
        <w:pStyle w:val="TableCaption"/>
        <w:widowControl/>
      </w:pPr>
      <w:r>
        <w:t xml:space="preserve">Table 16.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6.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89"/>
    <w:bookmarkStart w:id="93" w:name="b.3-large-scale-corruption-imagenet-c"/>
    <w:p>
      <w:pPr>
        <w:pStyle w:val="Heading2"/>
        <w:widowControl/>
      </w:pPr>
      <w:r>
        <w:t xml:space="preserve">B.3 Large-Scale Corruption: ImageNet-C</w:t>
      </w:r>
    </w:p>
    <w:p>
      <w:pPr>
        <w:pStyle w:val="FirstParagraph"/>
        <w:widowControl/>
      </w:pPr>
      <w:r>
        <w:t xml:space="preserve">ImageNet-C is candidate-dependent. SAR has KGA/adapt/freeze regrets</w:t>
      </w:r>
      <w:r>
        <w:t xml:space="preserve"> </w:t>
      </w:r>
      <m:oMath>
        <m:r>
          <m:t>0.0348</m:t>
        </m:r>
      </m:oMath>
      <w:r>
        <w:t xml:space="preserve">/</w:t>
      </w:r>
      <m:oMath>
        <m:r>
          <m:t>0.0529</m:t>
        </m:r>
      </m:oMath>
      <w:r>
        <w:t xml:space="preserve">/</w:t>
      </w:r>
      <m:oMath>
        <m:r>
          <m:t>0.0319</m:t>
        </m:r>
      </m:oMath>
      <w:r>
        <w:t xml:space="preserve">; on this 135-cell historical panel, KGA improves upon always-adapt</w:t>
      </w:r>
      <w:r>
        <w:t xml:space="preserve"> </w:t>
      </w:r>
      <w:r>
        <w:t xml:space="preserve">(</w:t>
      </w:r>
      <m:oMath>
        <m:r>
          <m:t>0.0348</m:t>
        </m:r>
      </m:oMath>
      <w:r>
        <w:t xml:space="preserve"> </w:t>
      </w:r>
      <w:r>
        <w:t xml:space="preserve">vs. </w:t>
      </w:r>
      <m:oMath>
        <m:r>
          <m:t>0.0529</m:t>
        </m:r>
      </m:oMath>
      <w:r>
        <w:t xml:space="preserve">) but trails always-freeze (</w:t>
      </w:r>
      <m:oMath>
        <m:r>
          <m:t>0.0348</m:t>
        </m:r>
      </m:oMath>
      <w:r>
        <w:t xml:space="preserve"> </w:t>
      </w:r>
      <w:r>
        <w:t xml:space="preserve">vs. </w:t>
      </w:r>
      <m:oMath>
        <m:r>
          <m:t>0.0319</m:t>
        </m:r>
      </m:oMath>
      <w:r>
        <w:t xml:space="preserve">), with</w:t>
      </w:r>
      <w:r>
        <w:t xml:space="preserve"> </w:t>
      </w:r>
      <w:r>
        <w:t xml:space="preserve">one false adaptation among 135 cells and without seed-robust inferential support. Tent ties the</w:t>
      </w:r>
      <w:r>
        <w:t xml:space="preserve"> </w:t>
      </w:r>
      <w:r>
        <w:t xml:space="preserve">always-freeze point estimate and makes no strict decisions in the reconciled row. EATA nearly</w:t>
      </w:r>
      <w:r>
        <w:t xml:space="preserve"> </w:t>
      </w:r>
      <w:r>
        <w:t xml:space="preserve">tracks always-adapt but has a larger KGA regret (</w:t>
      </w:r>
      <m:oMath>
        <m:r>
          <m:t>0.0007</m:t>
        </m:r>
      </m:oMath>
      <w:r>
        <w:t xml:space="preserve"> </w:t>
      </w:r>
      <w:r>
        <w:t xml:space="preserve">versus</w:t>
      </w:r>
      <w:r>
        <w:t xml:space="preserve"> </w:t>
      </w:r>
      <m:oMath>
        <m:r>
          <m:t>0.0001</m:t>
        </m:r>
      </m:oMath>
      <w:r>
        <w:t xml:space="preserve">). These results show why</w:t>
      </w:r>
      <w:r>
        <w:t xml:space="preserve"> </w:t>
      </w:r>
      <w:r>
        <w:t xml:space="preserve">ImageNet-C must be interpreted at the candidate-policy level rather than through one dataset-wide</w:t>
      </w:r>
      <w:r>
        <w:t xml:space="preserve"> </w:t>
      </w:r>
      <w:r>
        <w:t xml:space="preserve">success label.</w:t>
      </w:r>
      <w:r>
        <w:t xml:space="preserve"> </w:t>
      </w:r>
      <w:r>
        <w:t xml:space="preserve">To resolve whether KGA’s decision value on SAR was confounded by this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17</w:t>
      </w:r>
      <w:r>
        <w:t xml:space="preserve"> </w:t>
      </w:r>
      <w:r>
        <w:t xml:space="preserve">defines the reported five-arm configuration matrix isolating learning rate and parameter mask factors.</w:t>
      </w:r>
      <w:r>
        <w:t xml:space="preserve"> </w:t>
      </w:r>
      <w:r>
        <w:t xml:space="preserve">Table 18 reproduces that historical summary; it is not a current</w:t>
      </w:r>
      <w:r>
        <w:t xml:space="preserve"> </w:t>
      </w:r>
      <w:r>
        <w:t xml:space="preserve">authenticated benchmark result.</w:t>
      </w:r>
    </w:p>
    <w:p>
      <w:pPr>
        <w:pStyle w:val="TableCaption"/>
        <w:widowControl/>
      </w:pPr>
      <w:r>
        <w:t xml:space="preserve">Table 17.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17.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18.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19.</w:t>
      </w:r>
    </w:p>
    <w:tbl>
      <w:tblPr>
        <w:tblStyle w:val="Table"/>
        <w:tblW w:type="dxa" w:w="9960"/>
        <w:jc w:val="left"/>
        <w:tblLayout w:type="fixed"/>
        <w:tblLook w:firstRow="1" w:lastRow="0" w:firstColumn="0" w:lastColumn="0" w:noHBand="0" w:noVBand="0" w:val="0020"/>
        <w:tblCaption w:val="Table 18.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19."/>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strictly outperforming both fixed policies on that development seed-0 ResNet-50 checkpoint.</w:t>
      </w:r>
      <w:r>
        <w:t xml:space="preserve"> </w:t>
      </w:r>
      <w:r>
        <w:t xml:space="preserve">Historical source pointer (raw 60-cell manifest not resident):</w:t>
      </w:r>
      <w:r>
        <w:t xml:space="preserve"> </w:t>
      </w:r>
      <w:r>
        <w:rPr>
          <w:rStyle w:val="VerbatimChar"/>
        </w:rPr>
        <w:t xml:space="preserve">experiments/kbound/results/imagenetc_sar_official_control_v1/</w:t>
      </w:r>
      <w:r>
        <w:t xml:space="preserve">.</w:t>
      </w:r>
    </w:p>
    <w:bookmarkStart w:id="90" w:name="X9ed04230aff2962e5042684ce908816779f98d9"/>
    <w:p>
      <w:pPr>
        <w:pStyle w:val="Heading3"/>
        <w:keepNext/>
        <w:widowControl/>
        <w:spacing w:before="100" w:after="20" w:line="252" w:lineRule="auto"/>
      </w:pPr>
      <w:r>
        <w:rPr>
          <w:rFonts w:ascii="Times New Roman" w:hAnsi="Times New Roman" w:eastAsia="Times New Roman" w:cs="Times New Roman"/>
          <w:b/>
          <w:sz w:val="19"/>
        </w:rPr>
        <w:t xml:space="preserve">Outcome-Disjoint 27-Cell Reference-SAR Calibration Audit.</w:t>
      </w:r>
    </w:p>
    <w:p>
      <w:pPr>
        <w:pStyle w:val="FirstParagraph"/>
        <w:widowControl/>
      </w:pPr>
      <w:r>
        <w:t xml:space="preserve">As a calibration-audit check, we also replayed the completed seed-0 reference-SAR records</w:t>
      </w:r>
      <w:r>
        <w:t xml:space="preserve"> </w:t>
      </w:r>
      <w:r>
        <w:t xml:space="preserve">through the canonical three-way cell-outcome-disjoint cross-fitting implementation (Protocol B,</w:t>
      </w:r>
      <w:r>
        <w:t xml:space="preserve"> </w:t>
      </w:r>
      <w:r>
        <w:rPr>
          <w:rStyle w:val="VerbatimChar"/>
        </w:rPr>
        <w:t xml:space="preserve">kga.crossfit.controlled_grid_crossfit</w:t>
      </w:r>
      <w:r>
        <w:t xml:space="preserve">),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19 reports the full performance metrics across all decision policies.</w:t>
      </w:r>
    </w:p>
    <w:p>
      <w:pPr>
        <w:pStyle w:val="TableCaption"/>
        <w:widowControl/>
      </w:pPr>
      <w:r>
        <w:t xml:space="preserve">Table 19.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19.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19 and the historical 60-cell matched-control summary in Table 18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audit is the current formal pipeline verification; it does not validate or replace the historical 60-cell summary, and it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beats always-adapt. The full replay is stored in the September 12</w:t>
      </w:r>
      <w:r>
        <w:t xml:space="preserve"> </w:t>
      </w:r>
      <w:r>
        <w:t xml:space="preserve">condition-ID replay receipt in the task-closure evidence directory.</w:t>
      </w:r>
    </w:p>
    <w:p>
      <w:pPr>
        <w:pStyle w:val="BodyText"/>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 The first completed corrected checkpoint</w:t>
      </w:r>
      <w:r>
        <w:t xml:space="preserve"> </w:t>
      </w:r>
      <w:r>
        <w:t xml:space="preserve">is reported separately below. A full ResNet-50 configuration check matches the corrected</w:t>
      </w:r>
      <w:r>
        <w:t xml:space="preserve"> </w:t>
      </w:r>
      <w:r>
        <w:t xml:space="preserve">implementation’s optimizer parameter names and all BatchNorm running-statistic</w:t>
      </w:r>
      <w:r>
        <w:t xml:space="preserve"> </w:t>
      </w:r>
      <w:r>
        <w:t xml:space="preserve">settings to the hash-authenticated pinned SAR functions. This check uses no</w:t>
      </w:r>
      <w:r>
        <w:t xml:space="preserve"> </w:t>
      </w:r>
      <w:r>
        <w:t xml:space="preserve">pretrained weights or evaluation data and does not establish optimizer-trajectory</w:t>
      </w:r>
      <w:r>
        <w:t xml:space="preserve"> </w:t>
      </w:r>
      <w:r>
        <w:t xml:space="preserve">or performance parity. Labels also construct the imbalanced and single-class streams;</w:t>
      </w:r>
      <w:r>
        <w:t xml:space="preserve"> </w:t>
      </w:r>
      <w:r>
        <w:t xml:space="preserve">the saved-feature calibration audit does not remove that upstream dependency.</w:t>
      </w:r>
    </w:p>
    <w:p>
      <w:pPr>
        <w:pStyle w:val="BodyText"/>
        <w:widowControl/>
      </w:pPr>
      <w:r>
        <w:t xml:space="preserve">In the historical, pre-repair series, seeds 0, 1, and 2 completed all 27 conditions each.</w:t>
      </w:r>
      <w:r>
        <w:t xml:space="preserve"> </w:t>
      </w:r>
      <w:r>
        <w:t xml:space="preserve">Recalculation from their saved checkpoint scores and decisions reproduces the reported</w:t>
      </w:r>
      <w:r>
        <w:t xml:space="preserve"> </w:t>
      </w:r>
      <w:r>
        <w:t xml:space="preserve">accuracy means. For seeds 0/1/2 respectively, always-freeze accuracy is</w:t>
      </w:r>
      <w:r>
        <w:t xml:space="preserve"> </w:t>
      </w:r>
      <w:r>
        <w:t xml:space="preserve">39.76/39.82/38.80%, always-adapt accuracy is 43.42/43.35/42.01%, and the saved</w:t>
      </w:r>
      <w:r>
        <w:t xml:space="preserve"> </w:t>
      </w:r>
      <w:r>
        <w:t xml:space="preserve">Protocol-A LOO KGA accuracy is 43.18/43.21/39.68%. ADAPT/FREEZE/ABSTAIN counts are</w:t>
      </w:r>
      <w:r>
        <w:t xml:space="preserve"> </w:t>
      </w:r>
      <w:r>
        <w:t xml:space="preserve">20/0/7, 19/0/8, and 4/0/23. Seed 2 contains 20 helpful and seven harmful candidate</w:t>
      </w:r>
      <w:r>
        <w:t xml:space="preserve"> </w:t>
      </w:r>
      <w:r>
        <w:t xml:space="preserve">updates; its four ADAPT decisions are helpful. None of these saved gates beats both</w:t>
      </w:r>
      <w:r>
        <w:t xml:space="preserve"> </w:t>
      </w:r>
      <w:r>
        <w:t xml:space="preserve">fixed policies. These are completed local development repetitions with verified arithmetic;</w:t>
      </w:r>
      <w:r>
        <w:t xml:space="preserve"> </w:t>
      </w:r>
      <w:r>
        <w:t xml:space="preserve">the saved LOO decisions do not inherit the separate Protocol-B outcome-exclusion check.</w:t>
      </w:r>
      <w:r>
        <w:t xml:space="preserve"> </w:t>
      </w:r>
      <w:r>
        <w:t xml:space="preserve">Seeds 3–4 and full execution/configuration authentication remain open. The completed</w:t>
      </w:r>
      <w:r>
        <w:t xml:space="preserve"> </w:t>
      </w:r>
      <w:r>
        <w:t xml:space="preserve">saved-feature calibration checks do not validate the historical upstream BN behavior</w:t>
      </w:r>
      <w:r>
        <w:t xml:space="preserve"> </w:t>
      </w:r>
      <w:r>
        <w:t xml:space="preserve">or the label-dependent stream construction. The corrected runner writes a fresh</w:t>
      </w:r>
      <w:r>
        <w:t xml:space="preserve"> </w:t>
      </w:r>
      <w:r>
        <w:t xml:space="preserve">result series: its launcher no longer treats a results filename as completion, and</w:t>
      </w:r>
      <w:r>
        <w:t xml:space="preserve"> </w:t>
      </w:r>
      <w:r>
        <w:t xml:space="preserve">orphan results without a compatible checkpoint identity are rejected before data or</w:t>
      </w:r>
      <w:r>
        <w:t xml:space="preserve"> </w:t>
      </w:r>
      <w:r>
        <w:t xml:space="preserve">model access. These software repairs do not supply missing seed results.</w:t>
      </w:r>
      <w:r>
        <w:t xml:space="preserve"> </w:t>
      </w:r>
      <w:r>
        <w:t xml:space="preserve">The resident seed-0 run does not establish the historical BN-only comparison, whose</w:t>
      </w:r>
      <w:r>
        <w:t xml:space="preserve"> </w:t>
      </w:r>
      <w:r>
        <w:t xml:space="preserve">underlying matched-arm records remain unauthenticated.</w:t>
      </w:r>
      <w:r>
        <w:t xml:space="preserve"> </w:t>
      </w:r>
      <w:r>
        <w:t xml:space="preserve">Machine-readable receipt:</w:t>
      </w:r>
      <w:r>
        <w:t xml:space="preserve"> </w:t>
      </w:r>
      <w:r>
        <w:rPr>
          <w:rStyle w:val="VerbatimChar"/>
        </w:rPr>
        <w:t xml:space="preserve">experiments/kbound/results/task4_sar_crossfit_replay_20260911_v1/TASK4_SAR_CROSSFIT_REPLAY.json</w:t>
      </w:r>
      <w:r>
        <w:t xml:space="preserve">.</w:t>
      </w:r>
    </w:p>
    <w:bookmarkEnd w:id="90"/>
    <w:bookmarkStart w:id="91" w:name="X78dde2d9bf5fc2fec65b0830113937818d6787f"/>
    <w:p>
      <w:pPr>
        <w:pStyle w:val="Heading3"/>
        <w:keepNext/>
        <w:widowControl/>
        <w:spacing w:before="100" w:after="20" w:line="252" w:lineRule="auto"/>
      </w:pPr>
      <w:r>
        <w:rPr>
          <w:rFonts w:ascii="Times New Roman" w:hAnsi="Times New Roman" w:eastAsia="Times New Roman" w:cs="Times New Roman"/>
          <w:b/>
          <w:sz w:val="19"/>
        </w:rPr>
        <w:t xml:space="preserve">First Completed Corrected-BN Control: Separate Development Replay.</w:t>
      </w:r>
    </w:p>
    <w:p>
      <w:pPr>
        <w:pStyle w:val="FirstParagraph"/>
        <w:widowControl/>
      </w:pP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beat both fixed policies.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The corrected multi-seed series is incomplete; the old</w:t>
      </w:r>
      <w:r>
        <w:t xml:space="preserve"> </w:t>
      </w:r>
      <w:r>
        <w:t xml:space="preserve">and new gate constructions must not be conflated as an isolated BN-effect estimate.</w:t>
      </w:r>
      <w:r>
        <w:t xml:space="preserve"> </w:t>
      </w:r>
      <w:r>
        <w:t xml:space="preserve">Full-precision records, software identities, and the executable replay are in</w:t>
      </w:r>
      <w:r>
        <w:t xml:space="preserve"> </w:t>
      </w:r>
      <w:r>
        <w:rPr>
          <w:rStyle w:val="VerbatimChar"/>
        </w:rPr>
        <w:t xml:space="preserve">experiments/kbound/results/sar_bncorrected_seed0_disjoint_20260912/</w:t>
      </w:r>
      <w:r>
        <w:t xml:space="preserve">.</w:t>
      </w:r>
      <w:r>
        <w:t xml:space="preserve"> </w:t>
      </w:r>
      <w:r>
        <w:t xml:space="preserve">The maintained head-to-head CLI now also accepts an explicitly hash-bound saved-row</w:t>
      </w:r>
      <w:r>
        <w:t xml:space="preserve"> </w:t>
      </w:r>
      <w:r>
        <w:t xml:space="preserve">checkpoint and a fresh output directory. Its independent CLI replay in</w:t>
      </w:r>
      <w:r>
        <w:t xml:space="preserve"> </w:t>
      </w:r>
      <w:r>
        <w:rPr>
          <w:rStyle w:val="VerbatimChar"/>
        </w:rPr>
        <w:t xml:space="preserve">experiments/kbound/results/sar_bncorrected_seed0_cli_20260912/</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p>
      <w:pPr>
        <w:pStyle w:val="BodyText"/>
        <w:widowControl/>
      </w:pPr>
      <w:r>
        <w:t xml:space="preserve">Importantly, the historical Table 18 reported that the BN-statistics-only arm + KGA achieves</w:t>
      </w:r>
      <w:r>
        <w:t xml:space="preserve"> </w:t>
      </w:r>
      <w:r>
        <w:t xml:space="preserve">mean accuracy</w:t>
      </w:r>
      <w:r>
        <w:t xml:space="preserve"> </w:t>
      </w:r>
      <m:oMath>
        <m:r>
          <m:t>0.4125</m:t>
        </m:r>
      </m:oMath>
      <w:r>
        <w:t xml:space="preserve"> </w:t>
      </w:r>
      <w:r>
        <w:t xml:space="preserve">(zero oracle regret), outperforming reference SAR + KGA (</w:t>
      </w:r>
      <m:oMath>
        <m:r>
          <m:t>0.4086</m:t>
        </m:r>
      </m:oMath>
      <w:r>
        <w:t xml:space="preserve">).</w:t>
      </w:r>
      <w:r>
        <w:t xml:space="preserve"> </w:t>
      </w:r>
      <w:r>
        <w:t xml:space="preserve">If its underlying records are recovered and re-authenticated, this would make normalization-only adaptation an important alternative in this setting: test-time normalization statistics</w:t>
      </w:r>
      <w:r>
        <w:t xml:space="preserve"> </w:t>
      </w:r>
      <w:r>
        <w:t xml:space="preserve">account for the bulk of adaptation gains on these noise families, indicating that SAR’s gradient updates do not add</w:t>
      </w:r>
      <w:r>
        <w:t xml:space="preserve"> </w:t>
      </w:r>
      <w:r>
        <w:t xml:space="preserve">value beyond normalization adaptation alone on this panel. Cross-candidate regret must not be pooled as though candidates</w:t>
      </w:r>
      <w:r>
        <w:t xml:space="preserve"> </w:t>
      </w:r>
      <w:r>
        <w:t xml:space="preserve">share a single oracle; task accuracy on common records provides the valid basis for comparison.</w:t>
      </w:r>
    </w:p>
    <w:bookmarkEnd w:id="91"/>
    <w:bookmarkStart w:id="92"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20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20.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0.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strictly zero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2"/>
    <w:bookmarkEnd w:id="93"/>
    <w:bookmarkStart w:id="94"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15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21.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1.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94"/>
    <w:bookmarkStart w:id="95"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w:t>
      </w:r>
      <w:r>
        <w:t xml:space="preserve"> </w:t>
      </w:r>
      <w:r>
        <w:t xml:space="preserve">diagnostics remain separate from this OOD endpoint. In the B–v2 SAR diagnostic, KGA regret is</w:t>
      </w:r>
      <w:r>
        <w:t xml:space="preserve"> </w:t>
      </w:r>
      <m:oMath>
        <m:r>
          <m:t>0.0006</m:t>
        </m:r>
      </m:oMath>
      <w:r>
        <w:t xml:space="preserve">, compared with</w:t>
      </w:r>
      <w:r>
        <w:t xml:space="preserve"> </w:t>
      </w:r>
      <m:oMath>
        <m:r>
          <m:t>0.0016</m:t>
        </m:r>
      </m:oMath>
      <w:r>
        <w:t xml:space="preserve"> </w:t>
      </w:r>
      <w:r>
        <w:t xml:space="preserve">for always-adapt and</w:t>
      </w:r>
      <w:r>
        <w:t xml:space="preserve"> </w:t>
      </w:r>
      <m:oMath>
        <m:r>
          <m:t>0.1001</m:t>
        </m:r>
      </m:oMath>
      <w:r>
        <w:t xml:space="preserve"> </w:t>
      </w:r>
      <w:r>
        <w:t xml:space="preserve">for always-freeze. All three run-seed</w:t>
      </w:r>
      <w:r>
        <w:t xml:space="preserve"> </w:t>
      </w:r>
      <w:r>
        <w:t xml:space="preserve">point estimates favor KGA relative to each fixed policy, but the archived paired interval against</w:t>
      </w:r>
      <w:r>
        <w:t xml:space="preserve"> </w:t>
      </w:r>
      <w:r>
        <w:t xml:space="preserve">always-adapt includes zero and the Holm-adjusted comparison does not pass. The run seeds also do not</w:t>
      </w:r>
      <w:r>
        <w:t xml:space="preserve"> </w:t>
      </w:r>
      <w:r>
        <w:t xml:space="preserve">record independent checkpoint identities, and the target was already open. We therefore retain this</w:t>
      </w:r>
      <w:r>
        <w:t xml:space="preserve"> </w:t>
      </w:r>
      <w:r>
        <w:t xml:space="preserve">as within-seed stress evidence rather than untouched natural-domain transfer.</w:t>
      </w:r>
    </w:p>
    <w:bookmarkEnd w:id="95"/>
    <w:bookmarkStart w:id="96"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96"/>
    <w:bookmarkStart w:id="97"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97"/>
    <w:bookmarkStart w:id="101" w:name="b.8-boundary-and-transfer-diagnostics"/>
    <w:p>
      <w:pPr>
        <w:pStyle w:val="Heading2"/>
        <w:widowControl/>
      </w:pPr>
      <w:r>
        <w:t xml:space="preserve">B.8 Boundary and Transfer Diagnostics</w:t>
      </w:r>
    </w:p>
    <w:bookmarkStart w:id="98"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Its archived aggregate lacks</w:t>
      </w:r>
      <w:r>
        <w:t xml:space="preserve"> </w:t>
      </w:r>
      <w:r>
        <w:t xml:space="preserve">the residual detail needed for full gate replay, so it remains an aggregate performance diagnostic</w:t>
      </w:r>
      <w:r>
        <w:t xml:space="preserve"> </w:t>
      </w:r>
      <w:r>
        <w:t xml:space="preserve">with incomplete certificate replay.</w:t>
      </w:r>
    </w:p>
    <w:bookmarkEnd w:id="98"/>
    <w:bookmarkStart w:id="99" w:name="b.8.2-imagenet-r-backbone-breakdown"/>
    <w:p>
      <w:pPr>
        <w:pStyle w:val="Heading3"/>
        <w:widowControl/>
      </w:pPr>
      <w:r>
        <w:t xml:space="preserve">B.8.2 ImageNet-R Backbone Breakdown</w:t>
      </w:r>
    </w:p>
    <w:p>
      <w:pPr>
        <w:pStyle w:val="FirstParagraph"/>
        <w:widowControl/>
      </w:pPr>
      <w:r>
        <w:t xml:space="preserve">ImageNet-R [24] KGA regret is</w:t>
      </w:r>
      <w:r>
        <w:t xml:space="preserve"> </w:t>
      </w:r>
      <m:oMath>
        <m:r>
          <m:t>0.0150</m:t>
        </m:r>
      </m:oMath>
      <w:r>
        <w:t xml:space="preserve">, compared with</w:t>
      </w:r>
      <w:r>
        <w:t xml:space="preserve"> </w:t>
      </w:r>
      <m:oMath>
        <m:r>
          <m:t>0.0064</m:t>
        </m:r>
      </m:oMath>
      <w:r>
        <w:t xml:space="preserve"> </w:t>
      </w:r>
      <w:r>
        <w:t xml:space="preserve">for always-adapt, across the ten-backbone</w:t>
      </w:r>
      <w:r>
        <w:t xml:space="preserve"> </w:t>
      </w:r>
      <w:r>
        <w:t xml:space="preserve">architecture panel. No backbone has lower KGA point regret than each fixed comparator. KGA regret</w:t>
      </w:r>
      <w:r>
        <w:t xml:space="preserve"> </w:t>
      </w:r>
      <w:r>
        <w:t xml:space="preserve">is higher than always-adapt regret on 8 of 10 backbones; four of those eight have a 0% harmful base</w:t>
      </w:r>
      <w:r>
        <w:t xml:space="preserve"> </w:t>
      </w:r>
      <w:r>
        <w:t xml:space="preserve">rate, so routing has no harm to avoid. On</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w:t>
      </w:r>
      <w:r>
        <w:t xml:space="preserve"> </w:t>
      </w:r>
      <w:r>
        <w:t xml:space="preserve">always-adapt but exactly matches always-freeze and makes no adapt decisions. The pattern is</w:t>
      </w:r>
      <w:r>
        <w:t xml:space="preserve"> </w:t>
      </w:r>
      <w:r>
        <w:t xml:space="preserve">consistent with the regime map: routing can add value only where candidate harm is present, while</w:t>
      </w:r>
      <w:r>
        <w:t xml:space="preserve"> </w:t>
      </w:r>
      <w:r>
        <w:t xml:space="preserve">these two rows evaluate conservative retention rather than selective routing.</w:t>
      </w:r>
    </w:p>
    <w:bookmarkEnd w:id="99"/>
    <w:bookmarkStart w:id="100"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00"/>
    <w:bookmarkEnd w:id="101"/>
    <w:bookmarkStart w:id="103" w:name="X9e82a712763388cbcaa7b1afc8ef7e655793df8"/>
    <w:p>
      <w:pPr>
        <w:pStyle w:val="Heading2"/>
        <w:widowControl/>
      </w:pPr>
      <w:r>
        <w:t xml:space="preserve">B.9 Historical and Synchronized Protocol-Matched Baseline Ports</w:t>
      </w:r>
    </w:p>
    <w:p>
      <w:pPr>
        <w:pStyle w:val="FirstParagraph"/>
        <w:widowControl/>
      </w:pPr>
      <w:r>
        <w:t xml:space="preserve">The repository retains an earlier historical head-to-head artifact on the locked CIFAR-10-C stress stream, but its KGA</w:t>
      </w:r>
      <w:r>
        <w:t xml:space="preserve"> </w:t>
      </w:r>
      <w:r>
        <w:t xml:space="preserve">actions came from an earlier policy and served as developmental history.</w:t>
      </w:r>
      <w:r>
        <w:t xml:space="preserve"> </w:t>
      </w:r>
      <w:r>
        <w:t xml:space="preserve">Historical Protocol-Matched POEM and AETTA rows are retained here as non-native diagnostics;</w:t>
      </w:r>
      <w:r>
        <w:t xml:space="preserve"> </w:t>
      </w:r>
      <w:r>
        <w:t xml:space="preserve">they are not official upstream executions and are not promoted as external-method evidence.</w:t>
      </w:r>
      <w:r>
        <w:t xml:space="preserve"> </w:t>
      </w:r>
      <w:r>
        <w:t xml:space="preserve">For comparison of local decision rules, Section 8.3 (Table 9)</w:t>
      </w:r>
      <w:r>
        <w:t xml:space="preserve"> </w:t>
      </w:r>
      <w:r>
        <w:t xml:space="preserve">now reports a regenerated Protocol-B comparison across 2,160 CIFAR-10-C rows</w:t>
      </w:r>
      <w:r>
        <w:t xml:space="preserve"> </w:t>
      </w:r>
      <w:r>
        <w:t xml:space="preserve">using fixed policies, scalar evidence rules and a same-prediction point gate;</w:t>
      </w:r>
      <w:r>
        <w:t xml:space="preserve"> </w:t>
      </w:r>
      <w:r>
        <w:t xml:space="preserve">it contains no native or port-labelled external-method rows. The superseded</w:t>
      </w:r>
      <w:r>
        <w:t xml:space="preserve"> </w:t>
      </w:r>
      <w:r>
        <w:t xml:space="preserve">synchronized/P4 text is retained as</w:t>
      </w:r>
      <w:r>
        <w:t xml:space="preserve"> </w:t>
      </w:r>
      <w:r>
        <w:rPr>
          <w:rStyle w:val="VerbatimChar"/>
        </w:rPr>
        <w:t xml:space="preserve">experiments/kbound/results/cifar_paired_array_audit_20260912.Q4GKLg/HISTORICAL_MANUSCRIPT_SECTIONS_20260912.tex</w:t>
      </w:r>
      <w:r>
        <w:t xml:space="preserve">.</w:t>
      </w:r>
      <w:r>
        <w:t xml:space="preserve"> </w:t>
      </w:r>
      <w:r>
        <w:t xml:space="preserve">Appendix B.3.1</w:t>
      </w:r>
      <w:r>
        <w:t xml:space="preserve"> </w:t>
      </w:r>
      <w:r>
        <w:t xml:space="preserve">(Table 20) retains its historical 108-condition</w:t>
      </w:r>
      <w:r>
        <w:t xml:space="preserve"> </w:t>
      </w:r>
      <w:r>
        <w:t xml:space="preserve">ImageNet-C Protocol-A status. The historical port names refer to</w:t>
      </w:r>
      <w:r>
        <w:t xml:space="preserve"> </w:t>
      </w:r>
      <w:r>
        <w:t xml:space="preserve">local comparators inspired by TTA/ALine [51],</w:t>
      </w:r>
      <w:r>
        <w:t xml:space="preserve"> </w:t>
      </w:r>
      <w:r>
        <w:t xml:space="preserve">AETTA [18], and POEM [14], not validated equivalents of</w:t>
      </w:r>
      <w:r>
        <w:t xml:space="preserve"> </w:t>
      </w:r>
      <w:r>
        <w:t xml:space="preserve">those algorithms. In the maintained standalone head-to-head script, for example,</w:t>
      </w:r>
      <w:r>
        <w:t xml:space="preserve"> </w:t>
      </w:r>
      <w:r>
        <w:t xml:space="preserve">the fallback named</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 confidence exceeds</w:t>
      </w:r>
      <w:r>
        <w:t xml:space="preserve"> </w:t>
      </w:r>
      <w:r>
        <w:t xml:space="preserve">pre-adaptation confidence. These scalar rules do not establish execution of a</w:t>
      </w:r>
      <w:r>
        <w:t xml:space="preserve"> </w:t>
      </w:r>
      <w:r>
        <w:t xml:space="preserve">native protector, accuracy-estimation procedure, or multi-model agreement fit.</w:t>
      </w:r>
      <w:r>
        <w:t xml:space="preserve"> </w:t>
      </w:r>
      <w:r>
        <w:t xml:space="preserve">The historical artifacts keep their original labels and numerical values, but</w:t>
      </w:r>
      <w:r>
        <w:t xml:space="preserve"> </w:t>
      </w:r>
      <w:r>
        <w:t xml:space="preserve">comparative claims about the cited methods require authenticated native outputs</w:t>
      </w:r>
      <w:r>
        <w:t xml:space="preserve"> </w:t>
      </w:r>
      <w:r>
        <w:t xml:space="preserve">and a verified shared execution protocol. An intended mathematical description</w:t>
      </w:r>
      <w:r>
        <w:t xml:space="preserve"> </w:t>
      </w:r>
      <w:r>
        <w:t xml:space="preserve">of a port is not evidence that the published algorithm was implemented.</w:t>
      </w:r>
    </w:p>
    <w:bookmarkStart w:id="102" w:name="X70edf6f8f8aeb30d7bf2e4f90692548b5470e10"/>
    <w:p>
      <w:pPr>
        <w:pStyle w:val="Heading3"/>
        <w:keepNext/>
        <w:widowControl/>
        <w:spacing w:before="100" w:after="20" w:line="252" w:lineRule="auto"/>
      </w:pPr>
      <w:r>
        <w:rPr>
          <w:rFonts w:ascii="Times New Roman" w:hAnsi="Times New Roman" w:eastAsia="Times New Roman" w:cs="Times New Roman"/>
          <w:b/>
          <w:sz w:val="19"/>
        </w:rPr>
        <w:t xml:space="preserve">Provenance Audits and Technical Execution Barriers.</w:t>
      </w:r>
    </w:p>
    <w:p>
      <w:pPr>
        <w:pStyle w:val="FirstParagraph"/>
        <w:widowControl/>
      </w:pPr>
      <w:r>
        <w:t xml:space="preserve">These methods are designated as protocol-matched ports rather than raw upstream code executions due to concrete software and hardware barriers identified in our repository provenance audits:</w:t>
      </w:r>
    </w:p>
    <w:p>
      <w:pPr>
        <w:widowControl/>
        <w:numPr>
          <w:ilvl w:val="0"/>
          <w:numId w:val="1011"/>
        </w:numPr>
      </w:pPr>
      <w:r>
        <w:rPr>
          <w:i/>
          <w:iCs/>
        </w:rPr>
        <w:t xml:space="preserve">Dependency Integration</w:t>
      </w:r>
      <w:r>
        <w:t xml:space="preserve">: The selected POEM driver imports</w:t>
      </w:r>
      <w:r>
        <w:t xml:space="preserve"> </w:t>
      </w:r>
      <w:r>
        <w:rPr>
          <w:rStyle w:val="VerbatimChar"/>
        </w:rPr>
        <w:t xml:space="preserve">models/Res.py</w:t>
      </w:r>
      <w:r>
        <w:t xml:space="preserve">, which is absent from its tracked release. A hash-checked bootstrap now supplies the original pinned SAR model definition without editing upstream POEM or loading the ignored local shim. The unchanged POEM help entrypoint and the runbook’s missing-data exit pass the dependency-integration checks. This verifies import and preflight behavior, not a native benchmark, full environment identity, or CUDA execution.</w:t>
      </w:r>
    </w:p>
    <w:p>
      <w:pPr>
        <w:widowControl/>
        <w:numPr>
          <w:ilvl w:val="0"/>
          <w:numId w:val="1011"/>
        </w:numPr>
      </w:pPr>
      <w:r>
        <w:rPr>
          <w:i/>
          <w:iCs/>
        </w:rPr>
        <w:t xml:space="preserve">Device Integration</w:t>
      </w:r>
      <w:r>
        <w:t xml:space="preserve">: Unconditional CUDA calls in the upstream drivers prevent unchanged entrypoint execution on Apple Silicon MPS. The unchanged POEM core and protector passed a synthetic full-architecture MPS update test, but that does not verify the driver, pretrained checkpoint, cross-device parity, or benchmark accuracy.</w:t>
      </w:r>
    </w:p>
    <w:p>
      <w:pPr>
        <w:widowControl/>
        <w:numPr>
          <w:ilvl w:val="0"/>
          <w:numId w:val="1011"/>
        </w:numPr>
      </w:pPr>
      <w:r>
        <w:rPr>
          <w:i/>
          <w:iCs/>
        </w:rPr>
        <w:t xml:space="preserve">Data and Runner Readiness</w:t>
      </w:r>
      <w:r>
        <w:t xml:space="preserve">: The local runtime reports MPS available</w:t>
      </w:r>
      <w:r>
        <w:t xml:space="preserve"> </w:t>
      </w:r>
      <w:r>
        <w:t xml:space="preserve">and CUDA unavailable. This is not the only blocker: the clean ImageNet validation</w:t>
      </w:r>
      <w:r>
        <w:t xml:space="preserve"> </w:t>
      </w:r>
      <w:r>
        <w:t xml:space="preserve">archive has been extracted on external storage. The completed filename inventory</w:t>
      </w:r>
      <w:r>
        <w:t xml:space="preserve"> </w:t>
      </w:r>
      <w:r>
        <w:t xml:space="preserve">contains 1,000 class folders and 50,000 unique image basenames with no unexpected</w:t>
      </w:r>
      <w:r>
        <w:t xml:space="preserve"> </w:t>
      </w:r>
      <w:r>
        <w:t xml:space="preserve">non-metadata entries. All 50,000 validation filename-to-class assignments in the</w:t>
      </w:r>
      <w:r>
        <w:t xml:space="preserve"> </w:t>
      </w:r>
      <w:r>
        <w:t xml:space="preserve">downloaded ZIP agree with the authenticated official ILSVRC2012 development kit.</w:t>
      </w:r>
      <w:r>
        <w:t xml:space="preserve"> </w:t>
      </w:r>
      <w:r>
        <w:t xml:space="preserve">Verification of the extracted-file label mapping and image contents remains</w:t>
      </w:r>
      <w:r>
        <w:t xml:space="preserve"> </w:t>
      </w:r>
      <w:r>
        <w:t xml:space="preserve">incomplete; archive filenames alone do not authenticate the images served by a loader.</w:t>
      </w:r>
      <w:r>
        <w:t xml:space="preserve"> </w:t>
      </w:r>
      <w:r>
        <w:t xml:space="preserve">The available TTA/ALine source is a notebook rather than a verified common-panel</w:t>
      </w:r>
      <w:r>
        <w:t xml:space="preserve"> </w:t>
      </w:r>
      <w:r>
        <w:t xml:space="preserve">command-line runner. A reviewed native common-panel runner and authenticated</w:t>
      </w:r>
      <w:r>
        <w:t xml:space="preserve"> </w:t>
      </w:r>
      <w:r>
        <w:t xml:space="preserve">execution receipts for all three methods remain absent. Neither an empty</w:t>
      </w:r>
      <w:r>
        <w:t xml:space="preserve"> </w:t>
      </w:r>
      <w:r>
        <w:rPr>
          <w:rStyle w:val="VerbatimChar"/>
        </w:rPr>
        <w:t xml:space="preserve">val/</w:t>
      </w:r>
      <w:r>
        <w:t xml:space="preserve"> </w:t>
      </w:r>
      <w:r>
        <w:t xml:space="preserve">directory nor corrupted images renamed as clean validation data</w:t>
      </w:r>
      <w:r>
        <w:t xml:space="preserve"> </w:t>
      </w:r>
      <w:r>
        <w:t xml:space="preserve">can satisfy these requirements. An authorized CUDA host could remove the device</w:t>
      </w:r>
      <w:r>
        <w:t xml:space="preserve"> </w:t>
      </w:r>
      <w:r>
        <w:t xml:space="preserve">barrier, but would not by itself resolve data, dependency, or protocol validation;</w:t>
      </w:r>
      <w:r>
        <w:t xml:space="preserve"> </w:t>
      </w:r>
      <w:r>
        <w:t xml:space="preserve">an MPS integration would require its own fidelity checks.</w:t>
      </w:r>
    </w:p>
    <w:p>
      <w:pPr>
        <w:widowControl/>
        <w:numPr>
          <w:ilvl w:val="0"/>
          <w:numId w:val="1011"/>
        </w:numPr>
      </w:pPr>
      <w:r>
        <w:rPr>
          <w:i/>
          <w:iCs/>
        </w:rPr>
        <w:t xml:space="preserve">Evaluation Stream Standardization</w:t>
      </w:r>
      <w:r>
        <w:t xml:space="preserve">: The local ports provide a common-harness diagnostic, not evidence that the official algorithms have been executed faithfully. Common record identifiers alone do not establish identical preprocessing, candidate trajectories, or paired oracles. An official comparison additionally requires authenticated method implementations and a verified shared manifest for examples, ordering, preprocessing, candidate updates, and scoring. The local-port results cannot substitute for that comparison. The pinned POEM normal-mode driver iterates over its internal list of 15 corruptions even when a single corruption is requested. Our runbook now uses an explicit, source-authenticated protocol adapter that restricts this list to the requested corruption, records the exact source transformation, and leaves algorithm code unchanged. Synthetic execution tests verify the requested stream count and rejection of inconsistent arguments; they provide neither benchmark results nor evidence of unchanged native-driver execution.</w:t>
      </w:r>
    </w:p>
    <w:p>
      <w:pPr>
        <w:pStyle w:val="FirstParagraph"/>
        <w:widowControl/>
      </w:pPr>
      <w:r>
        <w:t xml:space="preserve">The source-authentication audit now includes native dataset-loader code rather than</w:t>
      </w:r>
      <w:r>
        <w:t xml:space="preserve"> </w:t>
      </w:r>
      <w:r>
        <w:t xml:space="preserve">excluding the entire</w:t>
      </w:r>
      <w:r>
        <w:t xml:space="preserve"> </w:t>
      </w:r>
      <w:r>
        <w:rPr>
          <w:rStyle w:val="VerbatimChar"/>
        </w:rPr>
        <w:t xml:space="preserve">dataset/</w:t>
      </w:r>
      <w:r>
        <w:t xml:space="preserve"> </w:t>
      </w:r>
      <w:r>
        <w:t xml:space="preserve">directory, and the AETTA execution wrapper</w:t>
      </w:r>
      <w:r>
        <w:t xml:space="preserve"> </w:t>
      </w:r>
      <w:r>
        <w:t xml:space="preserve">resolves the same checkout as its preflight. The artifact-verification command checks</w:t>
      </w:r>
      <w:r>
        <w:t xml:space="preserve"> </w:t>
      </w:r>
      <w:r>
        <w:t xml:space="preserve">physical logs and control records against their authenticated invocation, source,</w:t>
      </w:r>
      <w:r>
        <w:t xml:space="preserve"> </w:t>
      </w:r>
      <w:r>
        <w:t xml:space="preserve">stream, and runtime-receipt bindings, including the independent witness signature;</w:t>
      </w:r>
      <w:r>
        <w:t xml:space="preserve"> </w:t>
      </w:r>
      <w:r>
        <w:t xml:space="preserve">a zero-exit trace alone cannot pass the official-evidence requirement. These tested</w:t>
      </w:r>
      <w:r>
        <w:t xml:space="preserve"> </w:t>
      </w:r>
      <w:r>
        <w:t xml:space="preserve">integration repairs do not authenticate image contents or supply the missing</w:t>
      </w:r>
      <w:r>
        <w:t xml:space="preserve"> </w:t>
      </w:r>
      <w:r>
        <w:t xml:space="preserve">synchronized native-method results.</w:t>
      </w:r>
    </w:p>
    <w:p>
      <w:pPr>
        <w:pStyle w:val="BodyText"/>
        <w:widowControl/>
      </w:pPr>
      <w:r>
        <w:t xml:space="preserve">These controlled results use empirical calibration, not a demonstrated future-population</w:t>
      </w:r>
      <w:r>
        <w:t xml:space="preserve"> </w:t>
      </w:r>
      <w:r>
        <w:t xml:space="preserve">guarantee. In particular, historical pooled cross-fit residuals can retain an indirect</w:t>
      </w:r>
      <w:r>
        <w:t xml:space="preserve"> </w:t>
      </w:r>
      <w:r>
        <w:t xml:space="preserve">path from a scored outcome through other fitted predictions into its radius; removing</w:t>
      </w:r>
      <w:r>
        <w:t xml:space="preserve"> </w:t>
      </w:r>
      <w:r>
        <w:t xml:space="preserve">its own residual alone does not remove that path.</w:t>
      </w:r>
    </w:p>
    <w:p>
      <w:pPr>
        <w:pStyle w:val="BodyText"/>
        <w:widowControl/>
      </w:pPr>
      <w:r>
        <w:t xml:space="preserve">The standalone head-to-head analysis script was repaired on September 12 to use the</w:t>
      </w:r>
      <w:r>
        <w:t xml:space="preserve"> </w:t>
      </w:r>
      <w:r>
        <w:t xml:space="preserve">repository’s disjoint fit/calibration/score construction. A synthetic 40-cell regression</w:t>
      </w:r>
      <w:r>
        <w:t xml:space="preserve"> </w:t>
      </w:r>
      <w:r>
        <w:t xml:space="preserve">reruns the full gate calculation after perturbing each scored outcome and checks its</w:t>
      </w:r>
      <w:r>
        <w:t xml:space="preserve"> </w:t>
      </w:r>
      <w:r>
        <w:t xml:space="preserve">prediction, radius, interval endpoints, and action; the decision threshold is fixed at</w:t>
      </w:r>
      <w:r>
        <w:t xml:space="preserve"> </w:t>
      </w:r>
      <w:r>
        <w:t xml:space="preserve">zero. The point-benefit comparator uses the same fitted predictions. External decision</w:t>
      </w:r>
      <w:r>
        <w:t xml:space="preserve"> </w:t>
      </w:r>
      <w:r>
        <w:t xml:space="preserve">files without authenticated provenance remain explicitly unverified. These software</w:t>
      </w:r>
      <w:r>
        <w:t xml:space="preserve"> </w:t>
      </w:r>
      <w:r>
        <w:t xml:space="preserve">checks are not new benchmark runs and do not retroactively certify historical tables.</w:t>
      </w:r>
      <w:r>
        <w:t xml:space="preserve"> </w:t>
      </w:r>
      <w:r>
        <w:t xml:space="preserve">The decision shim additionally rejects nonfinite predictions, invalid radii, and</w:t>
      </w:r>
      <w:r>
        <w:t xml:space="preserve"> </w:t>
      </w:r>
      <w:r>
        <w:t xml:space="preserve">malformed outcome records, and does not turn an available-backend exception into a</w:t>
      </w:r>
      <w:r>
        <w:t xml:space="preserve"> </w:t>
      </w:r>
      <w:r>
        <w:t xml:space="preserve">fallback commitment. Fifteen adversarial input checks and fifteen small-sample and</w:t>
      </w:r>
      <w:r>
        <w:t xml:space="preserve"> </w:t>
      </w:r>
      <w:r>
        <w:t xml:space="preserve">cross-fit checks pass after this repair; these counts describe software tests, not</w:t>
      </w:r>
      <w:r>
        <w:t xml:space="preserve"> </w:t>
      </w:r>
      <w:r>
        <w:t xml:space="preserve">independent model runs or evidence of population coverage.</w:t>
      </w:r>
      <w:r>
        <w:t xml:space="preserve"> </w:t>
      </w:r>
      <w:r>
        <w:t xml:space="preserve">Saved-feature outcome exclusion also does not establish exchangeability of dependent</w:t>
      </w:r>
      <w:r>
        <w:t xml:space="preserve"> </w:t>
      </w:r>
      <w:r>
        <w:t xml:space="preserve">corruption cells or population coverage under future shifts.</w:t>
      </w:r>
    </w:p>
    <w:bookmarkEnd w:id="102"/>
    <w:bookmarkEnd w:id="103"/>
    <w:bookmarkStart w:id="104"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04"/>
    <w:bookmarkStart w:id="105"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05"/>
    <w:bookmarkEnd w:id="106"/>
    <w:bookmarkStart w:id="107" w:name="c-compact-assumption-and-claim-ledger"/>
    <w:p>
      <w:pPr>
        <w:pStyle w:val="Heading1"/>
        <w:widowControl/>
      </w:pPr>
      <w:r>
        <w:t xml:space="preserve">C Compact Assumption and Claim Ledger</w:t>
      </w:r>
    </w:p>
    <w:p>
      <w:pPr>
        <w:pStyle w:val="FirstParagraph"/>
        <w:widowControl/>
      </w:pPr>
      <w:r>
        <w:t xml:space="preserve">Table 22 separates formal claims from empirical findings and records the</w:t>
      </w:r>
      <w:r>
        <w:t xml:space="preserve"> </w:t>
      </w:r>
      <w:r>
        <w:t xml:space="preserve">conditions and scope limits for each.</w:t>
      </w:r>
    </w:p>
    <w:p>
      <w:pPr>
        <w:pStyle w:val="TableCaption"/>
        <w:widowControl/>
      </w:pPr>
      <w:r>
        <w:t xml:space="preserve">Table 22.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2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02"/>
        <w:gridCol w:w="3329"/>
        <w:gridCol w:w="3329"/>
      </w:tblGrid>
      <w:tr>
        <w:trPr>
          <w:tblHeader w:val="true"/>
          <w:cantSplit w:val="true"/>
        </w:trPr>
        <w:tc>
          <w:tcPr>
            <w:tcW w:w="33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9"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(9) for the measured cell target</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24; frozen Tent controlled-grid protocol</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24; frozen EATA controlled-grid protocol</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15, 16, and  10; each split and candidate remain fixed</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15; candidate rows interpreted separately</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15 and 16; canonical replay scope retained</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0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bl>
    <w:bookmarkEnd w:id="107"/>
    <w:bookmarkStart w:id="112" w:name="d-calibration-and-evaluation-contracts"/>
    <w:p>
      <w:pPr>
        <w:pStyle w:val="Heading1"/>
        <w:widowControl/>
      </w:pPr>
      <w:r>
        <w:t xml:space="preserve">D Calibration and Evaluation Contracts</w:t>
      </w:r>
    </w:p>
    <w:bookmarkStart w:id="108"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An out-of-fold benefit estimate is produced without fitting</w:t>
      </w:r>
      <w:r>
        <w:t xml:space="preserve"> </w:t>
      </w:r>
      <w:r>
        <w:t xml:space="preserve">on the scored cell, and the residual radius for that cell excludes its residual. This is</w:t>
      </w:r>
      <w:r>
        <w:t xml:space="preserve"> </w:t>
      </w:r>
      <w:r>
        <w:t xml:space="preserve">leave-one-condition-out cross-fitted empirical residual calibration. Related cells may still be</w:t>
      </w:r>
      <w:r>
        <w:t xml:space="preserve"> </w:t>
      </w:r>
      <w:r>
        <w:t xml:space="preserve">dependent through corruption family, checkpoint, or seed. Exact split-conformal wording is not used</w:t>
      </w:r>
      <w:r>
        <w:t xml:space="preserve"> </w:t>
      </w:r>
      <w:r>
        <w:t xml:space="preserve">for this branch.</w:t>
      </w:r>
    </w:p>
    <w:bookmarkEnd w:id="108"/>
    <w:bookmarkStart w:id="109"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09"/>
    <w:bookmarkStart w:id="110"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10"/>
    <w:bookmarkStart w:id="111"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11"/>
    <w:bookmarkEnd w:id="112"/>
    <w:bookmarkStart w:id="113"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23 therefore reconstructs action counts from the same canonical panel used</w:t>
      </w:r>
      <w:r>
        <w:t xml:space="preserve"> </w:t>
      </w:r>
      <w:r>
        <w:t xml:space="preserve">in Table 7, 15, and 16.</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23. Action exposure in replayable canonical rows. Counts are not independent experiments:</w:t>
      </w:r>
      <w:r>
        <w:t xml:space="preserve"> </w:t>
      </w:r>
      <w:r>
        <w:t xml:space="preserve">they are evaluation units within the protocol shown. A zero false-adapt count is informative only</w:t>
      </w:r>
      <w:r>
        <w:t xml:space="preserve"> </w:t>
      </w:r>
      <w:r>
        <w:t xml:space="preserve">when adaptation was attempted and the residual pool did not make the inequality automatic. Harm</w:t>
      </w:r>
      <w:r>
        <w:t xml:space="preserve"> </w:t>
      </w:r>
      <w:r>
        <w:t xml:space="preserve">and false adaptation are defined by measured cell outcomes, not population risks. Counts</w:t>
      </w:r>
      <w:r>
        <w:t xml:space="preserve"> </w:t>
      </w:r>
      <w:r>
        <w:t xml:space="preserve">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23. Action exposure in replayable canonical rows. Counts are not independent experiments: they are evaluation units within the protocol shown. A zero false-adapt count is informative only when adaptation was attempted and the residual pool did not make the inequality automatic.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ImageNet-C EATA has substantial</w:t>
      </w:r>
      <w:r>
        <w:t xml:space="preserve"> </w:t>
      </w:r>
      <w:r>
        <w:t xml:space="preserve">adapt exposure and one false adaptation, while Tent</w:t>
      </w:r>
      <w:r>
        <w:t xml:space="preserve"> </w:t>
      </w:r>
      <w:r>
        <w:t xml:space="preserve">abstains everywhere.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13"/>
    <w:bookmarkStart w:id="120" w:name="f-inference-discipline"/>
    <w:p>
      <w:pPr>
        <w:pStyle w:val="Heading1"/>
        <w:widowControl/>
      </w:pPr>
      <w:r>
        <w:t xml:space="preserve">F Inference Discipline</w:t>
      </w:r>
    </w:p>
    <w:bookmarkStart w:id="114"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15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14"/>
    <w:bookmarkStart w:id="115"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24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24.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2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15"/>
    <w:bookmarkStart w:id="116" w:name="X438b288f42c3f87918d141c127c3c01c9d2bb3b"/>
    <w:p>
      <w:pPr>
        <w:pStyle w:val="Heading2"/>
        <w:widowControl/>
      </w:pPr>
      <w:r>
        <w:t xml:space="preserve">F.3 Retrospective Interval Inclusion by Family</w:t>
      </w:r>
    </w:p>
    <w:p>
      <w:pPr>
        <w:pStyle w:val="FirstParagraph"/>
        <w:widowControl/>
      </w:pPr>
      <w:r>
        <w:t xml:space="preserve">The following audit replays the current policy from stored, cross-fitted predictions and measured</w:t>
      </w:r>
      <w:r>
        <w:t xml:space="preserve"> </w:t>
      </w:r>
      <w:r>
        <w:t xml:space="preserve">cell outcomes. It uses each candidate’s original residual rule and excludes the scored residual</w:t>
      </w:r>
      <w:r>
        <w:t xml:space="preserve"> </w:t>
      </w:r>
      <w:r>
        <w:t xml:space="preserve">from its own radius. No fitting, tuning, new target access, or training is performed. The input,</w:t>
      </w:r>
      <w:r>
        <w:t xml:space="preserve"> </w:t>
      </w:r>
      <w:r>
        <w:t xml:space="preserve">policy, code, and output digests are recorded in the generated diagnostic JSON.</w:t>
      </w:r>
    </w:p>
    <w:p>
      <w:pPr>
        <w:pStyle w:val="BodyText"/>
        <w:widowControl/>
      </w:pPr>
      <w:r>
        <w:t xml:space="preserve">The pooled inclusion fraction is constrained by the overlapping leave-one-cell-out order statistics.</w:t>
      </w:r>
      <w:r>
        <w:t xml:space="preserve"> </w:t>
      </w:r>
      <w:r>
        <w:t xml:space="preserve">It is not an independent estimate of coverage on new environments. Family rows reveal the</w:t>
      </w:r>
      <w:r>
        <w:t xml:space="preserve"> </w:t>
      </w:r>
      <w:r>
        <w:t xml:space="preserve">distribution of those same misses, widths, and decisions; they do not supply group-conditional</w:t>
      </w:r>
      <w:r>
        <w:t xml:space="preserve"> </w:t>
      </w:r>
      <w:r>
        <w:t xml:space="preserve">guarantees. A nominal 90% target is a calibration setting, not a promise validated by this replay.</w:t>
      </w:r>
    </w:p>
    <w:p>
      <w:pPr>
        <w:pStyle w:val="TableCaption"/>
        <w:widowControl/>
      </w:pPr>
      <w:r>
        <w:t xml:space="preserve">Table 25. Current-policy interval and decision diagnostics by corruption family. Width is full</w:t>
      </w:r>
      <w:r>
        <w:t xml:space="preserve"> </w:t>
      </w:r>
      <w:r>
        <w:t xml:space="preserve">interval width,</w:t>
      </w:r>
      <w:r>
        <w:t xml:space="preserve"> </w:t>
      </w:r>
      <m:oMath>
        <m:r>
          <m:t>2</m:t>
        </m:r>
        <m:r>
          <m:t>ε</m:t>
        </m:r>
      </m:oMath>
      <w:r>
        <w:t xml:space="preserve">. Inclusion is measured on already-open, dependent cross-fitted cells.</w:t>
      </w:r>
      <w:r>
        <w:t xml:space="preserve"> </w:t>
      </w:r>
      <w:r>
        <w:t xml:space="preserve">Conditional errors use the number of the corresponding action as denominator and are undefined</w:t>
      </w:r>
      <w:r>
        <w:t xml:space="preserve"> </w:t>
      </w:r>
      <w:r>
        <w:t xml:space="preserve">when that action is absent. These diagnostics are not held-out group-coverage validation.</w:t>
      </w:r>
    </w:p>
    <w:tbl>
      <w:tblPr>
        <w:tblStyle w:val="Table"/>
        <w:tblW w:type="dxa" w:w="9960"/>
        <w:jc w:val="left"/>
        <w:tblLayout w:type="fixed"/>
        <w:tblLook w:firstRow="1" w:lastRow="0" w:firstColumn="0" w:lastColumn="0" w:noHBand="0" w:noVBand="0" w:val="0020"/>
        <w:tblCaption w:val="Table 25. Current-policy interval and decision diagnostics by corruption family. Width is full interval width, 2\varepsilon. Inclusion is measured on already-open, dependent cross-fitted cells. Conditional errors use the number of the corresponding action as denominator and are undefined when that action is absent. These diagnostics are not held-out group-coverage valid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16"/>
    <w:bookmarkStart w:id="117"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23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17"/>
    <w:bookmarkStart w:id="119"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18"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18"/>
    <w:bookmarkEnd w:id="119"/>
    <w:bookmarkEnd w:id="120"/>
    <w:bookmarkStart w:id="125" w:name="Xee8835d1cfba1c10eeb531799a2736c81d31159"/>
    <w:p>
      <w:pPr>
        <w:pStyle w:val="Heading1"/>
        <w:widowControl/>
      </w:pPr>
      <w:r>
        <w:t xml:space="preserve">G Track-Level Provenance and Remaining Evidence</w:t>
      </w:r>
    </w:p>
    <w:p>
      <w:pPr>
        <w:pStyle w:val="TableCaption"/>
        <w:widowControl/>
      </w:pPr>
      <w:r>
        <w:t xml:space="preserve">Table 26.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2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not administrative metadata. An auditor or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24" w:name="X70d84f40c09bb5f77e6b004cc7ba8ca8bcbd23b"/>
    <w:p>
      <w:pPr>
        <w:pStyle w:val="Heading2"/>
        <w:widowControl/>
      </w:pPr>
      <w:r>
        <w:t xml:space="preserve">G.1 CCT-20 Inference, Location, and Release Ledger</w:t>
      </w:r>
    </w:p>
    <w:bookmarkStart w:id="121"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27.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(12).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2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2).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(12).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p>
    <w:bookmarkEnd w:id="121"/>
    <w:bookmarkStart w:id="122"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22"/>
    <w:bookmarkStart w:id="123"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28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28.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2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(12), and no post-hoc</w:t>
      </w:r>
      <w:r>
        <w:t xml:space="preserve"> </w:t>
      </w:r>
      <w:r>
        <w:t xml:space="preserve">aggregate is claimed for the secondary macro-F1 outcome.</w:t>
      </w:r>
    </w:p>
    <w:bookmarkEnd w:id="123"/>
    <w:bookmarkEnd w:id="124"/>
    <w:bookmarkEnd w:id="125"/>
    <w:bookmarkStart w:id="130" w:name="h-extended-kga-implementation-contract"/>
    <w:p>
      <w:pPr>
        <w:pStyle w:val="Heading1"/>
        <w:widowControl/>
      </w:pPr>
      <w:r>
        <w:t xml:space="preserve">H Extended KGA Implementation Contract</w:t>
      </w:r>
    </w:p>
    <w:bookmarkStart w:id="126"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26"/>
    <w:bookmarkStart w:id="127"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27"/>
    <w:bookmarkStart w:id="128"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28"/>
    <w:bookmarkStart w:id="129"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29"/>
    <w:bookmarkEnd w:id="130"/>
    <w:bookmarkStart w:id="132" w:name="i-evidence-inventory"/>
    <w:p>
      <w:pPr>
        <w:pStyle w:val="Heading1"/>
        <w:widowControl/>
      </w:pPr>
      <w:r>
        <w:t xml:space="preserve">I Evidence Inventory</w:t>
      </w:r>
    </w:p>
    <w:bookmarkStart w:id="131"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effective rank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29.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2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pStyle w:val="BodyText"/>
        <w:widowControl/>
      </w:pPr>
      <w:r>
        <w:t xml:space="preserve">The base panel has 11 coordinates; the canonical Camelyon17 rich-Z artifact has 17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31"/>
    <w:bookmarkEnd w:id="132"/>
    <w:bookmarkStart w:id="133" w:name="j-failure-safe-deployment-checklist"/>
    <w:p>
      <w:pPr>
        <w:pStyle w:val="Heading1"/>
        <w:widowControl/>
      </w:pPr>
      <w:r>
        <w:t xml:space="preserve">J Failure-Safe Deployment Checklist</w:t>
      </w:r>
    </w:p>
    <w:p>
      <w:pPr>
        <w:pStyle w:val="TableCaption"/>
        <w:widowControl/>
      </w:pPr>
      <w:r>
        <w:t xml:space="preserve">Table 30. Operational failures and conservative responses.</w:t>
      </w:r>
    </w:p>
    <w:tbl>
      <w:tblPr>
        <w:tblStyle w:val="Table"/>
        <w:tblW w:type="dxa" w:w="9960"/>
        <w:jc w:val="left"/>
        <w:tblLayout w:type="fixed"/>
        <w:tblLook w:firstRow="1" w:lastRow="0" w:firstColumn="0" w:lastColumn="0" w:noHBand="0" w:noVBand="0" w:val="0020"/>
        <w:tblCaption w:val="Table 30.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33"/>
    <w:bookmarkStart w:id="138"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34"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34"/>
    <w:bookmarkStart w:id="135"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(10).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35"/>
    <w:bookmarkStart w:id="136"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31. Minimum lock for a confirmatory natural-shift KGA experiment.</w:t>
      </w:r>
    </w:p>
    <w:tbl>
      <w:tblPr>
        <w:tblStyle w:val="Table"/>
        <w:tblW w:type="dxa" w:w="9960"/>
        <w:jc w:val="left"/>
        <w:tblLayout w:type="fixed"/>
        <w:tblLook w:firstRow="1" w:lastRow="0" w:firstColumn="0" w:lastColumn="0" w:noHBand="0" w:noVBand="0" w:val="0020"/>
        <w:tblCaption w:val="Table 31.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36"/>
    <w:bookmarkStart w:id="137"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37"/>
    <w:bookmarkEnd w:id="138"/>
    <w:bookmarkStart w:id="146"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32.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32.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39"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39"/>
    <w:bookmarkStart w:id="140"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40"/>
    <w:bookmarkStart w:id="141"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(9)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41"/>
    <w:bookmarkStart w:id="142"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42"/>
    <w:bookmarkStart w:id="143"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(12). This example explains the required assumption; it is not a</w:t>
      </w:r>
      <w:r>
        <w:t xml:space="preserve"> </w:t>
      </w:r>
      <w:r>
        <w:t xml:space="preserve">model fitted to the CCT-20 observations.</w:t>
      </w:r>
    </w:p>
    <w:bookmarkEnd w:id="143"/>
    <w:bookmarkStart w:id="144"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44"/>
    <w:bookmarkStart w:id="145"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45"/>
    <w:bookmarkEnd w:id="146"/>
    <w:bookmarkStart w:id="147"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47"/>
    <w:bookmarkStart w:id="154" w:name="n-reproducibility-and-release-procedures"/>
    <w:p>
      <w:pPr>
        <w:pStyle w:val="Heading1"/>
        <w:widowControl/>
      </w:pPr>
      <w:r>
        <w:t xml:space="preserve">N Reproducibility and Release Procedures</w:t>
      </w:r>
    </w:p>
    <w:bookmarkStart w:id="149"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w:t>
      </w:r>
    </w:p>
    <w:bookmarkStart w:id="148"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18 (Matched SAR Controls):</w:t>
      </w:r>
      <w:r>
        <w:t xml:space="preserve"> </w:t>
      </w:r>
      <w:r>
        <w:t xml:space="preserve">Historical ResNet-50, 5 SAR arms (Table 17).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19.</w:t>
      </w:r>
      <w:r>
        <w:t xml:space="preserve"> </w:t>
      </w:r>
      <w:r>
        <w:t xml:space="preserve">(4) </w:t>
      </w:r>
      <w:r>
        <w:rPr>
          <w:b/>
          <w:bCs/>
        </w:rPr>
        <w:t xml:space="preserve">Table 20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r>
        <w:t xml:space="preserve"> </w:t>
      </w:r>
      <w:r>
        <w:t xml:space="preserve">(5) </w:t>
      </w:r>
      <w:r>
        <w:rPr>
          <w:b/>
          <w:bCs/>
        </w:rPr>
        <w:t xml:space="preserve">Table 5 / 14 and Table 19 (Outcome-Disjoint Studies):</w:t>
      </w:r>
      <w:r>
        <w:t xml:space="preserve"> </w:t>
      </w:r>
      <w:r>
        <w:t xml:space="preserve">Evaluated under Protocol B (three-way cell-outcome-disjoint cross-fitting,</w:t>
      </w:r>
      <w:r>
        <w:t xml:space="preserve"> </w:t>
      </w:r>
      <w:r>
        <w:rPr>
          <w:rStyle w:val="VerbatimChar"/>
        </w:rPr>
        <w:t xml:space="preserve">kga.crossfit.controlled_grid_crossfit</w:t>
      </w:r>
      <w:r>
        <w:t xml:space="preserve">), where each complement is partitioned into strictly disjoint estimator-fit and residual-calibration subsets, ensuring scored cell outcomes enter neither predictor fitting nor conformal calibration pools.</w:t>
      </w:r>
    </w:p>
    <w:bookmarkEnd w:id="148"/>
    <w:bookmarkEnd w:id="149"/>
    <w:bookmarkStart w:id="150" w:name="n.2-reproduction-pipeline"/>
    <w:p>
      <w:pPr>
        <w:pStyle w:val="Heading2"/>
        <w:widowControl/>
      </w:pPr>
      <w:r>
        <w:t xml:space="preserve">N.2 Reproduction Pipeline</w:t>
      </w:r>
    </w:p>
    <w:p>
      <w:pPr>
        <w:pStyle w:val="FirstParagraph"/>
        <w:widowControl/>
      </w:pPr>
      <w:r>
        <w:t xml:space="preserve">The full gate requires Python 3.12 with the repository-wide research profile</w:t>
      </w:r>
      <w:r>
        <w:t xml:space="preserve"> </w:t>
      </w:r>
      <w:r>
        <w:rPr>
          <w:rStyle w:val="VerbatimChar"/>
        </w:rPr>
        <w:t xml:space="preserve">requirements-research.txt</w:t>
      </w:r>
      <w:r>
        <w:t xml:space="preserve">; the smaller paper-only profile does not include the Torch imports</w:t>
      </w:r>
      <w:r>
        <w:t xml:space="preserve"> </w:t>
      </w:r>
      <w:r>
        <w:t xml:space="preserve">used during repository-wide test collection. The model runtime uses</w:t>
      </w:r>
      <w:r>
        <w:t xml:space="preserve"> </w:t>
      </w:r>
      <w:r>
        <w:t xml:space="preserve">PyTorch [32]. From the repository root, the release command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It does not replace the full release gate or create new</w:t>
      </w:r>
      <w:r>
        <w:t xml:space="preserve"> </w:t>
      </w:r>
      <w:r>
        <w:t xml:space="preserve">empirical evidence.</w:t>
      </w:r>
    </w:p>
    <w:bookmarkEnd w:id="150"/>
    <w:bookmarkStart w:id="151"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w:t>
      </w:r>
    </w:p>
    <w:bookmarkEnd w:id="151"/>
    <w:bookmarkStart w:id="152"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52"/>
    <w:bookmarkStart w:id="153"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53"/>
    <w:bookmarkEnd w:id="154"/>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9" Type="http://schemas.openxmlformats.org/officeDocument/2006/relationships/image" Target="media/rId9.pdf"/><Relationship Id="rId28" Type="http://schemas.openxmlformats.org/officeDocument/2006/relationships/image" Target="media/rId28.pdf"/><Relationship Id="rId71" Type="http://schemas.openxmlformats.org/officeDocument/2006/relationships/hyperlink" Target="https://doi.org/10.52202/079017-3820" TargetMode="External"/><Relationship Id="rId69" Type="http://schemas.openxmlformats.org/officeDocument/2006/relationships/hyperlink" Target="https://proceedings.mlr.press/v267/chen25ch.html" TargetMode="External"/><Relationship Id="rId70"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52202/079017-3820" TargetMode="External"/><Relationship Id="rId69" Type="http://schemas.openxmlformats.org/officeDocument/2006/relationships/hyperlink" Target="https://proceedings.mlr.press/v267/chen25ch.html" TargetMode="External"/><Relationship Id="rId70"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2026-09-12T20:45:20Z</dcterms:created>
  <dcterms:modified xsi:type="dcterms:W3CDTF">2026-09-12T20:45:20Z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a model without new target labels, but an update can help or harm. We ask when the available evidence supports replacing a frozen predictor with a fixed adapted candidate. K-Bound answers this question for a binary population model with a declared bound \beta on the target calibration residual. We construct target label laws that preserve all label-free observations and derive the exact feasible interval for paired benefit. A strict decision is supported precisely when |M|&gt;\beta; inside the closed band, no strict direction is uniformly justified. We also show why the same observations cannot audit away the unresolved residual bound. Knowability-Guided Adaptation (KGA) is an empirical companion, not an implementation of this frontier. It learns to predict observed evaluation-cell benefit from labeled historical outcomes, then uses a residual-based interval to choose ADAPT, FREEZE, or ABSTAIN without new evaluation labels. On an exploratory, cross-fitted CIFAR-10-C panel, Tent and EATA have lower point regret than either fixed policy, while SAR favors always-adapt. On CCT-20, KGA retains frozen predictions and avoids observed degradation from always-adapt, but makes no ADAPT decisions. These results support candidate-specific commitment control; they do not establish interval coverage or population-risk protection on unseen natural shifts.</vt:lpwstr>
  </property>
  <property fmtid="{D5CDD505-2E9C-101B-9397-08002B2CF9AE}" pid="3" name="date">
    <vt:lpwstr/>
  </property>
</Properties>
</file>