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can improve or degrade a model, leaving a separate decision: when does</w:t>
      </w:r>
      <w:r>
        <w:t xml:space="preserve"> </w:t>
      </w:r>
      <w:r>
        <w:t xml:space="preserve">label-free evidence justify replacing the frozen predictor? K-Bound characterizes this decision</w:t>
      </w:r>
      <w:r>
        <w:t xml:space="preserve"> </w:t>
      </w:r>
      <w:r>
        <w:t xml:space="preserve">in a binary population model under an externally declared calibration-residual bound</w:t>
      </w:r>
      <w:r>
        <w:t xml:space="preserve"> </w:t>
      </w:r>
      <m:oMath>
        <m:r>
          <m:t>β</m:t>
        </m:r>
      </m:oMath>
      <w:r>
        <w:t xml:space="preserve">.</w:t>
      </w:r>
      <w:r>
        <w:t xml:space="preserve"> </w:t>
      </w:r>
      <w:r>
        <w:t xml:space="preserve">Holding label-free observations fixed, we derive the exact feasible interval for paired benefit:</w:t>
      </w:r>
      <w:r>
        <w:t xml:space="preserve"> </w:t>
      </w:r>
      <w:r>
        <w:t xml:space="preserve">a strict decision is justified precisely when</w:t>
      </w:r>
      <w:r>
        <w:t xml:space="preserve"> </w:t>
      </w:r>
      <m:oMath>
        <m:r>
          <m:rPr>
            <m:sty m:val="p"/>
          </m:rPr>
          <m:t>|</m:t>
        </m:r>
        <m:r>
          <m:t>M</m:t>
        </m:r>
        <m:r>
          <m:rPr>
            <m:sty m:val="p"/>
          </m:rPr>
          <m:t>|</m:t>
        </m:r>
        <m:r>
          <m:rPr>
            <m:sty m:val="p"/>
          </m:rPr>
          <m:t>&gt;</m:t>
        </m:r>
        <m:r>
          <m:t>β</m:t>
        </m:r>
      </m:oMath>
      <w:r>
        <w:t xml:space="preserve"> </w:t>
      </w:r>
      <w:r>
        <w:t xml:space="preserve">on disagreement. An evidence-fibre audit</w:t>
      </w:r>
      <w:r>
        <w:t xml:space="preserve"> </w:t>
      </w:r>
      <w:r>
        <w:t xml:space="preserve">shows why the same observations cannot justify a smaller uniform residual bound without additional</w:t>
      </w:r>
      <w:r>
        <w:t xml:space="preserve"> </w:t>
      </w:r>
      <w:r>
        <w:t xml:space="preserve">structure. A separate finite-sample multiclass construction bounds paired benefit under an explicit</w:t>
      </w:r>
      <w:r>
        <w:t xml:space="preserve"> </w:t>
      </w:r>
      <w:r>
        <w:t xml:space="preserve">conditional-transport budget; synthetic examples illustrate its value and failure under assumption</w:t>
      </w:r>
      <w:r>
        <w:t xml:space="preserve"> </w:t>
      </w:r>
      <w:r>
        <w:t xml:space="preserve">violations. Knowability-Guided Adaptation (</w:t>
      </w:r>
      <w:r>
        <w:rPr>
          <w:smallCaps/>
        </w:rPr>
        <w:t xml:space="preserve">KGA</w:t>
      </w:r>
      <w:r>
        <w:t xml:space="preserve">) is an empirical companion, not an implementation</w:t>
      </w:r>
      <w:r>
        <w:t xml:space="preserve"> </w:t>
      </w:r>
      <w:r>
        <w:t xml:space="preserve">of the population frontier. Using labeled historical outcomes, it predicts observed evaluation-cell</w:t>
      </w:r>
      <w:r>
        <w:t xml:space="preserve"> </w:t>
      </w:r>
      <w:r>
        <w:t xml:space="preserve">benefit and chooses ADAPT, FREEZE, or ABSTAIN through residual intervals. Controlled studies</w:t>
      </w:r>
      <w:r>
        <w:t xml:space="preserve"> </w:t>
      </w:r>
      <w:r>
        <w:t xml:space="preserve">show candidate-dependent routing gains, while SAR favors always-adapt. A shared-predictor comparison</w:t>
      </w:r>
      <w:r>
        <w:t xml:space="preserve"> </w:t>
      </w:r>
      <w:r>
        <w:t xml:space="preserve">finds a calibration advantage for CIFAR Tent at a prespecified utility–harm trade-off, but simpler</w:t>
      </w:r>
      <w:r>
        <w:t xml:space="preserve"> </w:t>
      </w:r>
      <w:r>
        <w:t xml:space="preserve">rules often win. Nominal 90% constant-cell inclusion is only</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CCT-20 has no ADAPT decisions, and So2Sat stops before target scoring. These findings</w:t>
      </w:r>
      <w:r>
        <w:t xml:space="preserve"> </w:t>
      </w:r>
      <w:r>
        <w:t xml:space="preserve">do not establish interval coverage or population-risk protection on unseen natural shifts; useful</w:t>
      </w:r>
      <w:r>
        <w:t xml:space="preserve"> </w:t>
      </w:r>
      <w:r>
        <w:t xml:space="preserve">prospective routing remains open.</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An update that improves a model on one deployment distribution can degrade it on another.</w:t>
      </w:r>
      <w:r>
        <w:t xml:space="preserve"> </w:t>
      </w:r>
      <w:r>
        <w:t xml:space="preserve">Test-time adaptation proposes updates using unlabeled data through entropy minimization,</w:t>
      </w:r>
      <w:r>
        <w:t xml:space="preserve"> </w:t>
      </w:r>
      <w:r>
        <w:t xml:space="preserve">filtering, regularization, and related methods [1, 4–6].</w:t>
      </w:r>
      <w:r>
        <w:t xml:space="preserve"> </w:t>
      </w:r>
      <w:r>
        <w:t xml:space="preserve">Choosing whether to serve the resulting candidate is a separate decision. The challenge is to</w:t>
      </w:r>
      <w:r>
        <w:t xml:space="preserve"> </w:t>
      </w:r>
      <w:r>
        <w:t xml:space="preserve">justify that choice when the target labels needed to measure its benefit are unavailable.</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nor/>
              <m:sty m:val="p"/>
            </m:rPr>
            <m:t xml:space="preserve">  (1)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The theory asks what a fixed label-free evidence law and a declared residual bound can identify.</w:t>
      </w:r>
      <w:r>
        <w:t xml:space="preserve"> </w:t>
      </w:r>
      <w:r>
        <w:t xml:space="preserve">Knowability-Guided Adaptation (</w:t>
      </w:r>
      <w:r>
        <w:rPr>
          <w:smallCaps/>
        </w:rPr>
        <w:t xml:space="preserve">KGA</w:t>
      </w:r>
      <w:r>
        <w:t xml:space="preserve">) studies the same update decision using additional information:</w:t>
      </w:r>
      <w:r>
        <w:t xml:space="preserve"> </w:t>
      </w:r>
      <w:r>
        <w:t xml:space="preserve">labeled historical shift outcomes. It fits an empirical benefit predictor and calibrates a</w:t>
      </w:r>
      <w:r>
        <w:t xml:space="preserve"> </w:t>
      </w:r>
      <w:r>
        <w:t xml:space="preserve">three-way decision rule. The connection is the decision problem; the empirical gate does not</w:t>
      </w:r>
      <w:r>
        <w:t xml:space="preserve"> </w:t>
      </w:r>
      <w:r>
        <w:t xml:space="preserve">implement the population frontier. Section 6.1 gives the full relationship</w:t>
      </w:r>
      <w:r>
        <w:t xml:space="preserve"> </w:t>
      </w:r>
      <w:r>
        <w:t xml:space="preserve">between their targets and assumptions.</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empirical studies then ask whether an interval improves the update decision and whether</w:t>
      </w:r>
      <w:r>
        <w:t xml:space="preserve"> </w:t>
      </w:r>
      <w:r>
        <w:t xml:space="preserve">its calibration transfers beyond the fitting conditions. Controlled CIFAR-10-C results are</w:t>
      </w:r>
      <w:r>
        <w:t xml:space="preserve"> </w:t>
      </w:r>
      <w:r>
        <w:t xml:space="preserve">candidate-dependent: Tent and EATA have lower point regret than either fixed policy, whereas</w:t>
      </w:r>
      <w:r>
        <w:t xml:space="preserve"> </w:t>
      </w:r>
      <w:r>
        <w:t xml:space="preserve">SAR favors always-adapt. A comparison using a shared point predictor isolates the contribution</w:t>
      </w:r>
      <w:r>
        <w:t xml:space="preserve"> </w:t>
      </w:r>
      <w:r>
        <w:t xml:space="preserve">of calibration from the predictor itself (Section 8.7). It finds a</w:t>
      </w:r>
      <w:r>
        <w:t xml:space="preserve"> </w:t>
      </w:r>
      <w:r>
        <w:t xml:space="preserve">benefit for CIFAR Tent at one harm-weighted operating point, but simple rules win elsewhere</w:t>
      </w:r>
      <w:r>
        <w:t xml:space="preserve"> </w:t>
      </w:r>
      <w:r>
        <w:t xml:space="preserve">and nominal interval inclusion deteriorates on held-out corruptions.</w:t>
      </w:r>
    </w:p>
    <w:p>
      <w:pPr>
        <w:pStyle w:val="BodyText"/>
        <w:widowControl/>
      </w:pPr>
      <w:r>
        <w:t xml:space="preserve">Natural-shift studies expose a further distinction between retaining utility and selecting</w:t>
      </w:r>
      <w:r>
        <w:t xml:space="preserve"> </w:t>
      </w:r>
      <w:r>
        <w:t xml:space="preserve">useful updates. On CCT-20, KGA retained the frozen model in all 45 cells, avoiding the measured</w:t>
      </w:r>
      <w:r>
        <w:t xml:space="preserve"> </w:t>
      </w:r>
      <w:r>
        <w:t xml:space="preserve">loss of always-adapt while making no ADAPT decisions. The So2Sat studies stopped before target</w:t>
      </w:r>
      <w:r>
        <w:t xml:space="preserve"> </w:t>
      </w:r>
      <w:r>
        <w:t xml:space="preserve">scoring. These findings leave useful prospective routing unresolved. A separate paired-transport</w:t>
      </w:r>
      <w:r>
        <w:t xml:space="preserve"> </w:t>
      </w:r>
      <w:r>
        <w:t xml:space="preserve">construction shows how a declared conditional-shift assumption can support a finite-sample</w:t>
      </w:r>
      <w:r>
        <w:t xml:space="preserve"> </w:t>
      </w:r>
      <w:r>
        <w:t xml:space="preserve">multiclass decision, with synthetic examples illustrating its value and its failure when that</w:t>
      </w:r>
      <w:r>
        <w:t xml:space="preserve"> </w:t>
      </w:r>
      <w:r>
        <w:t xml:space="preserve">assumption is violated. Additional adverse and incomplete studies are reported in the supplement.</w:t>
      </w:r>
    </w:p>
    <w:p>
      <w:pPr>
        <w:pStyle w:val="CaptionedFigure"/>
        <w:widowControl/>
        <w:jc w:val="center"/>
      </w:pPr>
      <w:r>
        <w:drawing>
          <wp:inline>
            <wp:extent cx="4267200" cy="1584959"/>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var/folders/pk/ksqc41pj60q3589gfwhqz5tw0000gn/T/kbound-docx-73vp3v33/word_figures/figure-01-2b5036f6193b76e1.png" id="11" name="Picture"/>
                    <pic:cNvPicPr>
                      <a:picLocks noChangeArrowheads="1" noChangeAspect="1"/>
                    </pic:cNvPicPr>
                  </pic:nvPicPr>
                  <pic:blipFill>
                    <a:blip r:embed="rId9"/>
                    <a:stretch>
                      <a:fillRect/>
                    </a:stretch>
                  </pic:blipFill>
                  <pic:spPr bwMode="auto">
                    <a:xfrm>
                      <a:off x="0" y="0"/>
                      <a:ext cx="4267200" cy="1584959"/>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r>
        <w:t xml:space="preserve"> </w:t>
      </w:r>
      <w:r>
        <w:t xml:space="preserve">MORPHEUS [58], presented at the ICLR 2026 Test-Time Updates</w:t>
      </w:r>
      <w:r>
        <w:t xml:space="preserve"> </w:t>
      </w:r>
      <w:r>
        <w:t xml:space="preserve">workshop, learns historical regressors from source-model entropy and embedding</w:t>
      </w:r>
      <w:r>
        <w:t xml:space="preserve"> </w:t>
      </w:r>
      <w:r>
        <w:t xml:space="preserve">geometry to predict post-adaptation accuracy and choose a method before executing</w:t>
      </w:r>
      <w:r>
        <w:t xml:space="preserve"> </w:t>
      </w:r>
      <w:r>
        <w:t xml:space="preserve">it. This directly overlaps the practical motivation of avoiding harmful updates.</w:t>
      </w:r>
      <w:r>
        <w:t xml:space="preserve"> </w:t>
      </w:r>
      <w:r>
        <w:t xml:space="preserve">KGA’s proposed distinction is the calibrated paired-benefit operating point for</w:t>
      </w:r>
      <w:r>
        <w:t xml:space="preserve"> </w:t>
      </w:r>
      <w:r>
        <w:t xml:space="preserve">one executed shadow candidate; whether that calibration improves useful decisions</w:t>
      </w:r>
      <w:r>
        <w:t xml:space="preserve"> </w:t>
      </w:r>
      <w:r>
        <w:t xml:space="preserve">over a shared point predictor is an empirical question evaluated separately.</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These saved-feature comparisons isolate decision rules; they do not establish equivalence to</w:t>
      </w:r>
      <w:r>
        <w:t xml:space="preserve"> </w:t>
      </w:r>
      <w:r>
        <w:t xml:space="preserve">complete published TTA/ALine, AETTA, or POEM systems. Method-specific implementation and</w:t>
      </w:r>
      <w:r>
        <w:t xml:space="preserve"> </w:t>
      </w:r>
      <w:r>
        <w:t xml:space="preserve">calibration qualifications are given in Appendix B.3.4.</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Jhawar and Wang [56] independently study when an unlabeled</w:t>
      </w:r>
      <w:r>
        <w:t xml:space="preserve"> </w:t>
      </w:r>
      <w:r>
        <w:t xml:space="preserve">observation channel identifies the best TTA action. Their September 2026 preprint</w:t>
      </w:r>
      <w:r>
        <w:t xml:space="preserve"> </w:t>
      </w:r>
      <w:r>
        <w:t xml:space="preserve">includes a finite-batch Gaussian keep/recenter boundary and benchmark examples</w:t>
      </w:r>
      <w:r>
        <w:t xml:space="preserve"> </w:t>
      </w:r>
      <w:r>
        <w:t xml:space="preserve">where stream structure changes the preferred action. Thus action identification</w:t>
      </w:r>
      <w:r>
        <w:t xml:space="preserve"> </w:t>
      </w:r>
      <w:r>
        <w:t xml:space="preserve">being weaker than mechanism identification is not a unique claim of this paper.</w:t>
      </w:r>
      <w:r>
        <w:t xml:space="preserve"> </w:t>
      </w:r>
      <w:r>
        <w:t xml:space="preserve">Our population result fixes a realized predictor pair and a disagreement-conditional</w:t>
      </w:r>
      <w:r>
        <w:t xml:space="preserve"> </w:t>
      </w:r>
      <w:r>
        <w:t xml:space="preserve">residual class, deriving its clipped paired-benefit set and strict-sign boundary.</w:t>
      </w:r>
      <w:r>
        <w:t xml:space="preserve"> </w:t>
      </w:r>
      <w:r>
        <w:t xml:space="preserve">The distinction lies in that explicit compatible-law construction and its audit</w:t>
      </w:r>
      <w:r>
        <w:t xml:space="preserve"> </w:t>
      </w:r>
      <w:r>
        <w:t xml:space="preserve">requirements, not in the general fibre-consistency principle.</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r>
        <w:t xml:space="preserve"> </w:t>
      </w:r>
      <w:r>
        <w:t xml:space="preserve">Li, Han, and Ma [57] construct finite-sample label-shift</w:t>
      </w:r>
      <w:r>
        <w:t xml:space="preserve"> </w:t>
      </w:r>
      <w:r>
        <w:t xml:space="preserve">confidence regions through matrix constraints and linear programming. Consequently,</w:t>
      </w:r>
      <w:r>
        <w:t xml:space="preserve"> </w:t>
      </w:r>
      <w:r>
        <w:t xml:space="preserve">optimizing a compatible probability table is established machinery. The separate</w:t>
      </w:r>
      <w:r>
        <w:t xml:space="preserve"> </w:t>
      </w:r>
      <w:r>
        <w:t xml:space="preserve">paired-transport extension evaluated here targets the benefit contrast directly,</w:t>
      </w:r>
      <w:r>
        <w:t xml:space="preserve"> </w:t>
      </w:r>
      <w:r>
        <w:t xml:space="preserve">retains joint prediction-pair information, and reports sensitivity to an externally</w:t>
      </w:r>
      <w:r>
        <w:t xml:space="preserve"> </w:t>
      </w:r>
      <w:r>
        <w:t xml:space="preserve">specified conditional-transport violation. It does not estimate that violation</w:t>
      </w:r>
      <w:r>
        <w:t xml:space="preserve"> </w:t>
      </w:r>
      <w:r>
        <w:t xml:space="preserve">from unlabeled data or claim a new general-purpose LP confidence method.</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 historical AETTA comparison is reported in Appendix B.3.4, as a descriptive comparison whose rank-clipped calibration does not establish nominal coverage,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 historical AETTA comparison is reported in Appendix B.3.4, as a descriptive comparison whose rank-clipped calibration does not establish nominal coverage,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w:rPr>
                      <w:sz w:val="18"/>
                      <w:szCs w:val="18"/>
                    </w:rPr>
                    <m:t>f</m:t>
                  </m:r>
                </m:e>
                <m:sub>
                  <m:r>
                    <w:rPr>
                      <w:sz w:val="18"/>
                      <w:szCs w:val="18"/>
                    </w:rPr>
                    <m:t>0</m:t>
                  </m:r>
                </m:sub>
              </m:sSub>
              <m:r>
                <m:rPr>
                  <m:sty m:val="p"/>
                </m:rPr>
                <w:rPr>
                  <w:sz w:val="18"/>
                  <w:szCs w:val="18"/>
                </w:rPr>
                <m:t>,</m:t>
              </m:r>
              <m:sSub>
                <m:e>
                  <m:r>
                    <w:rPr>
                      <w:sz w:val="18"/>
                      <w:szCs w:val="18"/>
                    </w:rPr>
                    <m:t>f</m:t>
                  </m:r>
                </m:e>
                <m:sub>
                  <m:r>
                    <w:rPr>
                      <w:sz w:val="18"/>
                      <w:szCs w:val="18"/>
                    </w:rP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0</m:t>
                  </m:r>
                </m:sub>
              </m:sSub>
              <m:r>
                <m:rPr>
                  <m:sty m:val="p"/>
                </m:rPr>
                <w:rPr>
                  <w:sz w:val="18"/>
                  <w:szCs w:val="18"/>
                </w:rPr>
                <m:t>)</m:t>
              </m:r>
              <m:r>
                <m:rPr>
                  <m:sty m:val="p"/>
                </m:rPr>
                <w:rPr>
                  <w:sz w:val="18"/>
                  <w:szCs w:val="18"/>
                </w:rPr>
                <m:t>−</m:t>
              </m:r>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a</m:t>
                  </m:r>
                </m:sub>
              </m:sSub>
              <m:r>
                <m:rPr>
                  <m:sty m:val="p"/>
                </m:rPr>
                <w:rPr>
                  <w:sz w:val="18"/>
                  <w:szCs w:val="18"/>
                </w: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D</m:t>
              </m:r>
              <m:r>
                <m:rPr>
                  <m:sty m:val="p"/>
                </m:rPr>
                <w:rPr>
                  <w:sz w:val="18"/>
                  <w:szCs w:val="18"/>
                </w:rPr>
                <m:t>,</m:t>
              </m:r>
              <m:r>
                <w:rPr>
                  <w:sz w:val="18"/>
                  <w:szCs w:val="18"/>
                </w:rPr>
                <m:t> </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w:rPr>
                  <w:sz w:val="18"/>
                  <w:szCs w:val="18"/>
                </w:rP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r>
                <m:rPr>
                  <m:sty m:val="p"/>
                </m:rPr>
                <w:rPr>
                  <w:sz w:val="18"/>
                  <w:szCs w:val="18"/>
                </w:rPr>
                <m:t>,</m:t>
              </m:r>
              <m:r>
                <w:rPr>
                  <w:sz w:val="18"/>
                  <w:szCs w:val="18"/>
                </w:rPr>
                <m:t> </m:t>
              </m:r>
              <m:r>
                <w:rPr>
                  <w:sz w:val="18"/>
                  <w:szCs w:val="18"/>
                </w:rP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r>
                <m:rPr>
                  <m:sty m:val="p"/>
                </m:rPr>
                <w:rPr>
                  <w:sz w:val="18"/>
                  <w:szCs w:val="18"/>
                </w:rPr>
                <m:t>,</m:t>
              </m:r>
              <m:r>
                <w:rPr>
                  <w:sz w:val="18"/>
                  <w:szCs w:val="18"/>
                </w:rPr>
                <m:t> </m:t>
              </m:r>
              <m:r>
                <w:rPr>
                  <w:sz w:val="18"/>
                  <w:szCs w:val="18"/>
                </w:rP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rPr>
              <m:nor/>
              <m:sty m:val="p"/>
            </m:rPr>
            <m:t xml:space="preserve">  (2)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nor/>
              <m:sty m:val="p"/>
            </m:rPr>
            <m:t xml:space="preserve">  (3)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rPr>
              <m:nor/>
              <m:sty m:val="p"/>
            </m:rPr>
            <m:t xml:space="preserve">  (4)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nor/>
              <m:sty m:val="p"/>
            </m:rPr>
            <m:t xml:space="preserve">  (5)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4251960" cy="1661159"/>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var/folders/pk/ksqc41pj60q3589gfwhqz5tw0000gn/T/kbound-docx-73vp3v33/word_figures/figure-02-e0069c0f875554b0.png" id="30" name="Picture"/>
                    <pic:cNvPicPr>
                      <a:picLocks noChangeArrowheads="1" noChangeAspect="1"/>
                    </pic:cNvPicPr>
                  </pic:nvPicPr>
                  <pic:blipFill>
                    <a:blip r:embed="rId28"/>
                    <a:stretch>
                      <a:fillRect/>
                    </a:stretch>
                  </pic:blipFill>
                  <pic:spPr bwMode="auto">
                    <a:xfrm>
                      <a:off x="0" y="0"/>
                      <a:ext cx="4251960" cy="1661159"/>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w:rPr>
            <w:sz w:val="17"/>
            <w:szCs w:val="17"/>
          </w:rPr>
          <m:t>M</m:t>
        </m:r>
        <m:r>
          <m:rPr>
            <m:sty m:val="p"/>
          </m:rPr>
          <w:rPr>
            <w:sz w:val="17"/>
            <w:szCs w:val="17"/>
          </w:rPr>
          <m:t>&gt;</m:t>
        </m:r>
        <m:r>
          <w:rPr>
            <w:sz w:val="17"/>
            <w:szCs w:val="17"/>
          </w:rPr>
          <m:t>β</m:t>
        </m:r>
      </m:oMath>
      <w:r>
        <w:t xml:space="preserve"> </w:t>
      </w:r>
      <w:r>
        <w:t xml:space="preserve">supports adapt;</w:t>
      </w:r>
      <w:r>
        <w:t xml:space="preserve"> </w:t>
      </w:r>
      <m:oMath>
        <m:r>
          <w:rPr>
            <w:sz w:val="17"/>
            <w:szCs w:val="17"/>
          </w:rPr>
          <m:t>M</m:t>
        </m:r>
        <m:r>
          <m:rPr>
            <m:sty m:val="p"/>
          </m:rPr>
          <w:rPr>
            <w:sz w:val="17"/>
            <w:szCs w:val="17"/>
          </w:rPr>
          <m:t>&lt;</m:t>
        </m:r>
        <m:r>
          <m:rPr>
            <m:sty m:val="p"/>
          </m:rPr>
          <w:rPr>
            <w:sz w:val="17"/>
            <w:szCs w:val="17"/>
          </w:rPr>
          <m:t>−</m:t>
        </m:r>
        <m:r>
          <w:rPr>
            <w:sz w:val="17"/>
            <w:szCs w:val="17"/>
          </w:rPr>
          <m:t>β</m:t>
        </m:r>
      </m:oMath>
      <w:r>
        <w:t xml:space="preserve"> </w:t>
      </w:r>
      <w:r>
        <w:t xml:space="preserve">supports freeze; and</w:t>
      </w:r>
      <w: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&gt;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&lt;</m:t>
              </m:r>
              <m:r>
                <m:rPr>
                  <m:sty m:val="p"/>
                </m:rPr>
                <w:rPr>
                  <w:sz w:val="18"/>
                  <w:szCs w:val="18"/>
                </w:rPr>
                <m: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m:t>
              </m:r>
              <m:r>
                <w:rPr>
                  <w:sz w:val="18"/>
                  <w:szCs w:val="18"/>
                </w:rPr>
                <m:t>β</m:t>
              </m:r>
              <m:r>
                <m:rPr>
                  <m:sty m:val="p"/>
                </m:rPr>
                <w:rPr>
                  <w:sz w:val="18"/>
                  <w:szCs w:val="18"/>
                </w:rPr>
                <m:t>&gt;</m:t>
              </m:r>
              <m:r>
                <w:rPr>
                  <w:sz w:val="18"/>
                  <w:szCs w:val="18"/>
                </w:rP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r>
                <m:rPr>
                  <m:sty m:val="p"/>
                </m:rPr>
                <w:rPr>
                  <w:sz w:val="18"/>
                  <w:szCs w:val="18"/>
                </w:rPr>
                <m:t>=</m:t>
              </m:r>
              <m:r>
                <w:rPr>
                  <w:sz w:val="18"/>
                  <w:szCs w:val="18"/>
                </w:rPr>
                <m:t>β</m:t>
              </m:r>
              <m:r>
                <m:rPr>
                  <m:sty m:val="p"/>
                </m:rPr>
                <w:rPr>
                  <w:sz w:val="18"/>
                  <w:szCs w:val="18"/>
                </w:rPr>
                <m:t>=</m:t>
              </m:r>
              <m:r>
                <w:rPr>
                  <w:sz w:val="18"/>
                  <w:szCs w:val="18"/>
                </w:rP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rPr>
              <m:nor/>
              <m:sty m:val="p"/>
            </m:rPr>
            <m:t xml:space="preserve">  (6)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rPr>
              <m:nor/>
              <m:sty m:val="p"/>
            </m:rPr>
            <m:t xml:space="preserve">  (7)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 evidence-fibre result motivates a practical question: what additional information can support</w:t>
      </w:r>
      <w:r>
        <w:t xml:space="preserve"> </w:t>
      </w:r>
      <w:r>
        <w:t xml:space="preserve">an update decision? KGA uses labeled historical shifts to predict and calibrate measured benefit.</w:t>
      </w:r>
      <w:r>
        <w:t xml:space="preserve"> </w:t>
      </w:r>
      <w:r>
        <w:t xml:space="preserve">Section 6.1 states its inferential target and the extra assumptions required</w:t>
      </w:r>
      <w:r>
        <w:t xml:space="preserve"> </w:t>
      </w:r>
      <w:r>
        <w:t xml:space="preserve">for population interpretation.</w:t>
      </w:r>
    </w:p>
    <w:bookmarkEnd w:id="39"/>
    <w:bookmarkEnd w:id="40"/>
    <w:bookmarkStart w:id="50" w:name="kga-an-empirical-benefit-interval-gate"/>
    <w:p>
      <w:pPr>
        <w:pStyle w:val="Heading1"/>
        <w:widowControl/>
      </w:pPr>
      <w:r>
        <w:t xml:space="preserve">6 KGA: An Empirical Benefit-Interval Gate</w:t>
      </w:r>
    </w:p>
    <w:bookmarkStart w:id="41" w:name="X94c4e2d687e7e143bdb92cd6b0d3303e77154b8"/>
    <w:p>
      <w:pPr>
        <w:pStyle w:val="Heading2"/>
        <w:widowControl/>
      </w:pPr>
      <w:r>
        <w:t xml:space="preserve">6.1 From Population Identification to Empirical Decisions</w:t>
      </w:r>
    </w:p>
    <w:p>
      <w:pPr>
        <w:pStyle w:val="FirstParagraph"/>
        <w:widowControl/>
      </w:pPr>
      <w:r>
        <w:t xml:space="preserve">K-Bound characterizes population benefit over a declared class of target laws. KGA predicts</w:t>
      </w:r>
      <w:r>
        <w:t xml:space="preserve"> </w:t>
      </w:r>
      <w:r>
        <w:t xml:space="preserve">measured evaluation-cell benefit using labeled historical outcomes and a separately calibrated</w:t>
      </w:r>
      <w:r>
        <w:t xml:space="preserve"> </w:t>
      </w:r>
      <w:r>
        <w:t xml:space="preserve">residual interval. It does not numerically apply</w:t>
      </w:r>
      <w:r>
        <w:t xml:space="preserve"> </w:t>
      </w:r>
      <m:oMath>
        <m:r>
          <m:rPr>
            <m:sty m:val="p"/>
          </m:rPr>
          <m:t>|</m:t>
        </m:r>
        <m:r>
          <m:t>M</m:t>
        </m:r>
        <m:r>
          <m:rPr>
            <m:sty m:val="p"/>
          </m:rPr>
          <m:t>|</m:t>
        </m:r>
        <m:r>
          <m:rPr>
            <m:sty m:val="p"/>
          </m:rPr>
          <m:t>&gt;</m:t>
        </m:r>
        <m:r>
          <m:t>β</m:t>
        </m:r>
      </m:oMath>
      <w:r>
        <w:t xml:space="preserve">, and its empirical radius</w:t>
      </w:r>
      <w:r>
        <w:t xml:space="preserve"> </w:t>
      </w:r>
      <m:oMath>
        <m:r>
          <m:t>ε</m:t>
        </m:r>
      </m:oMath>
      <w:r>
        <w:t xml:space="preserve"> </w:t>
      </w:r>
      <w:r>
        <w:t xml:space="preserve">is not an estimate of the population residual bound</w:t>
      </w:r>
      <w:r>
        <w:t xml:space="preserve"> </w:t>
      </w:r>
      <m:oMath>
        <m:r>
          <m:t>β</m:t>
        </m:r>
      </m:oMath>
      <w:r>
        <w:t xml:space="preserve">. When a credible</w:t>
      </w:r>
      <w:r>
        <w:t xml:space="preserve"> </w:t>
      </w:r>
      <w:r>
        <w:t xml:space="preserve">population budget is supplied externally, a direct finite-sample frontier rule is available</w:t>
      </w:r>
      <w:r>
        <w:t xml:space="preserve"> </w:t>
      </w:r>
      <w:r>
        <w:t xml:space="preserve">(Appendix A.6).</w:t>
      </w:r>
      <w:r>
        <w:t xml:space="preserve"> </w:t>
      </w:r>
      <w:r>
        <w:t xml:space="preserve">The empirical route instead depends on support for its calibration assumptions.</w:t>
      </w:r>
    </w:p>
    <w:p>
      <w:pPr>
        <w:pStyle w:val="BodyText"/>
        <w:widowControl/>
      </w:pP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rPr>
              <m:nor/>
              <m:sty m:val="p"/>
            </m:rPr>
            <m:t xml:space="preserve">  (8)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rPr>
              <m:nor/>
              <m:sty m:val="p"/>
            </m:rPr>
            <m:t xml:space="preserve">  (9)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w:rPr>
                  <w:sz w:val="18"/>
                  <w:szCs w:val="18"/>
                </w:rPr>
                <m:t>M</m:t>
              </m:r>
              <m:r>
                <m:rPr>
                  <m:sty m:val="p"/>
                </m:rPr>
                <w:rPr>
                  <w:sz w:val="18"/>
                  <w:szCs w:val="18"/>
                </w:rPr>
                <m:t>+</m:t>
              </m:r>
              <m:r>
                <w:rPr>
                  <w:sz w:val="18"/>
                  <w:szCs w:val="18"/>
                </w:rPr>
                <m:t>γ</m:t>
              </m:r>
              <m:r>
                <m:rPr>
                  <m:sty m:val="p"/>
                </m:rPr>
                <w:rPr>
                  <w:sz w:val="18"/>
                  <w:szCs w:val="18"/>
                </w:rPr>
                <m:t>=</m:t>
              </m:r>
              <m:bar>
                <m:barPr>
                  <m:pos m:val="top"/>
                </m:barPr>
                <m:e>
                  <m:r>
                    <w:rPr>
                      <w:sz w:val="18"/>
                      <w:szCs w:val="18"/>
                    </w:rPr>
                    <m:t>a</m:t>
                  </m:r>
                </m:e>
              </m:bar>
              <m:r>
                <m:rPr>
                  <m:sty m:val="p"/>
                </m:rPr>
                <w:rPr>
                  <w:sz w:val="18"/>
                  <w:szCs w:val="18"/>
                </w:rPr>
                <m:t>−</m:t>
              </m:r>
              <m:f>
                <m:fPr>
                  <m:type m:val="bar"/>
                </m:fPr>
                <m:num>
                  <m:r>
                    <w:rPr>
                      <w:sz w:val="18"/>
                      <w:szCs w:val="18"/>
                    </w:rPr>
                    <m:t>1</m:t>
                  </m:r>
                </m:num>
                <m:den>
                  <m:r>
                    <w:rPr>
                      <w:sz w:val="18"/>
                      <w:szCs w:val="18"/>
                    </w:rP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w:rPr>
                  <w:sz w:val="18"/>
                  <w:szCs w:val="18"/>
                </w:rPr>
                <m:t>2</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r>
                <m:rPr>
                  <m:sty m:val="p"/>
                </m:rPr>
                <w:rPr>
                  <w:sz w:val="18"/>
                  <w:szCs w:val="18"/>
                </w:rPr>
                <m:t>(</m:t>
              </m:r>
              <m:r>
                <w:rPr>
                  <w:sz w:val="18"/>
                  <w:szCs w:val="18"/>
                </w:rPr>
                <m:t>M</m:t>
              </m:r>
              <m:r>
                <m:rPr>
                  <m:sty m:val="p"/>
                </m:rPr>
                <w:rPr>
                  <w:sz w:val="18"/>
                  <w:szCs w:val="18"/>
                </w:rPr>
                <m:t>+</m:t>
              </m:r>
              <m:r>
                <w:rPr>
                  <w:sz w:val="18"/>
                  <w:szCs w:val="18"/>
                </w:rPr>
                <m:t>γ</m:t>
              </m:r>
              <m:r>
                <m:rPr>
                  <m:sty m:val="p"/>
                </m:rPr>
                <w:rPr>
                  <w:sz w:val="18"/>
                  <w:szCs w:val="18"/>
                </w: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w:rPr>
                  <w:sz w:val="18"/>
                  <w:szCs w:val="18"/>
                </w:rPr>
                <m:t>S</m:t>
              </m:r>
              <m:r>
                <m:rPr>
                  <m:sty m:val="p"/>
                </m:rPr>
                <w:rPr>
                  <w:sz w:val="18"/>
                  <w:szCs w:val="18"/>
                </w:rPr>
                <m:t>(</m:t>
              </m:r>
              <m:sSub>
                <m:e>
                  <m:r>
                    <w:rPr>
                      <w:sz w:val="18"/>
                      <w:szCs w:val="18"/>
                    </w:rPr>
                    <m:t>f</m:t>
                  </m:r>
                </m:e>
                <m:sub>
                  <m:r>
                    <w:rPr>
                      <w:sz w:val="18"/>
                      <w:szCs w:val="18"/>
                    </w:rPr>
                    <m:t>a</m:t>
                  </m:r>
                </m:sub>
              </m:sSub>
              <m:r>
                <m:rPr>
                  <m:sty m:val="p"/>
                </m:rPr>
                <w:rPr>
                  <w:sz w:val="18"/>
                  <w:szCs w:val="18"/>
                </w:rPr>
                <m:t>;</m:t>
              </m:r>
              <m:r>
                <m:rPr>
                  <m:scr m:val="script"/>
                  <m:sty m:val="p"/>
                </m:rPr>
                <w:rPr>
                  <w:sz w:val="18"/>
                  <w:szCs w:val="18"/>
                </w:rPr>
                <m:t>E</m:t>
              </m:r>
              <m:r>
                <m:rPr>
                  <m:sty m:val="p"/>
                </m:rPr>
                <w:rPr>
                  <w:sz w:val="18"/>
                  <w:szCs w:val="18"/>
                </w:rPr>
                <m:t>)</m:t>
              </m:r>
              <m:r>
                <m:rPr>
                  <m:sty m:val="p"/>
                </m:rPr>
                <w:rPr>
                  <w:sz w:val="18"/>
                  <w:szCs w:val="18"/>
                </w:rPr>
                <m:t>−</m:t>
              </m:r>
              <m:r>
                <w:rPr>
                  <w:sz w:val="18"/>
                  <w:szCs w:val="18"/>
                </w:rPr>
                <m:t>S</m:t>
              </m:r>
              <m:r>
                <m:rPr>
                  <m:sty m:val="p"/>
                </m:rPr>
                <w:rPr>
                  <w:sz w:val="18"/>
                  <w:szCs w:val="18"/>
                </w:rPr>
                <m:t>(</m:t>
              </m:r>
              <m:sSub>
                <m:e>
                  <m:r>
                    <w:rPr>
                      <w:sz w:val="18"/>
                      <w:szCs w:val="18"/>
                    </w:rPr>
                    <m:t>f</m:t>
                  </m:r>
                </m:e>
                <m:sub>
                  <m:r>
                    <w:rPr>
                      <w:sz w:val="18"/>
                      <w:szCs w:val="18"/>
                    </w:rPr>
                    <m:t>0</m:t>
                  </m:r>
                </m:sub>
              </m:sSub>
              <m:r>
                <m:rPr>
                  <m:sty m:val="p"/>
                </m:rPr>
                <w:rPr>
                  <w:sz w:val="18"/>
                  <w:szCs w:val="18"/>
                </w:rPr>
                <m:t>;</m:t>
              </m:r>
              <m:r>
                <m:rPr>
                  <m:scr m:val="script"/>
                  <m:sty m:val="p"/>
                </m:rPr>
                <w:rPr>
                  <w:sz w:val="18"/>
                  <w:szCs w:val="18"/>
                </w:rPr>
                <m:t>E</m:t>
              </m:r>
              <m:r>
                <m:rPr>
                  <m:sty m:val="p"/>
                </m:rPr>
                <w:rPr>
                  <w:sz w:val="18"/>
                  <w:szCs w:val="18"/>
                </w: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w:rPr>
                      <w:sz w:val="18"/>
                      <w:szCs w:val="18"/>
                    </w:rPr>
                    <m:t>h</m:t>
                  </m:r>
                </m:e>
                <m:sub>
                  <m:r>
                    <w:rPr>
                      <w:sz w:val="18"/>
                      <w:szCs w:val="18"/>
                    </w:rPr>
                    <m:t>θ</m:t>
                  </m:r>
                </m:sub>
              </m:sSub>
              <m:r>
                <m:rPr>
                  <m:sty m:val="p"/>
                </m:rPr>
                <w:rPr>
                  <w:sz w:val="18"/>
                  <w:szCs w:val="18"/>
                </w:rPr>
                <m:t>(</m:t>
              </m:r>
              <m:r>
                <w:rPr>
                  <w:sz w:val="18"/>
                  <w:szCs w:val="18"/>
                </w:rPr>
                <m:t>Z</m:t>
              </m:r>
              <m:r>
                <m:rPr>
                  <m:sty m:val="p"/>
                </m:rPr>
                <w:rPr>
                  <w:sz w:val="18"/>
                  <w:szCs w:val="18"/>
                </w: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A population interpretation requires both cell-level coverage and a separate sampling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The enlarged interval therefore covers population benefit only when both premises hold.</w:t>
      </w:r>
      <w:r>
        <w:t xml:space="preserve"> </w:t>
      </w:r>
      <w:r>
        <w:t xml:space="preserve">Proposition 3 states this implication; its sampling assumptions</w:t>
      </w:r>
      <w:r>
        <w:t xml:space="preserve"> </w:t>
      </w:r>
      <w:r>
        <w:t xml:space="preserve">are not established for the benchmark panels. Table 4</w:t>
      </w:r>
      <w:r>
        <w:t xml:space="preserve"> </w:t>
      </w:r>
      <w:r>
        <w:t xml:space="preserve">keeps the population and empirical quantities distinct.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rPr>
              <m:nor/>
              <m:sty m:val="p"/>
            </m:rPr>
            <m:t xml:space="preserve">  (10)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4"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oMath>
      <w:r>
        <w:t xml:space="preserve"> </w:t>
      </w:r>
      <w:r>
        <w:t xml:space="preserve">and</w:t>
      </w:r>
      <w:r>
        <w:t xml:space="preserve"> </w:t>
      </w:r>
      <m:oMath>
        <m:r>
          <m:t>β</m:t>
        </m:r>
      </m:oMath>
      <w:r>
        <w:t xml:space="preserve"> </w:t>
      </w:r>
      <w:r>
        <w:t xml:space="preserve">conflates two distinct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t>
      </w:r>
      <w:r>
        <w:t xml:space="preserve">(a deductive assumption), whereas</w:t>
      </w:r>
      <w:r>
        <w:t xml:space="preserve"> </w:t>
      </w:r>
      <m:oMath>
        <m:r>
          <m:t>ε</m:t>
        </m:r>
      </m:oMath>
      <w:r>
        <w:t xml:space="preserve"> </w:t>
      </w:r>
      <w:r>
        <w:t xml:space="preserve">measures empirical prediction error (an inductive, data-driven quantity). While numerical equality could occur by coincidence, their mathematical definitions and epistemological roles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formalized action rule proves that a strict decision has the correct sign whenever the</w:t>
      </w:r>
      <w:r>
        <w:t xml:space="preserve"> </w:t>
      </w:r>
      <w:r>
        <w:t xml:space="preserve">compound interval contains population benefit. This implication does not establish the</w:t>
      </w:r>
      <w:r>
        <w:t xml:space="preserve"> </w:t>
      </w:r>
      <w:r>
        <w:t xml:space="preserve">sampling or calibration premises for the benchmarks; the scope and theorem mapping are given</w:t>
      </w:r>
      <w:r>
        <w:t xml:space="preserve"> </w:t>
      </w:r>
      <w:r>
        <w:t xml:space="preserve">in Appendix M.</w:t>
      </w:r>
    </w:p>
    <w:bookmarkStart w:id="42"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w:rPr>
                <w:sz w:val="17"/>
                <w:szCs w:val="17"/>
              </w:rPr>
              <m:t>Δ</m:t>
            </m:r>
          </m:e>
        </m:acc>
        <m:r>
          <m:rPr>
            <m:sty m:val="p"/>
          </m:rPr>
          <w:rPr>
            <w:sz w:val="17"/>
            <w:szCs w:val="17"/>
          </w:rPr>
          <m:t>±</m:t>
        </m:r>
        <m:r>
          <w:rPr>
            <w:sz w:val="17"/>
            <w:szCs w:val="17"/>
          </w:rPr>
          <m:t>ε</m:t>
        </m:r>
      </m:oMath>
      <w:r>
        <w:t xml:space="preserve">) vs. compound population interval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under 5-fold cross-fitting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r>
          <m:rPr>
            <m:sty m:val="p"/>
          </m:rPr>
          <w:rPr>
            <w:sz w:val="17"/>
            <w:szCs w:val="17"/>
          </w:rPr>
          <m:t>,</m:t>
        </m:r>
        <m:r>
          <w:rPr>
            <w:sz w:val="17"/>
            <w:szCs w:val="17"/>
          </w:rPr>
          <m:t>m</m:t>
        </m:r>
        <m:r>
          <m:rPr>
            <m:sty m:val="p"/>
          </m:rPr>
          <w:rPr>
            <w:sz w:val="17"/>
            <w:szCs w:val="17"/>
          </w:rPr>
          <m:t>=</m:t>
        </m:r>
        <m:r>
          <w:rPr>
            <w:sz w:val="17"/>
            <w:szCs w:val="17"/>
          </w:rPr>
          <m:t>2</m:t>
        </m:r>
        <m:r>
          <m:rPr>
            <m:sty m:val="p"/>
          </m:rPr>
          <w:rPr>
            <w:sz w:val="17"/>
            <w:szCs w:val="17"/>
          </w:rPr>
          <m:t>,</m:t>
        </m:r>
        <m:r>
          <w:rPr>
            <w:sz w:val="17"/>
            <w:szCs w:val="17"/>
          </w:rPr>
          <m:t>000</m:t>
        </m:r>
        <m:r>
          <m:rPr>
            <m:sty m:val="p"/>
          </m:rPr>
          <w:rPr>
            <w:sz w:val="17"/>
            <w:szCs w:val="17"/>
          </w:rPr>
          <m:t>,</m:t>
        </m:r>
        <m:r>
          <w:rPr>
            <w:sz w:val="17"/>
            <w:szCs w:val="17"/>
          </w:rPr>
          <m:t>b</m:t>
        </m:r>
        <m:r>
          <m:rPr>
            <m:sty m:val="p"/>
          </m:rPr>
          <w:rPr>
            <w:sz w:val="17"/>
            <w:szCs w:val="17"/>
          </w:rPr>
          <m:t>=</m:t>
        </m:r>
        <m:r>
          <w:rPr>
            <w:sz w:val="17"/>
            <w:szCs w:val="17"/>
          </w:rP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2"/>
    <w:bookmarkStart w:id="43"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3"/>
    <w:bookmarkEnd w:id="44"/>
    <w:bookmarkStart w:id="49"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8"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25039"/>
            <wp:effectExtent b="0" l="0" r="0" t="0"/>
            <wp:docPr descr="KGA interval decisions for measured cell benefit; empirical residual coverage is not population-risk coverage." title="KGA interval decisions for measured cell benefit; empirical residual coverage is not population-risk coverage" id="46" name="Picture"/>
            <a:graphic>
              <a:graphicData uri="http://schemas.openxmlformats.org/drawingml/2006/picture">
                <pic:pic>
                  <pic:nvPicPr>
                    <pic:cNvPr descr="/var/folders/pk/ksqc41pj60q3589gfwhqz5tw0000gn/T/kbound-docx-73vp3v33/word_figures/figure-03-17399a795ef98301.png" id="47" name="Picture"/>
                    <pic:cNvPicPr>
                      <a:picLocks noChangeArrowheads="1" noChangeAspect="1"/>
                    </pic:cNvPicPr>
                  </pic:nvPicPr>
                  <pic:blipFill>
                    <a:blip r:embed="rId45"/>
                    <a:stretch>
                      <a:fillRect/>
                    </a:stretch>
                  </pic:blipFill>
                  <pic:spPr bwMode="auto">
                    <a:xfrm>
                      <a:off x="0" y="0"/>
                      <a:ext cx="4267200" cy="2225039"/>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synchronized timing and peak-memory</w:t>
      </w:r>
      <w:r>
        <w:t xml:space="preserve"> </w:t>
      </w:r>
      <w:r>
        <w:t xml:space="preserve">evidence was not recovered; the retained literals are therefore audit records rather than performance</w:t>
      </w:r>
      <w:r>
        <w:t xml:space="preserve"> </w:t>
      </w:r>
      <w:r>
        <w:t xml:space="preserve">claims (Table 45).</w:t>
      </w:r>
      <w:r>
        <w:t xml:space="preserve"> </w:t>
      </w:r>
      <w:r>
        <w:t xml:space="preserve">Workload-specific measurements reported in the supplement have a distinct scope, and comparable</w:t>
      </w:r>
      <w:r>
        <w:t xml:space="preserve"> </w:t>
      </w:r>
      <w:r>
        <w:t xml:space="preserve">end-to-end deployment latencies across the historical benchmark tracks remain unestablished.</w:t>
      </w:r>
    </w:p>
    <w:bookmarkEnd w:id="48"/>
    <w:bookmarkEnd w:id="49"/>
    <w:bookmarkEnd w:id="50"/>
    <w:bookmarkStart w:id="54" w:name="primary-experimental-protocols"/>
    <w:p>
      <w:pPr>
        <w:pStyle w:val="Heading1"/>
        <w:widowControl/>
      </w:pPr>
      <w:r>
        <w:t xml:space="preserve">7 Primary Experimental Protocols</w:t>
      </w:r>
    </w:p>
    <w:bookmarkStart w:id="51"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82"/>
        <w:gridCol w:w="3489"/>
        <w:gridCol w:w="3489"/>
      </w:tblGrid>
      <w:tr>
        <w:trPr>
          <w:tblHeader w:val="true"/>
          <w:cantSplit w:val="true"/>
        </w:trPr>
        <w:tc>
          <w:tcPr>
            <w:tcW w:w="29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predeclared utility-retention rule</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 v1/v2</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v1 development stop; v2 calibration-screen failure; targets unopened</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the respective pre-target eligibility checks were met</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1"/>
    <w:bookmarkStart w:id="52" w:name="cct-20-design-and-utility-retention"/>
    <w:p>
      <w:pPr>
        <w:pStyle w:val="Heading2"/>
        <w:widowControl/>
      </w:pPr>
      <w:r>
        <w:t xml:space="preserve">7.2 CCT-20 Design and Utility Retention</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utility-retention</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rPr>
              <m:nor/>
              <m:sty m:val="p"/>
            </m:rPr>
            <m:t xml:space="preserve">  (12)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2"/>
    <w:bookmarkStart w:id="53"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rPr>
              <m:nor/>
              <m:sty m:val="p"/>
            </m:rPr>
            <m:t xml:space="preserve">  (13)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3"/>
    <w:bookmarkEnd w:id="54"/>
    <w:bookmarkStart w:id="68" w:name="primary-results"/>
    <w:p>
      <w:pPr>
        <w:pStyle w:val="Heading1"/>
        <w:widowControl/>
      </w:pPr>
      <w:r>
        <w:t xml:space="preserve">8 Primary Results</w:t>
      </w:r>
    </w:p>
    <w:bookmarkStart w:id="58"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0350"/>
            <wp:effectExtent b="0" l="0" r="0" t="0"/>
            <wp:docPr descr="CIFAR-10-C stress grid mixing-ratio Pareto front comparing mean regret vs harmful fraction for Tent." title="CIFAR-10-C stress grid mixing-ratio Pareto front comparing mean regret vs harmful fraction for Tent" id="56" name="Picture"/>
            <a:graphic>
              <a:graphicData uri="http://schemas.openxmlformats.org/drawingml/2006/picture">
                <pic:pic>
                  <pic:nvPicPr>
                    <pic:cNvPr descr="/var/folders/pk/ksqc41pj60q3589gfwhqz5tw0000gn/T/kbound-docx-73vp3v33/word_figures/figure-04-d6a53cca9091d1cf.png" id="57" name="Picture"/>
                    <pic:cNvPicPr>
                      <a:picLocks noChangeArrowheads="1" noChangeAspect="1"/>
                    </pic:cNvPicPr>
                  </pic:nvPicPr>
                  <pic:blipFill>
                    <a:blip r:embed="rId55"/>
                    <a:stretch>
                      <a:fillRect/>
                    </a:stretch>
                  </pic:blipFill>
                  <pic:spPr bwMode="auto">
                    <a:xfrm>
                      <a:off x="0" y="0"/>
                      <a:ext cx="4267200" cy="2800350"/>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w:rPr>
            <w:sz w:val="17"/>
            <w:szCs w:val="17"/>
          </w:rP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8"/>
    <w:bookmarkStart w:id="59"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0.90</m:t>
        </m:r>
      </m:oMath>
      <w:r>
        <w:t xml:space="preserve">. Observed inclusion concerns</w:t>
      </w:r>
      <w: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r>
                <m:rPr>
                  <m:sty m:val="p"/>
                </m:rPr>
                <w:rPr>
                  <w:sz w:val="15"/>
                  <w:szCs w:val="15"/>
                </w:rPr>
                <m:t>/</m:t>
              </m:r>
              <m:sSub>
                <m:e>
                  <m:r>
                    <m:rPr>
                      <m:sty m:val="p"/>
                    </m:rPr>
                    <w:rPr>
                      <w:sz w:val="15"/>
                      <w:szCs w:val="15"/>
                    </w:rPr>
                    <m:t>F</m:t>
                  </m:r>
                  <m:r>
                    <m:rPr>
                      <m:sty m:val="p"/>
                    </m:rPr>
                    <w:rPr>
                      <w:sz w:val="15"/>
                      <w:szCs w:val="15"/>
                    </w:rPr>
                    <m:t>A</m:t>
                  </m:r>
                </m:e>
                <m:sub>
                  <m:r>
                    <w:rPr>
                      <w:sz w:val="15"/>
                      <w:szCs w:val="15"/>
                    </w:rP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r>
                <m:rPr>
                  <m:sty m:val="p"/>
                </m:rPr>
                <w:rPr>
                  <w:sz w:val="15"/>
                  <w:szCs w:val="15"/>
                </w:rPr>
                <m:t>/</m:t>
              </m:r>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59"/>
    <w:bookmarkStart w:id="60"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computed from the same paired scores.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w:rPr>
                <w:sz w:val="17"/>
                <w:szCs w:val="17"/>
              </w:rPr>
              <m:t>F</m:t>
            </m:r>
            <m:r>
              <m:rPr>
                <m:sty m:val="p"/>
              </m:rPr>
              <w:rPr>
                <w:sz w:val="17"/>
                <w:szCs w:val="17"/>
              </w:rPr>
              <m:t>A</m:t>
            </m:r>
          </m:e>
          <m:sub>
            <m:r>
              <m:rPr>
                <m:sty m:val="p"/>
              </m:rPr>
              <w:rPr>
                <w:sz w:val="17"/>
                <w:szCs w:val="17"/>
              </w:rPr>
              <m:t>u</m:t>
            </m:r>
          </m:sub>
        </m:sSub>
      </m:oMath>
      <w:r>
        <w:t xml:space="preserve"> </w:t>
      </w:r>
      <w:r>
        <w:t xml:space="preserve">is the fraction of all rows</w:t>
      </w:r>
      <w:r>
        <w:t xml:space="preserve"> </w:t>
      </w:r>
      <w:r>
        <w:t xml:space="preserve">with ADAPT and</w:t>
      </w:r>
      <w:r>
        <w:t xml:space="preserve"> </w:t>
      </w:r>
      <m:oMath>
        <m:r>
          <w:rPr>
            <w:sz w:val="17"/>
            <w:szCs w:val="17"/>
          </w:rPr>
          <m:t>B</m:t>
        </m:r>
        <m:r>
          <m:rPr>
            <m:sty m:val="p"/>
          </m:rPr>
          <w:rPr>
            <w:sz w:val="17"/>
            <w:szCs w:val="17"/>
          </w:rPr>
          <m:t>≤</m:t>
        </m:r>
        <m:r>
          <w:rPr>
            <w:sz w:val="17"/>
            <w:szCs w:val="17"/>
          </w:rPr>
          <m:t>0</m:t>
        </m:r>
      </m:oMath>
      <w:r>
        <w:t xml:space="preserve">; commitment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computed from the same paired scores.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w:t>
      </w:r>
    </w:p>
    <w:bookmarkEnd w:id="60"/>
    <w:bookmarkStart w:id="61"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L</m:t>
              </m:r>
              <m:r>
                <m:rPr>
                  <m:sty m:val="p"/>
                </m:rPr>
                <w:rPr>
                  <w:sz w:val="17"/>
                  <w:szCs w:val="17"/>
                </w:rPr>
                <m:t>&gt;</m:t>
              </m:r>
              <m:r>
                <w:rPr>
                  <w:sz w:val="17"/>
                  <w:szCs w:val="17"/>
                </w:rP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L</m:t>
              </m:r>
              <m:r>
                <m:rPr>
                  <m:sty m:val="p"/>
                </m:rPr>
                <w:rPr>
                  <w:sz w:val="17"/>
                  <w:szCs w:val="17"/>
                </w:rPr>
                <m:t>&gt;</m:t>
              </m:r>
              <m:r>
                <m:rPr>
                  <m:sty m:val="p"/>
                </m:rPr>
                <w:rPr>
                  <w:sz w:val="17"/>
                  <w:szCs w:val="17"/>
                </w:rPr>
                <m:t>−</m:t>
              </m:r>
              <m:r>
                <w:rPr>
                  <w:sz w:val="17"/>
                  <w:szCs w:val="17"/>
                </w:rPr>
                <m:t>0.0050</m:t>
              </m:r>
            </m:oMath>
          </w:p>
        </w:tc>
      </w:tr>
    </w:tbl>
    <w:p>
      <w:pPr>
        <w:pStyle w:val="BodyText"/>
        <w:widowControl/>
      </w:pPr>
      <w:r>
        <w:t xml:space="preserve">KGA matched always-freeze and avoided the measured degradation of always-adapt. The predeclared utility-retention endpoint was therefore met. The stronger selective-routing criterion was not: KGA issued no ADAPT decisions and failed to select the single helpful candidate.</w:t>
      </w:r>
      <w:r>
        <w:t xml:space="preserve"> </w:t>
      </w:r>
      <w:r>
        <w:t xml:space="preserve">All recorded development cells for Tent had negative measured benefit.</w:t>
      </w:r>
    </w:p>
    <w:bookmarkEnd w:id="61"/>
    <w:bookmarkStart w:id="62" w:name="X11f3a107a07ce58173a54feac1b802ddd83c657"/>
    <w:p>
      <w:pPr>
        <w:pStyle w:val="Heading2"/>
        <w:widowControl/>
      </w:pPr>
      <w:r>
        <w:t xml:space="preserve">8.5 Development Stops and Adverse Diagnostics</w:t>
      </w:r>
    </w:p>
    <w:p>
      <w:pPr>
        <w:pStyle w:val="FirstParagraph"/>
        <w:widowControl/>
      </w:pPr>
      <w:r>
        <w:t xml:space="preserve">The earlier v1 study on 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r>
        <w:t xml:space="preserve"> </w:t>
      </w:r>
      <w:r>
        <w:t xml:space="preserve">The separately locked v2 calibration study is reported in</w:t>
      </w:r>
      <w:r>
        <w:t xml:space="preserve"> </w:t>
      </w:r>
      <w:r>
        <w:t xml:space="preserve">Section 8.9; it also stopped before target access,</w:t>
      </w:r>
      <w:r>
        <w:t xml:space="preserve"> </w:t>
      </w:r>
      <w:r>
        <w:t xml:space="preserve">after failing its fixed calibration eligibility screen.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The opened one-sided Camelyon17 panel adapts throughout because all</w:t>
      </w:r>
      <w:r>
        <w:t xml:space="preserve"> </w:t>
      </w:r>
      <w:r>
        <w:t xml:space="preserve">18 cells are helpful.</w:t>
      </w:r>
      <w:r>
        <w:t xml:space="preserve"> </w:t>
      </w:r>
      <w:r>
        <w:t xml:space="preserve">A retrospective 72-condition Camelyon17 diagnostic contains both helpful and harmful</w:t>
      </w:r>
      <w:r>
        <w:t xml:space="preserve"> </w:t>
      </w:r>
      <w:r>
        <w:t xml:space="preserve">candidate effects but issues 0 ADAPT, 2 FREEZE, and 70 ABSTAIN decisions, matching</w:t>
      </w:r>
      <w:r>
        <w:t xml:space="preserve"> </w:t>
      </w:r>
      <w:r>
        <w:t xml:space="preserve">always-freeze regret (</w:t>
      </w:r>
      <m:oMath>
        <m:r>
          <m:t>0.0438</m:t>
        </m:r>
      </m:oMath>
      <w:r>
        <w:t xml:space="preserve">; Appendix B.5). Together with</w:t>
      </w:r>
      <w:r>
        <w:t xml:space="preserve"> </w:t>
      </w:r>
      <w:r>
        <w:t xml:space="preserve">CCT-20 and RxRx1, it provides retention evidence without ADAPT exposure. These studies do not</w:t>
      </w:r>
      <w:r>
        <w:t xml:space="preserve"> </w:t>
      </w:r>
      <w:r>
        <w:t xml:space="preserve">establish prospective selective routing on unseen natural shifts.</w:t>
      </w:r>
    </w:p>
    <w:bookmarkEnd w:id="62"/>
    <w:bookmarkStart w:id="63" w:name="additional-tests-of-decision-value"/>
    <w:p>
      <w:pPr>
        <w:pStyle w:val="Heading2"/>
        <w:widowControl/>
      </w:pPr>
      <w:r>
        <w:t xml:space="preserve">8.6 Additional Tests of Decision Value</w:t>
      </w:r>
    </w:p>
    <w:p>
      <w:pPr>
        <w:pStyle w:val="FirstParagraph"/>
        <w:widowControl/>
      </w:pPr>
      <w:r>
        <w:t xml:space="preserve">The following analyses ask three related questions at different levels. First, does residual</w:t>
      </w:r>
      <w:r>
        <w:t xml:space="preserve"> </w:t>
      </w:r>
      <w:r>
        <w:t xml:space="preserve">calibration add decision value beyond a shared point predictor? Second, can paired multiclass</w:t>
      </w:r>
      <w:r>
        <w:t xml:space="preserve"> </w:t>
      </w:r>
      <w:r>
        <w:t xml:space="preserve">transport make a decision under an explicitly declared structural assumption? Third, does a</w:t>
      </w:r>
      <w:r>
        <w:t xml:space="preserve"> </w:t>
      </w:r>
      <w:r>
        <w:t xml:space="preserve">natural-shift calibration screen provide enough evidence to authorize target scoring? Sections</w:t>
      </w:r>
      <w:r>
        <w:t xml:space="preserve"> </w:t>
      </w:r>
      <w:r>
        <w:t xml:space="preserve">8.7–8.9 examine these questions</w:t>
      </w:r>
      <w:r>
        <w:t xml:space="preserve"> </w:t>
      </w:r>
      <w:r>
        <w:t xml:space="preserve">separately; Section 8.10 describes the local deployment integration. None turns a conditional or retrospective result into a general deployment guarantee.</w:t>
      </w:r>
    </w:p>
    <w:bookmarkEnd w:id="63"/>
    <w:bookmarkStart w:id="64" w:name="X7dfa4c5a0604442698e09a208ca6359ed244db3"/>
    <w:p>
      <w:pPr>
        <w:pStyle w:val="Heading2"/>
        <w:widowControl/>
      </w:pPr>
      <w:r>
        <w:t xml:space="preserve">8.7 What Does Calibration Add to a Shared Predictor?</w:t>
      </w:r>
    </w:p>
    <w:p>
      <w:pPr>
        <w:pStyle w:val="FirstParagraph"/>
        <w:widowControl/>
      </w:pPr>
      <w:r>
        <w:t xml:space="preserve">We conducted a new retrospective comparison on the already opened CIFAR, ImageNet,</w:t>
      </w:r>
      <w:r>
        <w:t xml:space="preserve"> </w:t>
      </w:r>
      <w:r>
        <w:t xml:space="preserve">and mixed-checkpoint records. Every arm shares the same fitted GBRT within a fold.</w:t>
      </w:r>
      <w:r>
        <w:t xml:space="preserve"> </w:t>
      </w:r>
      <w:r>
        <w:t xml:space="preserve">CIFAR and ImageNet folds exclude complete scored corruption types from fitting,</w:t>
      </w:r>
      <w:r>
        <w:t xml:space="preserve"> </w:t>
      </w:r>
      <w:r>
        <w:t xml:space="preserve">tuning, and calibration. Checkpoint-only folds exclude the scored source model</w:t>
      </w:r>
      <w:r>
        <w:t xml:space="preserve"> </w:t>
      </w:r>
      <w:r>
        <w:t xml:space="preserve">and rotate held-out semantic groups; joint folds exclude both the scored source</w:t>
      </w:r>
      <w:r>
        <w:t xml:space="preserve"> </w:t>
      </w:r>
      <w:r>
        <w:t xml:space="preserve">model and the complete corruption type.</w:t>
      </w:r>
      <w:r>
        <w:t xml:space="preserve"> </w:t>
      </w:r>
      <w:r>
        <w:t xml:space="preserve">This tests transfer beyond the earlier cell-wise splits, while retaining the historical</w:t>
      </w:r>
      <w:r>
        <w:t xml:space="preserve"> </w:t>
      </w:r>
      <w:r>
        <w:t xml:space="preserve">data’s provenance and dependence limits. It is not a new independent deployment study.</w:t>
      </w:r>
      <w:r>
        <w:t xml:space="preserve"> </w:t>
      </w:r>
      <w:r>
        <w:t xml:space="preserve">The loss grid, fold construction, and policy family were fixed before the new fitting;</w:t>
      </w:r>
      <w:r>
        <w:t xml:space="preserve"> </w:t>
      </w:r>
      <w:r>
        <w:t xml:space="preserve">held-out outcomes enter scoring only after decisions have been saved.</w:t>
      </w:r>
    </w:p>
    <w:p>
      <w:pPr>
        <w:pStyle w:val="BodyText"/>
        <w:widowControl/>
      </w:pPr>
      <w:r>
        <w:t xml:space="preserve">The primary loss uses a prespecified harm weight of five:</w:t>
      </w:r>
    </w:p>
    <w:p>
      <w:pPr>
        <w:pStyle w:val="BodyText"/>
        <w:widowControl/>
      </w:pPr>
      <m:oMathPara>
        <m:oMathParaPr>
          <m:jc m:val="center"/>
        </m:oMathParaPr>
        <m:oMath>
          <m:sSub>
            <m:e>
              <m:r>
                <m:t>L</m:t>
              </m:r>
            </m:e>
            <m:sub>
              <m:r>
                <m:t>5</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m:t>
                  </m:r>
                  <m:r>
                    <m:t>1</m:t>
                  </m:r>
                  <m:r>
                    <m:rPr>
                      <m:sty m:val="p"/>
                    </m:rPr>
                    <m:t>−</m:t>
                  </m:r>
                  <m:sSub>
                    <m:e>
                      <m:r>
                        <m:t>a</m:t>
                      </m:r>
                    </m:e>
                    <m:sub>
                      <m:r>
                        <m:t>i</m:t>
                      </m:r>
                    </m:sub>
                  </m:sSub>
                  <m:r>
                    <m:rPr>
                      <m:sty m:val="p"/>
                    </m:rPr>
                    <m:t>)</m:t>
                  </m:r>
                  <m:r>
                    <m:rPr>
                      <m:sty m:val="p"/>
                    </m:rPr>
                    <m:t>(</m:t>
                  </m:r>
                  <m:sSub>
                    <m:e>
                      <m:r>
                        <m:t>B</m:t>
                      </m:r>
                    </m:e>
                    <m:sub>
                      <m:r>
                        <m:t>i</m:t>
                      </m:r>
                    </m:sub>
                  </m:sSub>
                  <m:sSub>
                    <m:e>
                      <m:r>
                        <m:rPr>
                          <m:sty m:val="p"/>
                        </m:rPr>
                        <m:t>)</m:t>
                      </m:r>
                    </m:e>
                    <m:sub>
                      <m:r>
                        <m:rPr>
                          <m:sty m:val="p"/>
                        </m:rPr>
                        <m:t>+</m:t>
                      </m:r>
                    </m:sub>
                  </m:sSub>
                  <m:r>
                    <m:rPr>
                      <m:sty m:val="p"/>
                    </m:rPr>
                    <m:t>+</m:t>
                  </m:r>
                  <m:r>
                    <m:t>5</m:t>
                  </m:r>
                  <m:sSub>
                    <m:e>
                      <m:r>
                        <m:t>a</m:t>
                      </m:r>
                    </m:e>
                    <m:sub>
                      <m:r>
                        <m:t>i</m:t>
                      </m:r>
                    </m:sub>
                  </m:sSub>
                  <m:r>
                    <m:rPr>
                      <m:sty m:val="p"/>
                    </m:rPr>
                    <m:t>(</m:t>
                  </m:r>
                  <m:r>
                    <m:rPr>
                      <m:sty m:val="p"/>
                    </m:rPr>
                    <m:t>−</m:t>
                  </m:r>
                  <m:sSub>
                    <m:e>
                      <m:r>
                        <m:t>B</m:t>
                      </m:r>
                    </m:e>
                    <m:sub>
                      <m:r>
                        <m:t>i</m:t>
                      </m:r>
                    </m:sub>
                  </m:sSub>
                  <m:sSub>
                    <m:e>
                      <m:r>
                        <m:rPr>
                          <m:sty m:val="p"/>
                        </m:rPr>
                        <m:t>)</m:t>
                      </m:r>
                    </m:e>
                    <m:sub>
                      <m:r>
                        <m:rPr>
                          <m:sty m:val="p"/>
                        </m:rPr>
                        <m:t>+</m:t>
                      </m:r>
                    </m:sub>
                  </m:sSub>
                </m:e>
              </m:d>
            </m:e>
          </m:nary>
          <m:r>
            <m:rPr>
              <m:nor/>
              <m:sty m:val="p"/>
            </m:rPr>
            <m:t xml:space="preserve">  (14)</m:t>
          </m:r>
        </m:oMath>
      </m:oMathPara>
    </w:p>
    <w:p>
      <w:pPr>
        <w:pStyle w:val="FirstParagraph"/>
        <w:widowControl/>
      </w:pPr>
      <w:r>
        <w:t xml:space="preserve">where</w:t>
      </w:r>
      <w:r>
        <w:t xml:space="preserve"> </w:t>
      </w:r>
      <m:oMath>
        <m:sSub>
          <m:e>
            <m:r>
              <m:t>B</m:t>
            </m:r>
          </m:e>
          <m:sub>
            <m:r>
              <m:t>i</m:t>
            </m:r>
          </m:sub>
        </m:sSub>
      </m:oMath>
      <w:r>
        <w:t xml:space="preserve"> </w:t>
      </w:r>
      <w:r>
        <w:t xml:space="preserve">is measured paired cell benefit and</w:t>
      </w:r>
      <w:r>
        <w:t xml:space="preserve"> </w:t>
      </w:r>
      <m:oMath>
        <m:sSub>
          <m:e>
            <m:r>
              <m:t>a</m:t>
            </m:r>
          </m:e>
          <m:sub>
            <m:r>
              <m:t>i</m:t>
            </m:r>
          </m:sub>
        </m:sSub>
      </m:oMath>
      <w:r>
        <w:t xml:space="preserve"> </w:t>
      </w:r>
      <w:r>
        <w:t xml:space="preserve">is one for ADAPT and zero</w:t>
      </w:r>
      <w:r>
        <w:t xml:space="preserve"> </w:t>
      </w:r>
      <w:r>
        <w:t xml:space="preserve">otherwise. A fixed margin minimizes this loss</w:t>
      </w:r>
      <w:r>
        <w:t xml:space="preserve"> </w:t>
      </w:r>
      <w:r>
        <w:t xml:space="preserve">on tune-only groups. Constant and locally scaled residual intervals use the exact</w:t>
      </w:r>
      <w:r>
        <w:t xml:space="preserve"> </w:t>
      </w:r>
      <w:r>
        <w:t xml:space="preserve">conformal rank, without clipping a rank that exceeds the calibration sample size.</w:t>
      </w:r>
      <w:r>
        <w:t xml:space="preserve"> </w:t>
      </w:r>
      <w:r>
        <w:t xml:space="preserve">We report</w:t>
      </w:r>
      <w:r>
        <w:t xml:space="preserve"> </w:t>
      </w:r>
      <m:oMath>
        <m:r>
          <m:t>100</m:t>
        </m:r>
        <m:sSub>
          <m:e>
            <m:r>
              <m:t>L</m:t>
            </m:r>
          </m:e>
          <m:sub>
            <m:r>
              <m:t>5</m:t>
            </m:r>
          </m:sub>
        </m:sSub>
      </m:oMath>
      <w:r>
        <w:t xml:space="preserve"> </w:t>
      </w:r>
      <w:r>
        <w:t xml:space="preserve">in percentage points, so lower values indicate lower weighted decision loss.</w:t>
      </w:r>
      <w:r>
        <w:t xml:space="preserve"> </w:t>
      </w:r>
      <w:r>
        <w:t xml:space="preserve">The full study includes harm weights</w:t>
      </w:r>
      <w:r>
        <w:t xml:space="preserve"> </w:t>
      </w:r>
      <m:oMath>
        <m:r>
          <m:t>1</m:t>
        </m:r>
        <m:r>
          <m:rPr>
            <m:sty m:val="p"/>
          </m:rPr>
          <m:t>,</m:t>
        </m:r>
        <m:r>
          <m:t>5</m:t>
        </m:r>
        <m:r>
          <m:rPr>
            <m:sty m:val="p"/>
          </m:rPr>
          <m:t>,</m:t>
        </m:r>
        <m:r>
          <m:t>20</m:t>
        </m:r>
      </m:oMath>
      <w:r>
        <w:t xml:space="preserve">, nominal levels</w:t>
      </w:r>
      <w:r>
        <w:t xml:space="preserve"> </w:t>
      </w:r>
      <m:oMath>
        <m:r>
          <m:t>80</m:t>
        </m:r>
        <m:r>
          <m:rPr>
            <m:sty m:val="p"/>
          </m:rPr>
          <m:t>,</m:t>
        </m:r>
        <m:r>
          <m:t>90</m:t>
        </m:r>
        <m:r>
          <m:rPr>
            <m:sty m:val="p"/>
          </m:rPr>
          <m:t>,</m:t>
        </m:r>
        <m:r>
          <m:t>95</m:t>
        </m:r>
        <m:r>
          <m:rPr>
            <m:sty m:val="p"/>
          </m:rPr>
          <m:t>%</m:t>
        </m:r>
      </m:oMath>
      <w:r>
        <w:t xml:space="preserve">,</w:t>
      </w:r>
      <w:r>
        <w:t xml:space="preserve"> </w:t>
      </w:r>
      <w:r>
        <w:t xml:space="preserve">group-maximum residuals, exposure-matched controls, and binomial risk-selection arms.</w:t>
      </w:r>
    </w:p>
    <w:p>
      <w:pPr>
        <w:pStyle w:val="TableCaption"/>
        <w:widowControl/>
      </w:pPr>
      <w:r>
        <w:t xml:space="preserve">Table 11. Retrospective shared-predictor comparison. Losses are</w:t>
      </w:r>
      <w:r>
        <w:t xml:space="preserve"> </w:t>
      </w:r>
      <m:oMath>
        <m:r>
          <w:rPr>
            <w:sz w:val="17"/>
            <w:szCs w:val="17"/>
          </w:rPr>
          <m:t>100</m:t>
        </m:r>
        <m:sSub>
          <m:e>
            <m:r>
              <w:rPr>
                <w:sz w:val="17"/>
                <w:szCs w:val="17"/>
              </w:rPr>
              <m:t>L</m:t>
            </m:r>
          </m:e>
          <m:sub>
            <m:r>
              <w:rPr>
                <w:sz w:val="17"/>
                <w:szCs w:val="17"/>
              </w:rPr>
              <m:t>5</m:t>
            </m:r>
          </m:sub>
        </m:sSub>
      </m:oMath>
      <w:r>
        <w:t xml:space="preserve"> </w:t>
      </w:r>
      <w:r>
        <w:t xml:space="preserve">in percentage</w:t>
      </w:r>
      <w:r>
        <w:t xml:space="preserve"> </w:t>
      </w:r>
      <w:r>
        <w:t xml:space="preserve">points (lower is better). Margin is selected on tuning data; Constant and Scaled</w:t>
      </w:r>
      <w:r>
        <w:t xml:space="preserve"> </w:t>
      </w:r>
      <w:r>
        <w:t xml:space="preserve">use nominal 90% cell residual intervals. Inclusion C/S is observed held-out</w:t>
      </w:r>
      <w:r>
        <w:t xml:space="preserve"> </w:t>
      </w:r>
      <w:r>
        <w:t xml:space="preserve">interval inclusion for those two arms, not a coverage guarantee. The same 108</w:t>
      </w:r>
      <w:r>
        <w:t xml:space="preserve"> </w:t>
      </w:r>
      <w:r>
        <w:t xml:space="preserve">mixed-checkpoint records appear in two evaluation designs; they are not 216 independent observations.</w:t>
      </w:r>
    </w:p>
    <w:tbl>
      <w:tblPr>
        <w:tblStyle w:val="Table"/>
        <w:tblW w:type="dxa" w:w="9960"/>
        <w:jc w:val="left"/>
        <w:tblLayout w:type="fixed"/>
        <w:tblLook w:firstRow="1" w:lastRow="0" w:firstColumn="0" w:lastColumn="0" w:noHBand="0" w:noVBand="0" w:val="0020"/>
        <w:tblCaption w:val="Table 11. Retrospective shared-predictor comparison. Losses are 100L_5 in percentage points (lower is better). Margin is selected on tuning data; Constant and Scaled use nominal 90% cell residual intervals. Inclusion C/S is observed held-out interval inclusion for those two arms, not a coverage guarantee. The same 108 mixed-checkpoint records appear in two evaluation designs; they are not 216 independent observa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614"/>
        <w:gridCol w:w="863"/>
        <w:gridCol w:w="863"/>
        <w:gridCol w:w="863"/>
        <w:gridCol w:w="863"/>
        <w:gridCol w:w="863"/>
        <w:gridCol w:w="1016"/>
        <w:gridCol w:w="1015"/>
      </w:tblGrid>
      <w:tr>
        <w:trPr>
          <w:tblHeader w:val="true"/>
          <w:cantSplit w:val="true"/>
        </w:trPr>
        <w:tc>
          <w:tcPr>
            <w:tcW w:w="36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Cohort / outer hold-out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Cells</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Point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Margin</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Constant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Scaled</w:t>
            </w:r>
          </w:p>
        </w:tc>
        <w:tc>
          <w:tcPr>
            <w:tcW w:w="10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C</w:t>
            </w:r>
          </w:p>
        </w:tc>
        <w:tc>
          <w:tcPr>
            <w:tcW w:w="101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S</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0.0663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0.1556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54.35%</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51.67%</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0.1291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0.0844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50.51%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48.19%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0.2867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0.2264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0.2150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60.69%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58.24%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0.0481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0.6939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1.8787</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92.59%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0.2115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2.5989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1.8754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97.04%</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2.1913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96.30%</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0.3236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0.4032</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0.7954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5.2708</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85.19%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90.74%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0.5829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0.4611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0.9403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2.6329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87.96%</w:t>
            </w:r>
          </w:p>
        </w:tc>
      </w:tr>
    </w:tbl>
    <w:p>
      <w:pPr>
        <w:pStyle w:val="BodyText"/>
        <w:widowControl/>
      </w:pPr>
      <w:r>
        <w:t xml:space="preserve">Table 11 does not establish a general advantage for</w:t>
      </w:r>
      <w:r>
        <w:t xml:space="preserve"> </w:t>
      </w:r>
      <w:r>
        <w:t xml:space="preserve">calibration. Scaled calibration reduces CIFAR Tent loss from</w:t>
      </w:r>
      <w:r>
        <w:t xml:space="preserve"> </w:t>
      </w:r>
      <m:oMath>
        <m:r>
          <m:t>0.2867</m:t>
        </m:r>
      </m:oMath>
      <w:r>
        <w:t xml:space="preserve"> </w:t>
      </w:r>
      <w:r>
        <w:t xml:space="preserve">to</w:t>
      </w:r>
      <w:r>
        <w:t xml:space="preserve"> </w:t>
      </w:r>
      <m:oMath>
        <m:r>
          <m:t>0.1429</m:t>
        </m:r>
      </m:oMath>
      <w:r>
        <w:t xml:space="preserve"> </w:t>
      </w:r>
      <w:r>
        <w:t xml:space="preserve">percentage points versus point prediction, and from</w:t>
      </w:r>
      <w:r>
        <w:t xml:space="preserve"> </w:t>
      </w:r>
      <m:oMath>
        <m:r>
          <m:t>0.2264</m:t>
        </m:r>
      </m:oMath>
      <w:r>
        <w:t xml:space="preserve"> </w:t>
      </w:r>
      <w:r>
        <w:t xml:space="preserve">versus the tuned</w:t>
      </w:r>
      <w:r>
        <w:t xml:space="preserve"> </w:t>
      </w:r>
      <w:r>
        <w:t xml:space="preserve">margin. Its loss at matched exposure is only modestly lower than point ranking</w:t>
      </w:r>
      <w:r>
        <w:t xml:space="preserve"> </w:t>
      </w:r>
      <w:r>
        <w:t xml:space="preserve">(</w:t>
      </w:r>
      <m:oMath>
        <m:r>
          <m:t>0.1429</m:t>
        </m:r>
      </m:oMath>
      <w:r>
        <w:t xml:space="preserve"> </w:t>
      </w:r>
      <w:r>
        <w:t xml:space="preserve">versus</w:t>
      </w:r>
      <w:r>
        <w:t xml:space="preserve"> </w:t>
      </w:r>
      <m:oMath>
        <m:r>
          <m:t>0.1610</m:t>
        </m:r>
      </m:oMath>
      <w:r>
        <w:t xml:space="preserve">). Simple margins do better on CIFAR EATA and SAR;</w:t>
      </w:r>
      <w:r>
        <w:t xml:space="preserve"> </w:t>
      </w:r>
      <w:r>
        <w:t xml:space="preserve">point or margin policies do better in the other cohorts. Constant-radius gates</w:t>
      </w:r>
      <w:r>
        <w:t xml:space="preserve"> </w:t>
      </w:r>
      <w:r>
        <w:t xml:space="preserve">have exactly the point predictor’s ranking at equal exposure: their role is</w:t>
      </w:r>
      <w:r>
        <w:t xml:space="preserve"> </w:t>
      </w:r>
      <w:r>
        <w:t xml:space="preserve">choosing an operating point, rather than improving ranking.</w:t>
      </w:r>
    </w:p>
    <w:p>
      <w:pPr>
        <w:pStyle w:val="BodyText"/>
        <w:widowControl/>
      </w:pPr>
      <w:r>
        <w:t xml:space="preserve">Nominal 90% constant-cell intervals include only</w:t>
      </w:r>
      <w:r>
        <w:t xml:space="preserve"> </w:t>
      </w:r>
      <m:oMath>
        <m:r>
          <m:t>50.51</m:t>
        </m:r>
      </m:oMath>
      <w:r>
        <w:t xml:space="preserve">–</w:t>
      </w:r>
      <m:oMath>
        <m:r>
          <m:t>60.69</m:t>
        </m:r>
        <m:r>
          <m:rPr>
            <m:sty m:val="p"/>
          </m:rPr>
          <m:t>%</m:t>
        </m:r>
      </m:oMath>
      <w:r>
        <w:t xml:space="preserve"> </w:t>
      </w:r>
      <w:r>
        <w:t xml:space="preserve">of held-out</w:t>
      </w:r>
      <w:r>
        <w:t xml:space="preserve"> </w:t>
      </w:r>
      <w:r>
        <w:t xml:space="preserve">CIFAR benefits; scaling and group maxima do not restore nominal inclusion. Decision loss and</w:t>
      </w:r>
      <w:r>
        <w:t xml:space="preserve"> </w:t>
      </w:r>
      <w:r>
        <w:t xml:space="preserve">interval inclusion answer different questions: a lower observed loss does not establish nominal</w:t>
      </w:r>
      <w:r>
        <w:t xml:space="preserve"> </w:t>
      </w:r>
      <w:r>
        <w:t xml:space="preserve">coverage, and observed inclusion does not establish useful routing.</w:t>
      </w:r>
      <w:r>
        <w:t xml:space="preserve"> </w:t>
      </w:r>
      <w:r>
        <w:t xml:space="preserve">All independently held-out environment-calibration arms abstain: this split</w:t>
      </w:r>
      <w:r>
        <w:t xml:space="preserve"> </w:t>
      </w:r>
      <w:r>
        <w:t xml:space="preserve">provides no calibration environments independently excluded from fitting and</w:t>
      </w:r>
      <w:r>
        <w:t xml:space="preserve"> </w:t>
      </w:r>
      <w:r>
        <w:t xml:space="preserve">tuning. The 10% conditional group-risk arm also abstains throughout. Even with</w:t>
      </w:r>
      <w:r>
        <w:t xml:space="preserve"> </w:t>
      </w:r>
      <w:r>
        <w:t xml:space="preserve">zero observed errors, its 13-threshold family needs 53 exposed calibration groups</w:t>
      </w:r>
      <w:r>
        <w:t xml:space="preserve"> </w:t>
      </w:r>
      <w:r>
        <w:t xml:space="preserve">at within-fold confidence error</w:t>
      </w:r>
      <w:r>
        <w:t xml:space="preserve"> </w:t>
      </w:r>
      <m:oMath>
        <m:r>
          <m:t>.05</m:t>
        </m:r>
      </m:oMath>
      <w:r>
        <w:t xml:space="preserve">, exceeding the largest partition of 45.</w:t>
      </w:r>
      <w:r>
        <w:t xml:space="preserve"> </w:t>
      </w:r>
      <w:r>
        <w:t xml:space="preserve">These are information and transfer limits, rather than evidence that every</w:t>
      </w:r>
      <w:r>
        <w:t xml:space="preserve"> </w:t>
      </w:r>
      <w:r>
        <w:t xml:space="preserve">possible policy is unsafe. The 20% sensitivity selects some CIFAR updates;</w:t>
      </w:r>
      <w:r>
        <w:t xml:space="preserve"> </w:t>
      </w:r>
      <w:r>
        <w:t xml:space="preserve">its held-out group error rates differ materially from cell rates</w:t>
      </w:r>
      <w:r>
        <w:t xml:space="preserve"> </w:t>
      </w:r>
      <w:r>
        <w:t xml:space="preserve">(Appendix O).</w:t>
      </w:r>
      <w:r>
        <w:t xml:space="preserve"> </w:t>
      </w:r>
      <w:r>
        <w:t xml:space="preserve">B6 remains descriptive: this study does not recover its missing original execution</w:t>
      </w:r>
      <w:r>
        <w:t xml:space="preserve"> </w:t>
      </w:r>
      <w:r>
        <w:t xml:space="preserve">identities or repair its historical rank clipping.</w:t>
      </w:r>
    </w:p>
    <w:bookmarkEnd w:id="64"/>
    <w:bookmarkStart w:id="65" w:name="X59f43a5a1f8a5335fabf41db0dab3ad60c1f727"/>
    <w:p>
      <w:pPr>
        <w:pStyle w:val="Heading2"/>
        <w:widowControl/>
      </w:pPr>
      <w:r>
        <w:t xml:space="preserve">8.8 A Conditional Paired-Transport Certificate</w:t>
      </w:r>
    </w:p>
    <w:p>
      <w:pPr>
        <w:pStyle w:val="FirstParagraph"/>
        <w:widowControl/>
      </w:pPr>
      <w:r>
        <w:t xml:space="preserve">The population frontier leaves open how extra structural information can make a</w:t>
      </w:r>
      <w:r>
        <w:t xml:space="preserve"> </w:t>
      </w:r>
      <w:r>
        <w:t xml:space="preserve">decision possible. We instantiate one such assumption regime for fixed multiclass</w:t>
      </w:r>
      <w:r>
        <w:t xml:space="preserve"> </w:t>
      </w:r>
      <w:r>
        <w:t xml:space="preserve">predictors. Let</w:t>
      </w:r>
      <w:r>
        <w:t xml:space="preserve"> </w:t>
      </w:r>
      <m:oMath>
        <m:r>
          <m:t>r</m:t>
        </m:r>
        <m:r>
          <m:rPr>
            <m:sty m:val="p"/>
          </m:rPr>
          <m:t>=</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index their joint prediction bins,</w:t>
      </w:r>
      <w:r>
        <w:t xml:space="preserve"> </w:t>
      </w:r>
      <m:oMath>
        <m:sSub>
          <m:e>
            <m:r>
              <m:t>A</m:t>
            </m:r>
          </m:e>
          <m:sub>
            <m:r>
              <m:t>r</m:t>
            </m:r>
            <m:r>
              <m:t>y</m:t>
            </m:r>
          </m:sub>
        </m:sSub>
        <m:r>
          <m:rPr>
            <m:sty m:val="p"/>
          </m:rPr>
          <m:t>=</m:t>
        </m:r>
        <m:sSub>
          <m:e>
            <m:r>
              <m:t>P</m:t>
            </m:r>
          </m:e>
          <m:sub>
            <m:r>
              <m:t>S</m:t>
            </m:r>
          </m:sub>
        </m:sSub>
        <m:r>
          <m:rPr>
            <m:sty m:val="p"/>
          </m:rPr>
          <m:t>(</m:t>
        </m:r>
        <m:r>
          <m:t>r</m:t>
        </m:r>
        <m:r>
          <m:rPr>
            <m:sty m:val="p"/>
          </m:rPr>
          <m:t>∣</m:t>
        </m:r>
        <m:r>
          <m:t>Y</m:t>
        </m:r>
        <m:r>
          <m:rPr>
            <m:sty m:val="p"/>
          </m:rPr>
          <m:t>=</m:t>
        </m:r>
        <m:r>
          <m:t>y</m:t>
        </m:r>
        <m:r>
          <m:rPr>
            <m:sty m:val="p"/>
          </m:rPr>
          <m:t>)</m:t>
        </m:r>
      </m:oMath>
      <w:r>
        <w:t xml:space="preserve">, and</w:t>
      </w:r>
      <w:r>
        <w:t xml:space="preserve"> </w:t>
      </w:r>
      <m:oMath>
        <m:sSub>
          <m:e>
            <m:r>
              <m:t>q</m:t>
            </m:r>
          </m:e>
          <m:sub>
            <m:r>
              <m:t>r</m:t>
            </m:r>
          </m:sub>
        </m:sSub>
        <m:r>
          <m:rPr>
            <m:sty m:val="p"/>
          </m:rPr>
          <m:t>=</m:t>
        </m:r>
        <m:sSub>
          <m:e>
            <m:r>
              <m:t>P</m:t>
            </m:r>
          </m:e>
          <m:sub>
            <m:r>
              <m:t>T</m:t>
            </m:r>
          </m:sub>
        </m:sSub>
        <m:r>
          <m:rPr>
            <m:sty m:val="p"/>
          </m:rPr>
          <m:t>(</m:t>
        </m:r>
        <m:r>
          <m:t>r</m:t>
        </m:r>
        <m:r>
          <m:rPr>
            <m:sty m:val="p"/>
          </m:rPr>
          <m:t>)</m:t>
        </m:r>
      </m:oMath>
      <w:r>
        <w:t xml:space="preserve">. With unknown target prior</w:t>
      </w:r>
      <w:r>
        <w:t xml:space="preserve"> </w:t>
      </w:r>
      <m:oMath>
        <m:r>
          <m:t>π</m:t>
        </m:r>
      </m:oMath>
      <w:r>
        <w:t xml:space="preserve">, declare</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T</m:t>
          </m:r>
          <m:r>
            <m:rPr>
              <m:sty m:val="p"/>
            </m:rPr>
            <m:t>V</m:t>
          </m:r>
          <m:d>
            <m:dPr>
              <m:begChr m:val="("/>
              <m:sepChr m:val=""/>
              <m:endChr m:val=")"/>
              <m:grow/>
            </m:dPr>
            <m:e>
              <m:sSub>
                <m:e>
                  <m:r>
                    <m:t>P</m:t>
                  </m:r>
                </m:e>
                <m:sub>
                  <m:r>
                    <m:t>T</m:t>
                  </m:r>
                </m:sub>
              </m:sSub>
              <m:r>
                <m:rPr>
                  <m:sty m:val="p"/>
                </m:rPr>
                <m:t>(</m:t>
              </m:r>
              <m:r>
                <m:t>r</m:t>
              </m:r>
              <m:r>
                <m:rPr>
                  <m:sty m:val="p"/>
                </m:rPr>
                <m:t>∣</m:t>
              </m:r>
              <m:r>
                <m:t>y</m:t>
              </m:r>
              <m:r>
                <m:rPr>
                  <m:sty m:val="p"/>
                </m:rPr>
                <m:t>)</m:t>
              </m:r>
              <m:r>
                <m:rPr>
                  <m:sty m:val="p"/>
                </m:rPr>
                <m:t>,</m:t>
              </m:r>
              <m:sSub>
                <m:e>
                  <m:r>
                    <m:t>A</m:t>
                  </m:r>
                </m:e>
                <m:sub>
                  <m:r>
                    <m:rPr>
                      <m:sty m:val="p"/>
                    </m:rPr>
                    <m:t>⋅</m:t>
                  </m:r>
                  <m:r>
                    <m:t>y</m:t>
                  </m:r>
                </m:sub>
              </m:sSub>
            </m:e>
          </m:d>
          <m:r>
            <m:rPr>
              <m:sty m:val="p"/>
            </m:rPr>
            <m:t>≤</m:t>
          </m:r>
          <m:r>
            <m:t>ρ</m:t>
          </m:r>
          <m:r>
            <m:rPr>
              <m:nor/>
              <m:sty m:val="p"/>
            </m:rPr>
            <m:t xml:space="preserve">  (15)</m:t>
          </m:r>
        </m:oMath>
      </m:oMathPara>
    </w:p>
    <w:p>
      <w:pPr>
        <w:pStyle w:val="FirstParagraph"/>
        <w:widowControl/>
      </w:pPr>
      <w:r>
        <w:t xml:space="preserve">The budget</w:t>
      </w:r>
      <w:r>
        <w:t xml:space="preserve"> </w:t>
      </w:r>
      <m:oMath>
        <m:r>
          <m:t>ρ</m:t>
        </m:r>
      </m:oMath>
      <w:r>
        <w:t xml:space="preserve"> </w:t>
      </w:r>
      <w:r>
        <w:t xml:space="preserve">requires external justification; unlabeled evidence cannot</w:t>
      </w:r>
      <w:r>
        <w:t xml:space="preserve"> </w:t>
      </w:r>
      <w:r>
        <w:t xml:space="preserve">generally validate it. Both predictors must be fixed independently of the</w:t>
      </w:r>
      <w:r>
        <w:t xml:space="preserve"> </w:t>
      </w:r>
      <w:r>
        <w:t xml:space="preserve">source and target evidence samples. In particular, adapting on the same target</w:t>
      </w:r>
      <w:r>
        <w:t xml:space="preserve"> </w:t>
      </w:r>
      <w:r>
        <w:t xml:space="preserve">examples later used as independent evidence does not satisfy this construction.</w:t>
      </w:r>
    </w:p>
    <w:p>
      <w:pPr>
        <w:pStyle w:val="BodyText"/>
        <w:widowControl/>
      </w:pPr>
      <w:r>
        <w:t xml:space="preserve">For</w:t>
      </w:r>
      <w:r>
        <w:t xml:space="preserve"> </w:t>
      </w:r>
      <m:oMath>
        <m:r>
          <m:t>R</m:t>
        </m:r>
      </m:oMath>
      <w:r>
        <w:t xml:space="preserve"> </w:t>
      </w:r>
      <w:r>
        <w:t xml:space="preserve">bins and</w:t>
      </w:r>
      <w:r>
        <w:t xml:space="preserve"> </w:t>
      </w:r>
      <m:oMath>
        <m:r>
          <m:t>K</m:t>
        </m:r>
      </m:oMath>
      <w:r>
        <w:t xml:space="preserve"> </w:t>
      </w:r>
      <w:r>
        <w:t xml:space="preserve">classes, simultaneous binomial intervals for the</w:t>
      </w:r>
      <w:r>
        <w:t xml:space="preserve"> </w:t>
      </w:r>
      <m:oMath>
        <m:r>
          <m:t>R</m:t>
        </m:r>
        <m:r>
          <m:t>K</m:t>
        </m:r>
        <m:r>
          <m:rPr>
            <m:sty m:val="p"/>
          </m:rPr>
          <m:t>+</m:t>
        </m:r>
        <m:r>
          <m:t>R</m:t>
        </m:r>
      </m:oMath>
      <w:r>
        <w:t xml:space="preserve"> </w:t>
      </w:r>
      <w:r>
        <w:t xml:space="preserve">source-conditional and target-marginal probabilities define a linear feasible</w:t>
      </w:r>
      <w:r>
        <w:t xml:space="preserve"> </w:t>
      </w:r>
      <w:r>
        <w:t xml:space="preserve">set. The variables are target joint masses</w:t>
      </w:r>
      <w:r>
        <w:t xml:space="preserve"> </w:t>
      </w:r>
      <m:oMath>
        <m:sSub>
          <m:e>
            <m:r>
              <m:t>t</m:t>
            </m:r>
          </m:e>
          <m:sub>
            <m:r>
              <m:t>r</m:t>
            </m:r>
            <m:r>
              <m:t>y</m:t>
            </m:r>
          </m:sub>
        </m:sSub>
      </m:oMath>
      <w:r>
        <w:t xml:space="preserve">, transported source masses</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priors, and absolute-value slacks for</w:t>
      </w:r>
      <w:r>
        <w:t xml:space="preserve"> </w:t>
      </w:r>
      <w:r>
        <w:t xml:space="preserve">Equation (15). Source interval endpoints multiply</w:t>
      </w:r>
      <w:r>
        <w:t xml:space="preserve"> </w:t>
      </w:r>
      <m:oMath>
        <m:sSub>
          <m:e>
            <m:r>
              <m:t>π</m:t>
            </m:r>
          </m:e>
          <m:sub>
            <m:r>
              <m:t>y</m:t>
            </m:r>
          </m:sub>
        </m:sSub>
      </m:oMath>
      <w:r>
        <w:t xml:space="preserve">, so the resulting constraints remain linear. Minimize and maximize</w:t>
      </w:r>
    </w:p>
    <w:p>
      <w:pPr>
        <w:pStyle w:val="BodyText"/>
        <w:widowControl/>
      </w:pPr>
      <m:oMathPara>
        <m:oMathParaPr>
          <m:jc m:val="center"/>
        </m:oMathParaPr>
        <m:oMath>
          <m:r>
            <m:rPr>
              <m:sty m:val="p"/>
            </m:rPr>
            <m:t>Δ</m:t>
          </m:r>
          <m:r>
            <m:rPr>
              <m:sty m:val="p"/>
            </m:rPr>
            <m:t>(</m:t>
          </m:r>
          <m:r>
            <m:t>t</m:t>
          </m:r>
          <m:r>
            <m:rPr>
              <m:sty m:val="p"/>
            </m:rPr>
            <m:t>)</m:t>
          </m:r>
          <m:r>
            <m:rPr>
              <m:sty m:val="p"/>
            </m:rPr>
            <m:t>=</m:t>
          </m:r>
          <m:nary>
            <m:naryPr>
              <m:chr m:val="∑"/>
              <m:limLoc m:val="undOvr"/>
              <m:subHide m:val="off"/>
              <m:supHide m:val="on"/>
            </m:naryPr>
            <m:sub>
              <m:r>
                <m:t>r</m:t>
              </m:r>
              <m:r>
                <m:rPr>
                  <m:sty m:val="p"/>
                </m:rPr>
                <m:t>,</m:t>
              </m:r>
              <m:r>
                <m:t>y</m:t>
              </m:r>
            </m:sub>
            <m:sup>
              <m:r>
                <m:t>​</m:t>
              </m:r>
            </m:sup>
            <m:e>
              <m:d>
                <m:dPr>
                  <m:begChr m:val="("/>
                  <m:sepChr m:val=""/>
                  <m:endChr m:val=")"/>
                  <m:grow/>
                </m:dPr>
                <m:e>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e>
              </m:d>
            </m:e>
          </m:nary>
          <m:sSub>
            <m:e>
              <m:r>
                <m:t>t</m:t>
              </m:r>
            </m:e>
            <m:sub>
              <m:r>
                <m:t>r</m:t>
              </m:r>
              <m:r>
                <m:t>y</m:t>
              </m:r>
            </m:sub>
          </m:sSub>
          <m:r>
            <m:rPr>
              <m:nor/>
              <m:sty m:val="p"/>
            </m:rPr>
            <m:t xml:space="preserve">  (16)</m:t>
          </m:r>
        </m:oMath>
      </m:oMathPara>
    </w:p>
    <w:p>
      <w:pPr>
        <w:pStyle w:val="FirstParagraph"/>
        <w:widowControl/>
      </w:pPr>
      <w:r>
        <w:t xml:space="preserve">On the simultaneous interval event, the true table is feasible and these extrema</w:t>
      </w:r>
      <w:r>
        <w:t xml:space="preserve"> </w:t>
      </w:r>
      <w:r>
        <w:t xml:space="preserve">enclose its benefit. Under the stated sampling and transport assumptions,</w:t>
      </w:r>
      <w:r>
        <w:t xml:space="preserve"> </w:t>
      </w:r>
      <w:r>
        <w:t xml:space="preserve">strict interval thresholding therefore has unconditional wrong-direction</w:t>
      </w:r>
      <w:r>
        <w:t xml:space="preserve"> </w:t>
      </w:r>
      <w:r>
        <w:t xml:space="preserve">probability at most</w:t>
      </w:r>
      <w:r>
        <w:t xml:space="preserve"> </w:t>
      </w:r>
      <m:oMath>
        <m:r>
          <m:t>α</m:t>
        </m:r>
      </m:oMath>
      <w:r>
        <w:t xml:space="preserve">. It does not give acceptance-conditional or</w:t>
      </w:r>
      <w:r>
        <w:t xml:space="preserve"> </w:t>
      </w:r>
      <w:r>
        <w:t xml:space="preserve">repeated-use error control. Detected infeasibility, solver failure, or an interval</w:t>
      </w:r>
      <w:r>
        <w:t xml:space="preserve"> </w:t>
      </w:r>
      <w:r>
        <w:t xml:space="preserve">touching zero produces ABSTAIN. The full constraints, proof, and numerical</w:t>
      </w:r>
      <w:r>
        <w:t xml:space="preserve"> </w:t>
      </w:r>
      <w:r>
        <w:t xml:space="preserve">scope appear in Appendix P.</w:t>
      </w:r>
    </w:p>
    <w:p>
      <w:pPr>
        <w:pStyle w:val="BodyText"/>
        <w:widowControl/>
      </w:pPr>
      <w:r>
        <w:t xml:space="preserve">This construction applies existing interval-constrained LP inference</w:t>
      </w:r>
      <w:r>
        <w:t xml:space="preserve"> </w:t>
      </w:r>
      <w:r>
        <w:t xml:space="preserve"> [57] to a paired contrast. Joint optimization can</w:t>
      </w:r>
      <w:r>
        <w:t xml:space="preserve"> </w:t>
      </w:r>
      <w:r>
        <w:t xml:space="preserve">retain information lost by separately bounding the two accuracies: in one exact</w:t>
      </w:r>
      <w:r>
        <w:t xml:space="preserve"> </w:t>
      </w:r>
      <w:r>
        <w:t xml:space="preserve">three-class construction, the paired interval is</w:t>
      </w:r>
      <w:r>
        <w:t xml:space="preserve"> </w:t>
      </w:r>
      <m:oMath>
        <m:r>
          <m:rPr>
            <m:sty m:val="p"/>
          </m:rPr>
          <m:t>[</m:t>
        </m:r>
        <m:r>
          <m:t>.1</m:t>
        </m:r>
        <m:r>
          <m:rPr>
            <m:sty m:val="p"/>
          </m:rPr>
          <m:t>,</m:t>
        </m:r>
        <m:r>
          <m:t>.4</m:t>
        </m:r>
        <m:r>
          <m:rPr>
            <m:sty m:val="p"/>
          </m:rPr>
          <m:t>]</m:t>
        </m:r>
      </m:oMath>
      <w:r>
        <w:t xml:space="preserve">, whereas subtracting</w:t>
      </w:r>
      <w:r>
        <w:t xml:space="preserve"> </w:t>
      </w:r>
      <w:r>
        <w:t xml:space="preserve">separate extrema on the same feasible set gives</w:t>
      </w:r>
      <w:r>
        <w:t xml:space="preserve"> </w:t>
      </w:r>
      <m:oMath>
        <m:r>
          <m:rPr>
            <m:sty m:val="p"/>
          </m:rPr>
          <m:t>[</m:t>
        </m:r>
        <m:r>
          <m:rPr>
            <m:sty m:val="p"/>
          </m:rPr>
          <m:t>−</m:t>
        </m:r>
        <m:r>
          <m:t>.1</m:t>
        </m:r>
        <m:r>
          <m:rPr>
            <m:sty m:val="p"/>
          </m:rPr>
          <m:t>,</m:t>
        </m:r>
        <m:r>
          <m:t>.6</m:t>
        </m:r>
        <m:r>
          <m:rPr>
            <m:sty m:val="p"/>
          </m:rPr>
          <m:t>]</m:t>
        </m:r>
      </m:oMath>
      <w:r>
        <w:t xml:space="preserve">. An unidentifiable</w:t>
      </w:r>
      <w:r>
        <w:t xml:space="preserve"> </w:t>
      </w:r>
      <w:r>
        <w:t xml:space="preserve">prior can therefore coexist with an identified positive action. This is a</w:t>
      </w:r>
      <w:r>
        <w:t xml:space="preserve"> </w:t>
      </w:r>
      <w:r>
        <w:t xml:space="preserve">concrete use of dependence, not a first claim for action identification</w:t>
      </w:r>
      <w:r>
        <w:t xml:space="preserve"> </w:t>
      </w:r>
      <w:r>
        <w:t xml:space="preserve"> [56] or new LP machinery.</w:t>
      </w:r>
    </w:p>
    <w:p>
      <w:pPr>
        <w:pStyle w:val="TableCaption"/>
        <w:widowControl/>
      </w:pPr>
      <w:r>
        <w:t xml:space="preserve">Table 12. Selected diagnostic regimes from 4,860 synthetic trial configurations</w:t>
      </w:r>
      <w:r>
        <w:t xml:space="preserve"> </w:t>
      </w:r>
      <w:r>
        <w:t xml:space="preserve">(nine scenarios, three sample sizes, three sensitivity budgets, 60 trials each).</w:t>
      </w:r>
      <w:r>
        <w:t xml:space="preserve"> </w:t>
      </w:r>
      <w:r>
        <w:t xml:space="preserve">A/F/U count ADAPT/FREEZE/ABSTAIN over 60 trials. Separate subtracts accuracy</w:t>
      </w:r>
      <w:r>
        <w:t xml:space="preserve"> </w:t>
      </w:r>
      <w:r>
        <w:t xml:space="preserve">extrema on the same polytope; it is not an implementation of MaC-LP. The</w:t>
      </w:r>
      <w:r>
        <w:t xml:space="preserve"> </w:t>
      </w:r>
      <w:r>
        <w:t xml:space="preserve">same-evidence violation row deliberately violates the declared assumption and</w:t>
      </w:r>
      <w:r>
        <w:t xml:space="preserve"> </w:t>
      </w:r>
      <w:r>
        <w:t xml:space="preserve">reuses the paired-cancellation row’s observable count streams.</w:t>
      </w:r>
    </w:p>
    <w:tbl>
      <w:tblPr>
        <w:tblStyle w:val="Table"/>
        <w:tblW w:type="dxa" w:w="9960"/>
        <w:jc w:val="left"/>
        <w:tblLayout w:type="fixed"/>
        <w:tblLook w:firstRow="1" w:lastRow="0" w:firstColumn="0" w:lastColumn="0" w:noHBand="0" w:noVBand="0" w:val="0020"/>
        <w:tblCaption w:val="Table 12. Selected diagnostic regimes from 4,860 synthetic trial configurations (nine scenarios, three sample sizes, three sensitivity budgets, 60 trials each). A/F/U count ADAPT/FREEZE/ABSTAIN over 60 trials. Separate subtracts accuracy extrema on the same polytope; it is not an implementation of MaC-LP. The same-evidence violation row deliberately violates the declared assumption and reuses the paired-cancellation row’s observable count stream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170"/>
        <w:gridCol w:w="975"/>
        <w:gridCol w:w="975"/>
        <w:gridCol w:w="975"/>
        <w:gridCol w:w="1229"/>
        <w:gridCol w:w="1345"/>
        <w:gridCol w:w="1291"/>
      </w:tblGrid>
      <w:tr>
        <w:trPr>
          <w:tblHeader w:val="true"/>
          <w:cantSplit w:val="true"/>
        </w:trPr>
        <w:tc>
          <w:tcPr>
            <w:tcW w:w="31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Synthetic regime</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/class</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ρ</m:t>
              </m:r>
            </m:oMath>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True</w:t>
            </w:r>
            <w:r>
              <w:rPr>
                <w:rFonts w:ascii="Times New Roman" w:hAnsi="Times New Roman"/>
                <w:b/>
                <w:sz w:val="14"/>
              </w:rPr>
              <w:t xml:space="preserve"> </w:t>
            </w:r>
            <m:oMath>
              <m:r>
                <m:rPr>
                  <m:sty m:val="p"/>
                </m:rPr>
                <w:rPr>
                  <w:sz w:val="15"/>
                  <w:szCs w:val="15"/>
                </w:rPr>
                <m:t>Δ</m:t>
              </m:r>
            </m:oMath>
          </w:p>
        </w:tc>
        <w:tc>
          <w:tcPr>
            <w:tcW w:w="12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Paired A/F/U</w:t>
            </w:r>
          </w:p>
        </w:tc>
        <w:tc>
          <w:tcPr>
            <w:tcW w:w="13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Separate A/F/U</w:t>
            </w:r>
          </w:p>
        </w:tc>
        <w:tc>
          <w:tcPr>
            <w:tcW w:w="12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Plug-in A/F/U</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Paired cancellation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Same evidence, violated assumption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38/22/0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20/0/40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 wider sensitivity</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r>
    </w:tbl>
    <w:p>
      <w:pPr>
        <w:pStyle w:val="BodyText"/>
        <w:widowControl/>
      </w:pPr>
      <w:r>
        <w:t xml:space="preserve">The paired procedure adapts in all 60 cancellation trials while the separate</w:t>
      </w:r>
      <w:r>
        <w:t xml:space="preserve"> </w:t>
      </w:r>
      <w:r>
        <w:t xml:space="preserve">accuracy relaxation always abstains. Near a small positive benefit, it avoids</w:t>
      </w:r>
      <w:r>
        <w:t xml:space="preserve"> </w:t>
      </w:r>
      <w:r>
        <w:t xml:space="preserve">the plug-in rule’s 22 wrong FREEZE decisions out of 60 at the smaller sample</w:t>
      </w:r>
      <w:r>
        <w:t xml:space="preserve"> </w:t>
      </w:r>
      <w:r>
        <w:t xml:space="preserve">size; its price is abstention. Larger sensitivity budgets likewise reduce</w:t>
      </w:r>
      <w:r>
        <w:t xml:space="preserve"> </w:t>
      </w:r>
      <w:r>
        <w:t xml:space="preserve">commitment. Most importantly, the same observed evidence can have true benefit</w:t>
      </w:r>
      <w:r>
        <w:t xml:space="preserve"> </w:t>
      </w:r>
      <m:oMath>
        <m:r>
          <m:rPr>
            <m:sty m:val="p"/>
          </m:rPr>
          <m:t>−</m:t>
        </m:r>
        <m:r>
          <m:t>.5</m:t>
        </m:r>
      </m:oMath>
      <w:r>
        <w:t xml:space="preserve"> </w:t>
      </w:r>
      <w:r>
        <w:t xml:space="preserve">under a violated transport assumption: the paired procedure then makes</w:t>
      </w:r>
      <w:r>
        <w:t xml:space="preserve"> </w:t>
      </w:r>
      <w:r>
        <w:t xml:space="preserve">60 harmful ADAPT decisions. The diagnostic demonstrates both conditional value</w:t>
      </w:r>
      <w:r>
        <w:t xml:space="preserve"> </w:t>
      </w:r>
      <w:r>
        <w:t xml:space="preserve">and the impossibility of obtaining the missing assumption from unchanged</w:t>
      </w:r>
      <w:r>
        <w:t xml:space="preserve"> </w:t>
      </w:r>
      <w:r>
        <w:t xml:space="preserve">unlabeled observations. It does not establish useful natural-shift adaptation.</w:t>
      </w:r>
    </w:p>
    <w:bookmarkEnd w:id="65"/>
    <w:bookmarkStart w:id="66" w:name="Xc874cf555d4535a4097c3c330e8e84d2a3cde1e"/>
    <w:p>
      <w:pPr>
        <w:pStyle w:val="Heading2"/>
        <w:widowControl/>
      </w:pPr>
      <w:r>
        <w:t xml:space="preserve">8.9 Natural-Shift Calibration and Execution Costs</w:t>
      </w:r>
    </w:p>
    <w:p>
      <w:pPr>
        <w:pStyle w:val="FirstParagraph"/>
        <w:widowControl/>
      </w:pPr>
      <w:r>
        <w:t xml:space="preserve">The separate So2Sat v2 study fixes the controller derived from nine already</w:t>
      </w:r>
      <w:r>
        <w:t xml:space="preserve"> </w:t>
      </w:r>
      <w:r>
        <w:t xml:space="preserve">opened development cities and uses five independently trained source checkpoints.</w:t>
      </w:r>
      <w:r>
        <w:t xml:space="preserve"> </w:t>
      </w:r>
      <w:r>
        <w:t xml:space="preserve">Its calibration unit is a city: the score is the maximum absolute residual across</w:t>
      </w:r>
      <w:r>
        <w:t xml:space="preserve"> </w:t>
      </w:r>
      <w:r>
        <w:t xml:space="preserve">all five checkpoints, with the 18th order statistic among 19 city scores at</w:t>
      </w:r>
      <w:r>
        <w:t xml:space="preserve"> </w:t>
      </w:r>
      <m:oMath>
        <m:r>
          <m:t>α</m:t>
        </m:r>
        <m:r>
          <m:rPr>
            <m:sty m:val="p"/>
          </m:rPr>
          <m:t>=</m:t>
        </m:r>
        <m:r>
          <m:t>.10</m:t>
        </m:r>
      </m:oMath>
      <w:r>
        <w:t xml:space="preserve">. Under exchangeability, this construction targets simultaneous</w:t>
      </w:r>
      <w:r>
        <w:t xml:space="preserve"> </w:t>
      </w:r>
      <w:r>
        <w:t xml:space="preserve">coverage of the five checkpoints for one new city. It does not give simultaneous</w:t>
      </w:r>
      <w:r>
        <w:t xml:space="preserve"> </w:t>
      </w:r>
      <w:r>
        <w:t xml:space="preserve">coverage of ten target cities, coverage conditional on passing an eligibility</w:t>
      </w:r>
      <w:r>
        <w:t xml:space="preserve"> </w:t>
      </w:r>
      <w:r>
        <w:t xml:space="preserve">screen, or a demonstrated guarantee under the held-out geographic shift.</w:t>
      </w:r>
      <w:r>
        <w:t xml:space="preserve"> </w:t>
      </w:r>
      <w:r>
        <w:t xml:space="preserve">The chronology documents the study sequence but does not establish general prospective validity.</w:t>
      </w:r>
    </w:p>
    <w:p>
      <w:pPr>
        <w:pStyle w:val="BodyText"/>
        <w:widowControl/>
      </w:pPr>
      <w:r>
        <w:t xml:space="preserve">The locked calibration completed all 95 city–checkpoint cells. Helpful and harmful</w:t>
      </w:r>
      <w:r>
        <w:t xml:space="preserve"> </w:t>
      </w:r>
      <w:r>
        <w:t xml:space="preserve">development effects were both present, but the uncertainty interval was too wide to</w:t>
      </w:r>
      <w:r>
        <w:t xml:space="preserve"> </w:t>
      </w:r>
      <w:r>
        <w:t xml:space="preserve">meet the pre-target action-exposure criterion. Its radius was</w:t>
      </w:r>
      <w:r>
        <w:t xml:space="preserve"> </w:t>
      </w:r>
      <m:oMath>
        <m:r>
          <m:t>0.14224</m:t>
        </m:r>
      </m:oMath>
      <w:r>
        <w:t xml:space="preserve"> </w:t>
      </w:r>
      <w:r>
        <w:t xml:space="preserve">(14.224 percentage points), and its decisions were 2 ADAPT,</w:t>
      </w:r>
      <w:r>
        <w:t xml:space="preserve"> </w:t>
      </w:r>
      <w:r>
        <w:t xml:space="preserve">0 direct FREEZE, and 93 ABSTAIN. Both accepted updates were helpful in the</w:t>
      </w:r>
      <w:r>
        <w:t xml:space="preserve"> </w:t>
      </w:r>
      <w:r>
        <w:t xml:space="preserve">calibration records, but they occurred in only one city; no city supplied a</w:t>
      </w:r>
      <w:r>
        <w:t xml:space="preserve"> </w:t>
      </w:r>
      <w:r>
        <w:t xml:space="preserve">direct FREEZE. Thus both prespecified requirements of at least seven direct-action</w:t>
      </w:r>
      <w:r>
        <w:t xml:space="preserve"> </w:t>
      </w:r>
      <w:r>
        <w:t xml:space="preserve">cities failed, and the study stopped with zero target pixels or labels read.</w:t>
      </w:r>
      <w:r>
        <w:t xml:space="preserve"> </w:t>
      </w:r>
      <w:r>
        <w:t xml:space="preserve">No target authorization or target score was produced. The observed mean calibration</w:t>
      </w:r>
      <w:r>
        <w:t xml:space="preserve"> </w:t>
      </w:r>
      <w:r>
        <w:t xml:space="preserve">utility was</w:t>
      </w:r>
      <w:r>
        <w:t xml:space="preserve"> </w:t>
      </w:r>
      <m:oMath>
        <m:r>
          <m:t>0.0989</m:t>
        </m:r>
      </m:oMath>
      <w:r>
        <w:t xml:space="preserve"> </w:t>
      </w:r>
      <w:r>
        <w:t xml:space="preserve">percentage points for the gate,</w:t>
      </w:r>
      <w:r>
        <w:t xml:space="preserve"> </w:t>
      </w:r>
      <m:oMath>
        <m:r>
          <m:t>0.1939</m:t>
        </m:r>
      </m:oMath>
      <w:r>
        <w:t xml:space="preserve"> </w:t>
      </w:r>
      <w:r>
        <w:t xml:space="preserve">for always-adapt,</w:t>
      </w:r>
      <w:r>
        <w:t xml:space="preserve"> </w:t>
      </w:r>
      <m:oMath>
        <m:r>
          <m:t>0.1264</m:t>
        </m:r>
      </m:oMath>
      <w:r>
        <w:t xml:space="preserve"> </w:t>
      </w:r>
      <w:r>
        <w:t xml:space="preserve">for the checkpoint-only point baseline, and zero for always-freeze.</w:t>
      </w:r>
      <w:r>
        <w:t xml:space="preserve"> </w:t>
      </w:r>
      <w:r>
        <w:t xml:space="preserve">These same calibration outcomes set the radius and screen, so these utilities</w:t>
      </w:r>
      <w:r>
        <w:t xml:space="preserve"> </w:t>
      </w:r>
      <w:r>
        <w:t xml:space="preserve">are descriptive and cannot demonstrate independent target benefit.</w:t>
      </w:r>
    </w:p>
    <w:p>
      <w:pPr>
        <w:pStyle w:val="BodyText"/>
        <w:widowControl/>
      </w:pPr>
      <w:r>
        <w:t xml:space="preserve">A posthoc diagnosis of those opened records found 51 helpful, 43 harmful,</w:t>
      </w:r>
      <w:r>
        <w:t xml:space="preserve"> </w:t>
      </w:r>
      <w:r>
        <w:t xml:space="preserve">and one tied candidate effect. The radius was set by São Paulo checkpoint 0:</w:t>
      </w:r>
      <w:r>
        <w:t xml:space="preserve"> </w:t>
      </w:r>
      <w:r>
        <w:t xml:space="preserve">its predicted benefit was 14.4215 percentage points but its observed benefit</w:t>
      </w:r>
      <w:r>
        <w:t xml:space="preserve"> </w:t>
      </w:r>
      <w:r>
        <w:t xml:space="preserve">was only 0.1976 points. The resulting radius exceeded every negative prediction</w:t>
      </w:r>
      <w:r>
        <w:t xml:space="preserve"> </w:t>
      </w:r>
      <w:r>
        <w:t xml:space="preserve">magnitude (at most 2.6067 points), preventing direct FREEZE. Thus the failed</w:t>
      </w:r>
      <w:r>
        <w:t xml:space="preserve"> </w:t>
      </w:r>
      <w:r>
        <w:t xml:space="preserve">screen reflects insufficient prediction accuracy and interval informativeness,</w:t>
      </w:r>
      <w:r>
        <w:t xml:space="preserve"> </w:t>
      </w:r>
      <w:r>
        <w:t xml:space="preserve">rather than an absence of helpful and harmful candidates. This diagnosis did</w:t>
      </w:r>
      <w:r>
        <w:t xml:space="preserve"> </w:t>
      </w:r>
      <w:r>
        <w:t xml:space="preserve">not refit the controller, alter the screen, or authorize target access.</w:t>
      </w:r>
    </w:p>
    <w:p>
      <w:pPr>
        <w:pStyle w:val="BodyText"/>
        <w:widowControl/>
      </w:pPr>
      <w:r>
        <w:t xml:space="preserve">Calibration took 36.55 minutes. The controller requires five shadow candidates before routing</w:t>
      </w:r>
      <w:r>
        <w:t xml:space="preserve"> </w:t>
      </w:r>
      <w:r>
        <w:t xml:space="preserve">a city, so retaining the frozen model does not avoid candidate-construction cost. In a separate</w:t>
      </w:r>
      <w:r>
        <w:t xml:space="preserve"> </w:t>
      </w:r>
      <w:r>
        <w:t xml:space="preserve">profile on one opened development city, that process took a median 207.44 seconds, excluding</w:t>
      </w:r>
      <w:r>
        <w:t xml:space="preserve"> </w:t>
      </w:r>
      <w:r>
        <w:t xml:space="preserve">subsequent serving inference and cleanup. These measurements are workload-specific; calibration</w:t>
      </w:r>
      <w:r>
        <w:t xml:space="preserve"> </w:t>
      </w:r>
      <w:r>
        <w:t xml:space="preserve">acquisition, energy, and long-duration maintenance costs remain unmeasured. Stage timings,</w:t>
      </w:r>
      <w:r>
        <w:t xml:space="preserve"> </w:t>
      </w:r>
      <w:r>
        <w:t xml:space="preserve">memory measurements, and measurement conditions are reported in</w:t>
      </w:r>
      <w:r>
        <w:t xml:space="preserve"> </w:t>
      </w:r>
      <w:r>
        <w:t xml:space="preserve">Appendix J.1.</w:t>
      </w:r>
    </w:p>
    <w:bookmarkEnd w:id="66"/>
    <w:bookmarkStart w:id="67" w:name="a-local-deployment-integration"/>
    <w:p>
      <w:pPr>
        <w:pStyle w:val="Heading2"/>
        <w:widowControl/>
      </w:pPr>
      <w:r>
        <w:t xml:space="preserve">8.10 A Local Deployment Integration</w:t>
      </w:r>
    </w:p>
    <w:p>
      <w:pPr>
        <w:pStyle w:val="FirstParagraph"/>
        <w:widowControl/>
      </w:pPr>
      <w:r>
        <w:t xml:space="preserve">We also implemented a local fail-closed deployment lifecycle that isolates the candidate from the active checkpoint, rejects malformed or outcome-bearing evidence, and retains the frozen model when assessment fails. The implementation records calibration and model identities and exercises rollback and persistence failures. These tests evaluate software behavior, not the statistical validity of the certificate or field reliability. Detailed fault tests, integrity records, and workload-specific latency measurements are reported in Appendix J.1.</w:t>
      </w:r>
    </w:p>
    <w:bookmarkEnd w:id="67"/>
    <w:bookmarkEnd w:id="68"/>
    <w:bookmarkStart w:id="74" w:name="limitations-and-broader-impact"/>
    <w:p>
      <w:pPr>
        <w:pStyle w:val="Heading1"/>
        <w:widowControl/>
      </w:pPr>
      <w:r>
        <w:t xml:space="preserve">9 Limitations and Broader Impact</w:t>
      </w:r>
    </w:p>
    <w:bookmarkStart w:id="71"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9" w:name="X07f69b37aead840259099dbc48184205b46283c"/>
    <w:p>
      <w:pPr>
        <w:pStyle w:val="Heading3"/>
        <w:keepNext/>
        <w:widowControl/>
        <w:spacing w:before="100" w:after="20" w:line="252" w:lineRule="auto"/>
      </w:pPr>
      <w:r>
        <w:rPr>
          <w:rFonts w:ascii="Times New Roman" w:hAnsi="Times New Roman" w:eastAsia="Times New Roman" w:cs="Times New Roman"/>
          <w:b/>
          <w:sz w:val="19"/>
        </w:rPr>
        <w:t xml:space="preserve">Justifying the population residual bound.</w:t>
      </w:r>
    </w:p>
    <w:p>
      <w:pPr>
        <w:pStyle w:val="FirstParagraph"/>
        <w:widowControl/>
      </w:pPr>
      <w:r>
        <w:t xml:space="preserve">A development-domain proxy does not resolve the population residual bound required by</w:t>
      </w:r>
      <w:r>
        <w:t xml:space="preserve"> </w:t>
      </w:r>
      <w:r>
        <w:t xml:space="preserve">Theorem 3. Within the declared class,</w:t>
      </w:r>
      <w:r>
        <w:t xml:space="preserve"> </w:t>
      </w:r>
      <m:oMath>
        <m:r>
          <m:t>β</m:t>
        </m:r>
      </m:oMath>
      <w:r>
        <w:t xml:space="preserve"> </w:t>
      </w:r>
      <w:r>
        <w:t xml:space="preserve">must come from</w:t>
      </w:r>
      <w:r>
        <w:t xml:space="preserve"> </w:t>
      </w:r>
      <w:r>
        <w:t xml:space="preserve">external domain knowledge, target labels, or an explicit transfer assumption.</w:t>
      </w:r>
      <w:r>
        <w:t xml:space="preserve"> </w:t>
      </w:r>
      <w:r>
        <w:t xml:space="preserve">Processing the same label-free evidence cannot supply that missing restriction.</w:t>
      </w:r>
      <w:r>
        <w:t xml:space="preserve"> </w:t>
      </w:r>
      <w:r>
        <w:t xml:space="preserve">The supplementary discussion records the withdrawn proxy analysis</w:t>
      </w:r>
      <w:r>
        <w:t xml:space="preserve"> </w:t>
      </w:r>
      <w:r>
        <w:t xml:space="preserve">(Appendix B.11).</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r>
        <w:t xml:space="preserve"> </w:t>
      </w:r>
      <w:r>
        <w:t xml:space="preserve">The new held-out-corruption comparison directly exhibits this failure: nominal</w:t>
      </w:r>
      <w:r>
        <w:t xml:space="preserve"> </w:t>
      </w:r>
      <w:r>
        <w:t xml:space="preserve">90% calibration transfers poorly on CIFAR, and the best useful policy depends</w:t>
      </w:r>
      <w:r>
        <w:t xml:space="preserve"> </w:t>
      </w:r>
      <w:r>
        <w:t xml:space="preserve">on the candidate and harm weight. The paired-transport certificate supplies a</w:t>
      </w:r>
      <w:r>
        <w:t xml:space="preserve"> </w:t>
      </w:r>
      <w:r>
        <w:t xml:space="preserve">different sufficient assumption regime; it does not validate either that</w:t>
      </w:r>
      <w:r>
        <w:t xml:space="preserve"> </w:t>
      </w:r>
      <w:r>
        <w:t xml:space="preserve">calibration transfer or its own transport budget from unlabeled target data.</w:t>
      </w:r>
    </w:p>
    <w:bookmarkEnd w:id="69"/>
    <w:bookmarkStart w:id="70"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70"/>
    <w:bookmarkEnd w:id="71"/>
    <w:bookmarkStart w:id="72" w:name="X3f2a7a87828cff3b55e155c093dad71f163a053"/>
    <w:p>
      <w:pPr>
        <w:pStyle w:val="Heading2"/>
        <w:widowControl/>
      </w:pPr>
      <w:r>
        <w:t xml:space="preserve">9.2 What the Experiments Establish—and What Remains Open</w:t>
      </w:r>
    </w:p>
    <w:p>
      <w:pPr>
        <w:pStyle w:val="FirstParagraph"/>
        <w:widowControl/>
      </w:pPr>
      <w:r>
        <w:t xml:space="preserve">Four limitations determine how these experiments should be interpreted:</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an outcome-blind decision rule).</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Checkpoint and architecture transfer.</w:t>
      </w:r>
      <w:r>
        <w:t xml:space="preserve"> </w:t>
      </w:r>
      <w:r>
        <w:t xml:space="preserve">The primary CIFAR-10-C panel uses one</w:t>
      </w:r>
      <w:r>
        <w:t xml:space="preserve"> </w:t>
      </w:r>
      <w:r>
        <w:t xml:space="preserve">source checkpoint. Additional checkpoint comparisons are descriptive: B6’s clipped calibration</w:t>
      </w:r>
      <w:r>
        <w:t xml:space="preserve"> </w:t>
      </w:r>
      <w:r>
        <w:t xml:space="preserve">rank does not establish nominal coverage, and incomplete execution provenance limits independent</w:t>
      </w:r>
      <w:r>
        <w:t xml:space="preserve"> </w:t>
      </w:r>
      <w:r>
        <w:t xml:space="preserve">replication claims. Prospective transfer to unseen model families and environments remains</w:t>
      </w:r>
      <w:r>
        <w:t xml:space="preserve"> </w:t>
      </w:r>
      <w:r>
        <w:t xml:space="preserve">untested (Appendix B.3.3).</w:t>
      </w:r>
    </w:p>
    <w:p>
      <w:pPr>
        <w:widowControl/>
        <w:numPr>
          <w:ilvl w:val="0"/>
          <w:numId w:val="1008"/>
        </w:numPr>
      </w:pPr>
      <w:r>
        <w:rPr>
          <w:b/>
          <w:bCs/>
        </w:rPr>
        <w:t xml:space="preserve">External method comparisons.</w:t>
      </w:r>
      <w:r>
        <w:t xml:space="preserve"> </w:t>
      </w:r>
      <w:r>
        <w:t xml:space="preserve">The shared-feature baselines and scoped native</w:t>
      </w:r>
      <w:r>
        <w:t xml:space="preserve"> </w:t>
      </w:r>
      <w:r>
        <w:t xml:space="preserve">components isolate specific decision rules, but do not constitute complete reproductions of</w:t>
      </w:r>
      <w:r>
        <w:t xml:space="preserve"> </w:t>
      </w:r>
      <w:r>
        <w:t xml:space="preserve">all published learners or a full official-method comparison</w:t>
      </w:r>
      <w:r>
        <w:t xml:space="preserve"> </w:t>
      </w:r>
      <w:r>
        <w:t xml:space="preserve">(Appendix B.3.4).</w:t>
      </w:r>
    </w:p>
    <w:p>
      <w:pPr>
        <w:pStyle w:val="FirstParagraph"/>
        <w:widowControl/>
      </w:pPr>
      <w:r>
        <w:t xml:space="preserve">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72"/>
    <w:bookmarkStart w:id="73"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safety-critical deployments (e.g., automated diagnostics or autonomous navigation), a FREEZE or ABSTAIN action should not be assumed to guarantee safety; rather, it should function as an automated fallback trigger, preserving the frozen baseline while routing ambiguous cases to human clinical review or secondary fail-safe systems.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An unavailable assessment must remain distinct from evidence of negative benefit: both retain</w:t>
      </w:r>
      <w:r>
        <w:t xml:space="preserve"> </w:t>
      </w:r>
      <w:r>
        <w:t xml:space="preserve">the frozen model, but only the latter supports a strict FREEZE decision. The local integration</w:t>
      </w:r>
      <w:r>
        <w:t xml:space="preserve"> </w:t>
      </w:r>
      <w:r>
        <w:t xml:space="preserve">checks this behavior; its tests do not establish calibration validity or field reliability.</w:t>
      </w:r>
      <w:r>
        <w:t xml:space="preserve"> </w:t>
      </w:r>
      <w:r>
        <w:t xml:space="preserve">Detailed implementation and reproducibility information is provided in the supplement.</w:t>
      </w:r>
    </w:p>
    <w:bookmarkEnd w:id="73"/>
    <w:bookmarkEnd w:id="74"/>
    <w:bookmarkStart w:id="75" w:name="conclusion"/>
    <w:p>
      <w:pPr>
        <w:pStyle w:val="Heading1"/>
        <w:widowControl/>
      </w:pPr>
      <w:r>
        <w:t xml:space="preserve">10 Conclusion</w:t>
      </w:r>
    </w:p>
    <w:p>
      <w:pPr>
        <w:pStyle w:val="FirstParagraph"/>
        <w:widowControl/>
      </w:pPr>
      <w:r>
        <w:t xml:space="preserve">The update decision depends on what the available evidence can distinguish. For the declared</w:t>
      </w:r>
      <w:r>
        <w:t xml:space="preserve"> </w:t>
      </w:r>
      <w:r>
        <w:t xml:space="preserve">binary target class, K-Bound identifies the feasible population-benefit interval and its exact</w:t>
      </w:r>
      <w:r>
        <w:t xml:space="preserve"> </w:t>
      </w:r>
      <w:r>
        <w:t xml:space="preserve">strict-decision frontier. The evidence-fibre audit establishes the accompanying limit: unchanged</w:t>
      </w:r>
      <w:r>
        <w:t xml:space="preserve"> </w:t>
      </w:r>
      <w:r>
        <w:t xml:space="preserve">label-free observations cannot justify an arbitrarily tighter residual bound. The paired-transport</w:t>
      </w:r>
      <w:r>
        <w:t xml:space="preserve"> </w:t>
      </w:r>
      <w:r>
        <w:t xml:space="preserve">construction illustrates a separate multiclass route under an explicit conditional-shift budget</w:t>
      </w:r>
      <w:r>
        <w:t xml:space="preserve"> </w:t>
      </w:r>
      <w:r>
        <w:t xml:space="preserve">and sampling assumptions; its usefulness depends on the credibility of those assumptions.</w:t>
      </w:r>
    </w:p>
    <w:p>
      <w:pPr>
        <w:pStyle w:val="BodyText"/>
        <w:widowControl/>
      </w:pPr>
      <w:r>
        <w:t xml:space="preserve">KGA makes the empirical question concrete by predicting paired evaluation-cell benefit and</w:t>
      </w:r>
      <w:r>
        <w:t xml:space="preserve"> </w:t>
      </w:r>
      <w:r>
        <w:t xml:space="preserve">calibrating an interval around that prediction. Its value is candidate- and operating-point-dependent.</w:t>
      </w:r>
      <w:r>
        <w:t xml:space="preserve"> </w:t>
      </w:r>
      <w:r>
        <w:t xml:space="preserve">Controlled routing gains coexist with simpler-rule wins. In the shared-predictor comparison,</w:t>
      </w:r>
      <w:r>
        <w:t xml:space="preserve"> </w:t>
      </w:r>
      <w:r>
        <w:t xml:space="preserve">scaled calibration improves CIFAR Tent’s harm-weighted loss, but the advantage narrows at matched</w:t>
      </w:r>
      <w:r>
        <w:t xml:space="preserve"> </w:t>
      </w:r>
      <w:r>
        <w:t xml:space="preserve">exposure, and nominal 90% constant-cell inclusion falls to</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Useful decisions and reliable intervals must therefore be evaluated separately.</w:t>
      </w:r>
    </w:p>
    <w:p>
      <w:pPr>
        <w:pStyle w:val="BodyText"/>
        <w:widowControl/>
      </w:pPr>
      <w:r>
        <w:t xml:space="preserve">Natural-shift evidence is more limited: CCT-20 demonstrates retention without ADAPT exposure,</w:t>
      </w:r>
      <w:r>
        <w:t xml:space="preserve"> </w:t>
      </w:r>
      <w:r>
        <w:t xml:space="preserve">and So2Sat stops before target scoring. The present studies do not establish population-risk</w:t>
      </w:r>
      <w:r>
        <w:t xml:space="preserve"> </w:t>
      </w:r>
      <w:r>
        <w:t xml:space="preserve">protection or useful selective routing on unseen natural environments. The next empirical test</w:t>
      </w:r>
      <w:r>
        <w:t xml:space="preserve"> </w:t>
      </w:r>
      <w:r>
        <w:t xml:space="preserve">is whether independently supported calibration can accept beneficial updates and reject harmful</w:t>
      </w:r>
      <w:r>
        <w:t xml:space="preserve"> </w:t>
      </w:r>
      <w:r>
        <w:t xml:space="preserve">ones under a fixed protocol. Where the available information cannot support either strict sign,</w:t>
      </w:r>
      <w:r>
        <w:t xml:space="preserve"> </w:t>
      </w:r>
      <w:r>
        <w:t xml:space="preserve">abstention remains the justified decision.</w:t>
      </w:r>
    </w:p>
    <w:bookmarkEnd w:id="75"/>
    <w:bookmarkStart w:id="82"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6">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7">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8">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p>
      <w:pPr>
        <w:widowControl/>
        <w:numPr>
          <w:ilvl w:val="0"/>
          <w:numId w:val="1009"/>
        </w:numPr>
        <w:spacing w:after="20" w:line="240" w:lineRule="auto"/>
      </w:pPr>
      <w:r>
        <w:rPr>
          <w:rFonts w:ascii="Times New Roman" w:hAnsi="Times New Roman"/>
          <w:sz w:val="16"/>
        </w:rPr>
        <w:t xml:space="preserve">K. Jhawar, L. Wang.</w:t>
      </w:r>
      <w:r>
        <w:rPr>
          <w:rFonts w:ascii="Times New Roman" w:hAnsi="Times New Roman"/>
          <w:sz w:val="16"/>
        </w:rPr>
        <w:t xml:space="preserve"> </w:t>
      </w:r>
      <w:r>
        <w:rPr>
          <w:rFonts w:ascii="Times New Roman" w:hAnsi="Times New Roman"/>
          <w:sz w:val="16"/>
        </w:rPr>
        <w:t xml:space="preserve">When is Test-Time Adaptation Identifiable From Unlabeled Evidence?</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arXiv:2609.11235v1.</w:t>
      </w:r>
      <w:r>
        <w:rPr>
          <w:rFonts w:ascii="Times New Roman" w:hAnsi="Times New Roman"/>
          <w:sz w:val="16"/>
        </w:rPr>
        <w:t xml:space="preserve"> </w:t>
      </w:r>
      <w:hyperlink r:id="rId79">
        <w:r>
          <w:rPr>
            <w:rStyle w:val="Hyperlink"/>
          </w:rPr>
          <w:t xml:space="preserve">https://arxiv.org/abs/2609.11235</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Li, K. Han, Y. Ma.</w:t>
      </w:r>
      <w:r>
        <w:rPr>
          <w:rFonts w:ascii="Times New Roman" w:hAnsi="Times New Roman"/>
          <w:sz w:val="16"/>
        </w:rPr>
        <w:t xml:space="preserve"> </w:t>
      </w:r>
      <w:r>
        <w:rPr>
          <w:rFonts w:ascii="Times New Roman" w:hAnsi="Times New Roman"/>
          <w:sz w:val="16"/>
        </w:rPr>
        <w:t xml:space="preserve">From matrix inversion to constraints: provably tighter confidence regions for</w:t>
      </w:r>
      <w:r>
        <w:rPr>
          <w:rFonts w:ascii="Times New Roman" w:hAnsi="Times New Roman"/>
          <w:sz w:val="16"/>
        </w:rPr>
        <w:t xml:space="preserve"> </w:t>
      </w:r>
      <w:r>
        <w:rPr>
          <w:rFonts w:ascii="Times New Roman" w:hAnsi="Times New Roman"/>
          <w:sz w:val="16"/>
        </w:rPr>
        <w:t xml:space="preserve">importance weights in label shift.</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arXiv:2609.14802v1.</w:t>
      </w:r>
      <w:r>
        <w:rPr>
          <w:rFonts w:ascii="Times New Roman" w:hAnsi="Times New Roman"/>
          <w:sz w:val="16"/>
        </w:rPr>
        <w:t xml:space="preserve"> </w:t>
      </w:r>
      <w:hyperlink r:id="rId80">
        <w:r>
          <w:rPr>
            <w:rStyle w:val="Hyperlink"/>
          </w:rPr>
          <w:t xml:space="preserve">https://arxiv.org/abs/2609.14802</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Danilowski,</w:t>
      </w:r>
      <w:r>
        <w:rPr>
          <w:rFonts w:ascii="Times New Roman" w:hAnsi="Times New Roman"/>
          <w:sz w:val="16"/>
        </w:rPr>
        <w:t xml:space="preserve"> </w:t>
      </w:r>
      <w:r>
        <w:rPr>
          <w:rFonts w:ascii="Times New Roman" w:hAnsi="Times New Roman"/>
          <w:sz w:val="16"/>
        </w:rPr>
        <w:t xml:space="preserve">A. Murphy, Y. D. Kwon, A. Ghosh. MORPHEUS: Meta Test-Time Adaptation via</w:t>
      </w:r>
      <w:r>
        <w:rPr>
          <w:rFonts w:ascii="Times New Roman" w:hAnsi="Times New Roman"/>
          <w:sz w:val="16"/>
        </w:rPr>
        <w:t xml:space="preserve"> </w:t>
      </w:r>
      <w:r>
        <w:rPr>
          <w:rFonts w:ascii="Times New Roman" w:hAnsi="Times New Roman"/>
          <w:sz w:val="16"/>
        </w:rPr>
        <w:t xml:space="preserve">Neural Collapse Geometry.</w:t>
      </w:r>
      <w:r>
        <w:rPr>
          <w:rFonts w:ascii="Times New Roman" w:hAnsi="Times New Roman"/>
          <w:sz w:val="16"/>
        </w:rPr>
        <w:t xml:space="preserve"> </w:t>
      </w:r>
      <w:r>
        <w:rPr>
          <w:rFonts w:ascii="Times New Roman" w:hAnsi="Times New Roman"/>
          <w:i/>
          <w:iCs/>
          <w:sz w:val="16"/>
        </w:rPr>
        <w:t xml:space="preserve">ICLR Test-Time Updates Workshop</w:t>
      </w:r>
      <w:r>
        <w:rPr>
          <w:rFonts w:ascii="Times New Roman" w:hAnsi="Times New Roman"/>
          <w:sz w:val="16"/>
        </w:rPr>
        <w:t xml:space="preserve">, 2026.</w:t>
      </w:r>
      <w:r>
        <w:rPr>
          <w:rFonts w:ascii="Times New Roman" w:hAnsi="Times New Roman"/>
          <w:sz w:val="16"/>
        </w:rPr>
        <w:t xml:space="preserve"> </w:t>
      </w:r>
      <w:hyperlink r:id="rId81">
        <w:r>
          <w:rPr>
            <w:rStyle w:val="Hyperlink"/>
          </w:rPr>
          <w:t xml:space="preserve">https://theyoungkwon.github.io/papers/articles/danilowski_morpheus_iclr-ttu26.pdf</w:t>
        </w:r>
      </w:hyperlink>
      <w:r>
        <w:rPr>
          <w:rFonts w:ascii="Times New Roman" w:hAnsi="Times New Roman"/>
          <w:sz w:val="16"/>
        </w:rPr>
        <w:t xml:space="preserve">.</w:t>
      </w:r>
    </w:p>
    <w:bookmarkEnd w:id="82"/>
    <w:bookmarkStart w:id="97"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83"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rPr>
              <m:nor/>
              <m:sty m:val="p"/>
            </m:rPr>
            <m:t xml:space="preserve">  (17)</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rPr>
              <m:nor/>
              <m:sty m:val="p"/>
            </m:rPr>
            <m:t xml:space="preserve">  (18)</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rPr>
              <m:nor/>
              <m:sty m:val="p"/>
            </m:rPr>
            <m:t xml:space="preserve">  (19)</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83"/>
    <w:bookmarkStart w:id="84"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84"/>
    <w:bookmarkStart w:id="85"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85"/>
    <w:bookmarkStart w:id="90"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(20)</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rPr>
              <m:nor/>
              <m:sty m:val="p"/>
            </m:rPr>
            <m:t xml:space="preserve">  (21)</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(22)</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rPr>
              <m:nor/>
              <m:sty m:val="p"/>
            </m:rPr>
            <m:t xml:space="preserve">  (23)</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(24)</m:t>
          </m:r>
        </m:oMath>
      </m:oMathPara>
    </w:p>
    <w:p>
      <w:pPr>
        <w:pStyle w:val="FirstParagraph"/>
        <w:widowControl/>
      </w:pPr>
      <w:r>
        <w:rPr>
          <w:i/>
          <w:iCs/>
        </w:rPr>
        <w:t xml:space="preserve">Proof.</w:t>
      </w:r>
      <w:r>
        <w:t xml:space="preserve"> </w:t>
      </w:r>
      <w:r>
        <w:t xml:space="preserve">The proof proceeds in four discrete steps:</w:t>
      </w:r>
    </w:p>
    <w:bookmarkStart w:id="86"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6"/>
    <w:bookmarkStart w:id="87"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7"/>
    <w:bookmarkStart w:id="88"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8"/>
    <w:bookmarkStart w:id="89"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9"/>
    <w:bookmarkEnd w:id="90"/>
    <w:bookmarkStart w:id="91" w:name="X9103471d99c25e047733712edddfb610e21cce4"/>
    <w:p>
      <w:pPr>
        <w:pStyle w:val="Heading2"/>
        <w:widowControl/>
      </w:pPr>
      <w:r>
        <w:t xml:space="preserve">A.5 The Price of Rigor: Sample Size vs. Abstention Analysis</w:t>
      </w:r>
    </w:p>
    <w:p>
      <w:pPr>
        <w:pStyle w:val="FirstParagraph"/>
        <w:widowControl/>
      </w:pPr>
      <w:r>
        <w:t xml:space="preserve">Theorem 4 quantifies the additional sampling allowance required</w:t>
      </w:r>
      <w:r>
        <w:t xml:space="preserve"> </w:t>
      </w:r>
      <w:r>
        <w:t xml:space="preserve">to transfer a valid cell interval to population benefit under its stated assumptions.</w:t>
      </w:r>
      <w:r>
        <w:t xml:space="preserve"> </w:t>
      </w:r>
      <w:r>
        <w:t xml:space="preserve">It does not attribute the observed empirical abstentions to population uncertainty.</w:t>
      </w:r>
      <w:r>
        <w:t xml:space="preserve"> </w:t>
      </w:r>
      <w:r>
        <w:t xml:space="preserve">For this transfer construction,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w:rPr>
            <w:sz w:val="17"/>
            <w:szCs w:val="17"/>
          </w:rPr>
          <m:t>b</m:t>
        </m:r>
        <m:r>
          <m:rPr>
            <m:sty m:val="p"/>
          </m:rPr>
          <w:rPr>
            <w:sz w:val="17"/>
            <w:szCs w:val="17"/>
          </w:rPr>
          <m:t>(</m:t>
        </m:r>
        <m:r>
          <w:rPr>
            <w:sz w:val="17"/>
            <w:szCs w:val="17"/>
          </w:rPr>
          <m:t>m</m:t>
        </m:r>
        <m:r>
          <m:rPr>
            <m:sty m:val="p"/>
          </m:rPr>
          <w:rPr>
            <w:sz w:val="17"/>
            <w:szCs w:val="17"/>
          </w:rPr>
          <m:t>,</m:t>
        </m:r>
        <m:r>
          <w:rPr>
            <w:sz w:val="17"/>
            <w:szCs w:val="17"/>
          </w:rPr>
          <m:t>δ</m:t>
        </m:r>
        <m:r>
          <m:rPr>
            <m:sty m:val="p"/>
          </m:rPr>
          <w:rPr>
            <w:sz w:val="17"/>
            <w:szCs w:val="17"/>
          </w:rPr>
          <m:t>)</m:t>
        </m:r>
      </m:oMath>
      <w:r>
        <w:t xml:space="preserve"> </w:t>
      </w:r>
      <w:r>
        <w:t xml:space="preserve">for paired zero-one accuracy differences at</w:t>
      </w:r>
      <w:r>
        <w:t xml:space="preserve"> </w:t>
      </w:r>
      <m:oMath>
        <m:r>
          <w:rPr>
            <w:sz w:val="17"/>
            <w:szCs w:val="17"/>
          </w:rPr>
          <m:t>δ</m:t>
        </m:r>
        <m:r>
          <m:rPr>
            <m:sty m:val="p"/>
          </m:rPr>
          <w:rPr>
            <w:sz w:val="17"/>
            <w:szCs w:val="17"/>
          </w:rPr>
          <m:t>=</m:t>
        </m:r>
        <m:r>
          <w:rPr>
            <w:sz w:val="17"/>
            <w:szCs w:val="17"/>
          </w:rPr>
          <m:t>0.05</m:t>
        </m:r>
      </m:oMath>
      <w:r>
        <w:t xml:space="preserve"> </w:t>
      </w:r>
      <w:r>
        <w:t xml:space="preserve">(</w:t>
      </w:r>
      <m:oMath>
        <m:r>
          <w:rPr>
            <w:sz w:val="17"/>
            <w:szCs w:val="17"/>
          </w:rPr>
          <m:t>95</m:t>
        </m:r>
        <m:r>
          <m:rPr>
            <m:sty m:val="p"/>
          </m:rPr>
          <w:rPr>
            <w:sz w:val="17"/>
            <w:szCs w:val="17"/>
          </w:rPr>
          <m:t>%</m:t>
        </m:r>
      </m:oMath>
      <w:r>
        <w:t xml:space="preserve"> </w:t>
      </w:r>
      <w:r>
        <w:t xml:space="preserve">concentration confidence) across evaluation sample sizes</w:t>
      </w:r>
      <w:r>
        <w:t xml:space="preserve"> </w:t>
      </w:r>
      <m:oMath>
        <m:r>
          <w:rPr>
            <w:sz w:val="17"/>
            <w:szCs w:val="17"/>
          </w:rPr>
          <m:t>m</m:t>
        </m:r>
      </m:oMath>
      <w:r>
        <w:t xml:space="preserve">.</w:t>
      </w:r>
    </w:p>
    <w:tbl>
      <w:tblPr>
        <w:tblStyle w:val="Table"/>
        <w:tblW w:type="dxa" w:w="9960"/>
        <w:jc w:val="left"/>
        <w:tblLayout w:type="fixed"/>
        <w:tblLook w:firstRow="1" w:lastRow="0" w:firstColumn="0" w:lastColumn="0" w:noHBand="0" w:noVBand="0" w:val="002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09"/>
        <w:gridCol w:w="4086"/>
        <w:gridCol w:w="3065"/>
      </w:tblGrid>
      <w:tr>
        <w:trPr>
          <w:tblHeader w:val="true"/>
          <w:cantSplit w:val="true"/>
        </w:trPr>
        <w:tc>
          <w:tcPr>
            <w:tcW w:w="28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Sample Size</w:t>
            </w:r>
            <w:r>
              <w:rPr>
                <w:rFonts w:ascii="Times New Roman" w:hAnsi="Times New Roman"/>
                <w:b/>
                <w:sz w:val="17"/>
              </w:rPr>
              <w:t xml:space="preserve"> </w:t>
            </w:r>
            <m:oMath>
              <m:r>
                <w:rPr>
                  <w:sz w:val="18"/>
                  <w:szCs w:val="18"/>
                </w:rPr>
                <m:t>m</m:t>
              </m:r>
            </m:oMath>
          </w:p>
        </w:tc>
        <w:tc>
          <w:tcPr>
            <w:tcW w:w="40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Hoeffding Radius</w:t>
            </w:r>
            <w:r>
              <w:rPr>
                <w:rFonts w:ascii="Times New Roman" w:hAnsi="Times New Roman"/>
                <w:b/>
                <w:sz w:val="17"/>
              </w:rPr>
              <w:t xml:space="preserve"> </w:t>
            </w: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r>
                <w:rPr>
                  <w:sz w:val="18"/>
                  <w:szCs w:val="18"/>
                </w:rPr>
                <m:t>0.05</m:t>
              </m:r>
              <m:r>
                <m:rPr>
                  <m:sty m:val="p"/>
                </m:rPr>
                <w:rPr>
                  <w:sz w:val="18"/>
                  <w:szCs w:val="18"/>
                </w:rPr>
                <m:t>)</m:t>
              </m:r>
            </m:oMath>
          </w:p>
        </w:tc>
        <w:tc>
          <w:tcPr>
            <w:tcW w:w="30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Total Radius</w:t>
            </w:r>
            <w:r>
              <w:rPr>
                <w:rFonts w:ascii="Times New Roman" w:hAnsi="Times New Roman"/>
                <w:b/>
                <w:sz w:val="17"/>
              </w:rPr>
              <w:t xml:space="preserve"> </w:t>
            </w:r>
            <m:oMath>
              <m:r>
                <m:rPr>
                  <m:sty m:val="p"/>
                </m:rPr>
                <w:rPr>
                  <w:sz w:val="18"/>
                  <w:szCs w:val="18"/>
                </w:rPr>
                <m:t>(</m:t>
              </m:r>
              <m:r>
                <w:rPr>
                  <w:sz w:val="18"/>
                  <w:szCs w:val="18"/>
                </w:rPr>
                <m:t>ε</m:t>
              </m:r>
              <m:r>
                <m:rPr>
                  <m:sty m:val="p"/>
                </m:rPr>
                <w:rPr>
                  <w:sz w:val="18"/>
                  <w:szCs w:val="18"/>
                </w:rPr>
                <m:t>=</m:t>
              </m:r>
              <m:r>
                <w:rPr>
                  <w:sz w:val="18"/>
                  <w:szCs w:val="18"/>
                </w:rPr>
                <m:t>0.015</m:t>
              </m:r>
              <m:r>
                <m:rPr>
                  <m:sty m:val="p"/>
                </m:rPr>
                <w:rPr>
                  <w:sz w:val="18"/>
                  <w:szCs w:val="18"/>
                </w:rPr>
                <m:t>)</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64</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0.3396</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0.3546</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0.1921</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0.2071</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512</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0.1200</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0.1350</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0.0859</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0.1009</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0.0384</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0.0534</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0.0272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0.0422</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0.0192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91"/>
    <w:bookmarkStart w:id="92"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rPr>
              <m:nor/>
              <m:sty m:val="p"/>
            </m:rPr>
            <m:t xml:space="preserve">  (25)</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rPr>
              <m:nor/>
              <m:sty m:val="p"/>
            </m:rPr>
            <m:t xml:space="preserve">  (26)</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rPr>
              <m:nor/>
              <m:sty m:val="p"/>
            </m:rPr>
            <m:t xml:space="preserve">  (27)</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92"/>
    <w:bookmarkStart w:id="96"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93"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93"/>
    <w:bookmarkStart w:id="94"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TableCaption"/>
        <w:widowControl/>
      </w:pPr>
      <w:r>
        <w:t xml:space="preserve">Table 14. Non-oracle population diagnostic (1</w:t>
      </w:r>
      <w:r>
        <w:t xml:space="preserve">,</w:t>
      </w:r>
      <w:r>
        <w:t xml:space="preserve">000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Evaluates an imperfect benefit predictor fitted on 15 independent development episodes (</w:t>
      </w:r>
      <m:oMath>
        <m:r>
          <w:rPr>
            <w:sz w:val="17"/>
            <w:szCs w:val="17"/>
          </w:rPr>
          <m:t>m</m:t>
        </m:r>
        <m:r>
          <m:rPr>
            <m:sty m:val="p"/>
          </m:rPr>
          <w:rPr>
            <w:sz w:val="17"/>
            <w:szCs w:val="17"/>
          </w:rPr>
          <m:t>=</m:t>
        </m:r>
        <m:r>
          <w:rPr>
            <w:sz w:val="17"/>
            <w:szCs w:val="17"/>
          </w:rPr>
          <m:t>32</m:t>
        </m:r>
      </m:oMath>
      <w:r>
        <w:t xml:space="preserve">) with estimation error. Entries report</w:t>
      </w:r>
      <w:r>
        <w:t xml:space="preserve"> </w:t>
      </w:r>
      <w:r>
        <w:rPr>
          <w:b/>
          <w:bCs/>
        </w:rPr>
        <w:t xml:space="preserve">Cell Coverage / Wrong-Direction Error / Abstention Rate</w:t>
      </w:r>
      <w:r>
        <w:t xml:space="preserve">. The point rule commits on ties (</w:t>
      </w:r>
      <m:oMath>
        <m:r>
          <w:rPr>
            <w:sz w:val="17"/>
            <w:szCs w:val="17"/>
          </w:rPr>
          <m:t>31</m:t>
        </m:r>
        <m:r>
          <m:rPr>
            <m:sty m:val="p"/>
          </m:rPr>
          <w:rPr>
            <w:sz w:val="17"/>
            <w:szCs w:val="17"/>
          </w:rPr>
          <m:t>%</m:t>
        </m:r>
      </m:oMath>
      <w:r>
        <w:t xml:space="preserve">–</w:t>
      </w:r>
      <m:oMath>
        <m:r>
          <w:rPr>
            <w:sz w:val="17"/>
            <w:szCs w:val="17"/>
          </w:rPr>
          <m:t>36</m:t>
        </m:r>
        <m:r>
          <m:rPr>
            <m:sty m:val="p"/>
          </m:rPr>
          <w:rPr>
            <w:sz w:val="17"/>
            <w:szCs w:val="17"/>
          </w:rPr>
          <m:t>%</m:t>
        </m:r>
      </m:oMath>
      <w:r>
        <w:t xml:space="preserve"> </w:t>
      </w:r>
      <w:r>
        <w:t xml:space="preserve">wrong-direction error entirely on null states</w:t>
      </w:r>
      <w:r>
        <w:t xml:space="preserve"> </w:t>
      </w:r>
      <m:oMath>
        <m:r>
          <w:rPr>
            <w:sz w:val="17"/>
            <w:szCs w:val="17"/>
          </w:rPr>
          <m:t>Z</m:t>
        </m:r>
        <m:r>
          <m:rPr>
            <m:sty m:val="p"/>
          </m:rPr>
          <w:rPr>
            <w:sz w:val="17"/>
            <w:szCs w:val="17"/>
          </w:rPr>
          <m:t>=</m:t>
        </m:r>
        <m:r>
          <w:rPr>
            <w:sz w:val="17"/>
            <w:szCs w:val="17"/>
          </w:rPr>
          <m:t>0</m:t>
        </m:r>
      </m:oMath>
      <w:r>
        <w:t xml:space="preserve">,</w:t>
      </w:r>
      <w:r>
        <w:t xml:space="preserve"> </w:t>
      </w:r>
      <m:oMath>
        <m:r>
          <w:rPr>
            <w:sz w:val="17"/>
            <w:szCs w:val="17"/>
          </w:rPr>
          <m:t>0</m:t>
        </m:r>
        <m:r>
          <m:rPr>
            <m:sty m:val="p"/>
          </m:rPr>
          <w:rPr>
            <w:sz w:val="17"/>
            <w:szCs w:val="17"/>
          </w:rPr>
          <m:t>%</m:t>
        </m:r>
      </m:oMath>
      <w:r>
        <w:t xml:space="preserve"> </w:t>
      </w:r>
      <w:r>
        <w:t xml:space="preserve">abstention). The cell interval eliminates wrong-direction error (</w:t>
      </w:r>
      <m:oMath>
        <m:r>
          <w:rPr>
            <w:sz w:val="17"/>
            <w:szCs w:val="17"/>
          </w:rPr>
          <m:t>0.000</m:t>
        </m:r>
      </m:oMath>
      <w:r>
        <w:t xml:space="preserve">) with empirical cell coverage matching nominal</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0.95</m:t>
        </m:r>
      </m:oMath>
      <w:r>
        <w:t xml:space="preserve">, and achieves</w:t>
      </w:r>
      <w:r>
        <w:t xml:space="preserve"> </w:t>
      </w:r>
      <m:oMath>
        <m:r>
          <m:rPr>
            <m:sty m:val="p"/>
          </m:rPr>
          <w:rPr>
            <w:sz w:val="17"/>
            <w:szCs w:val="17"/>
          </w:rPr>
          <m:t>≈</m:t>
        </m:r>
        <m:r>
          <w:rPr>
            <w:sz w:val="17"/>
            <w:szCs w:val="17"/>
          </w:rPr>
          <m:t>100</m:t>
        </m:r>
        <m:r>
          <m:rPr>
            <m:sty m:val="p"/>
          </m:rPr>
          <w:rPr>
            <w:sz w:val="17"/>
            <w:szCs w:val="17"/>
          </w:rPr>
          <m:t>%</m:t>
        </m:r>
      </m:oMath>
      <w:r>
        <w:t xml:space="preserve"> </w:t>
      </w:r>
      <w:r>
        <w:t xml:space="preserve">population coverage of</w:t>
      </w:r>
      <w:r>
        <w:t xml:space="preserve"> </w:t>
      </w:r>
      <m:oMath>
        <m:r>
          <m:rPr>
            <m:sty m:val="p"/>
          </m:rPr>
          <w:rPr>
            <w:sz w:val="17"/>
            <w:szCs w:val="17"/>
          </w:rPr>
          <m:t>Δ</m:t>
        </m:r>
      </m:oMath>
      <w:r>
        <w:t xml:space="preserve"> </w:t>
      </w:r>
      <w:r>
        <w:t xml:space="preserve">in this model. The population compound interval</w:t>
      </w:r>
      <w:r>
        <w:t xml:space="preserve"> </w:t>
      </w:r>
      <m:oMath>
        <m:r>
          <m:rPr>
            <m:sty m:val="p"/>
          </m:rPr>
          <w:rPr>
            <w:sz w:val="17"/>
            <w:szCs w:val="17"/>
          </w:rPr>
          <m:t>[</m:t>
        </m:r>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r>
          <m:rPr>
            <m:sty m:val="p"/>
          </m:rPr>
          <w:rPr>
            <w:sz w:val="17"/>
            <w:szCs w:val="17"/>
          </w:rPr>
          <m:t>]</m:t>
        </m:r>
      </m:oMath>
      <w:r>
        <w:t xml:space="preserve"> </w:t>
      </w:r>
      <w:r>
        <w:t xml:space="preserve">achieved an observed</w:t>
      </w:r>
      <w:r>
        <w:t xml:space="preserve"> </w:t>
      </w:r>
      <m:oMath>
        <m:r>
          <w:rPr>
            <w:sz w:val="17"/>
            <w:szCs w:val="17"/>
          </w:rPr>
          <m:t>100</m:t>
        </m:r>
        <m:r>
          <m:rPr>
            <m:sty m:val="p"/>
          </m:rPr>
          <w:rPr>
            <w:sz w:val="17"/>
            <w:szCs w:val="17"/>
          </w:rPr>
          <m:t>%</m:t>
        </m:r>
      </m:oMath>
      <w:r>
        <w:t xml:space="preserve"> </w:t>
      </w:r>
      <w:r>
        <w:t xml:space="preserve">empirical population-inclusion rate in these finite trials and zero wrong-direction error (</w:t>
      </w:r>
      <m:oMath>
        <m:r>
          <w:rPr>
            <w:sz w:val="17"/>
            <w:szCs w:val="17"/>
          </w:rPr>
          <m:t>0.000</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oMath>
      <w:r>
        <w:t xml:space="preserve">); it is not a universal coverage guarantee. It enforces the Price of Rigor (</w:t>
      </w:r>
      <m:oMath>
        <m:r>
          <w:rPr>
            <w:sz w:val="17"/>
            <w:szCs w:val="17"/>
          </w:rPr>
          <m:t>99.9</m:t>
        </m:r>
        <m:r>
          <m:rPr>
            <m:sty m:val="p"/>
          </m:rPr>
          <w:rPr>
            <w:sz w:val="17"/>
            <w:szCs w:val="17"/>
          </w:rPr>
          <m:t>%</m:t>
        </m:r>
      </m:oMath>
      <w:r>
        <w:t xml:space="preserve">–</w:t>
      </w:r>
      <m:oMath>
        <m:r>
          <w:rPr>
            <w:sz w:val="17"/>
            <w:szCs w:val="17"/>
          </w:rPr>
          <m:t>100</m:t>
        </m:r>
        <m:r>
          <m:rPr>
            <m:sty m:val="p"/>
          </m:rPr>
          <w:rPr>
            <w:sz w:val="17"/>
            <w:szCs w:val="17"/>
          </w:rPr>
          <m:t>%</m:t>
        </m:r>
      </m:oMath>
      <w:r>
        <w:t xml:space="preserve"> </w:t>
      </w:r>
      <w:r>
        <w:t xml:space="preserve">abstention at</w:t>
      </w:r>
      <w:r>
        <w:t xml:space="preserve"> </w:t>
      </w:r>
      <m:oMath>
        <m:r>
          <w:rPr>
            <w:sz w:val="17"/>
            <w:szCs w:val="17"/>
          </w:rPr>
          <m:t>m</m:t>
        </m:r>
        <m:r>
          <m:rPr>
            <m:sty m:val="p"/>
          </m:rPr>
          <w:rPr>
            <w:sz w:val="17"/>
            <w:szCs w:val="17"/>
          </w:rPr>
          <m:t>=</m:t>
        </m:r>
        <m:r>
          <w:rPr>
            <w:sz w:val="17"/>
            <w:szCs w:val="17"/>
          </w:rPr>
          <m:t>32</m:t>
        </m:r>
      </m:oMath>
      <w:r>
        <w:t xml:space="preserve"> </w:t>
      </w:r>
      <w:r>
        <w:t xml:space="preserve">via Hoeffding radius</w:t>
      </w:r>
      <w:r>
        <w:t xml:space="preserve"> </w:t>
      </w:r>
      <m:oMath>
        <m:r>
          <w:rPr>
            <w:sz w:val="17"/>
            <w:szCs w:val="17"/>
          </w:rPr>
          <m:t>b</m:t>
        </m:r>
        <m:r>
          <m:rPr>
            <m:sty m:val="p"/>
          </m:rPr>
          <w:rPr>
            <w:sz w:val="17"/>
            <w:szCs w:val="17"/>
          </w:rPr>
          <m:t>=</m:t>
        </m:r>
        <m:r>
          <w:rPr>
            <w:sz w:val="17"/>
            <w:szCs w:val="17"/>
          </w:rPr>
          <m:t>0.480</m:t>
        </m:r>
      </m:oMath>
      <w:r>
        <w:t xml:space="preserve">, dropping to</w:t>
      </w:r>
      <w:r>
        <w:t xml:space="preserve"> </w:t>
      </w:r>
      <m:oMath>
        <m:r>
          <m:rPr>
            <m:sty m:val="p"/>
          </m:rPr>
          <w:rPr>
            <w:sz w:val="17"/>
            <w:szCs w:val="17"/>
          </w:rPr>
          <m:t>≈</m:t>
        </m:r>
        <m:r>
          <w:rPr>
            <w:sz w:val="17"/>
            <w:szCs w:val="17"/>
          </w:rPr>
          <m:t>33</m:t>
        </m:r>
        <m:r>
          <m:rPr>
            <m:sty m:val="p"/>
          </m:rPr>
          <w:rPr>
            <w:sz w:val="17"/>
            <w:szCs w:val="17"/>
          </w:rPr>
          <m:t>%</m:t>
        </m:r>
      </m:oMath>
      <w:r>
        <w:t xml:space="preserve"> </w:t>
      </w:r>
      <w:r>
        <w:t xml:space="preserve">matching the null frequency for</w:t>
      </w:r>
      <w:r>
        <w:t xml:space="preserve"> </w:t>
      </w:r>
      <m:oMath>
        <m:r>
          <w:rPr>
            <w:sz w:val="17"/>
            <w:szCs w:val="17"/>
          </w:rPr>
          <m:t>m</m:t>
        </m:r>
        <m:r>
          <m:rPr>
            <m:sty m:val="p"/>
          </m:rPr>
          <w:rPr>
            <w:sz w:val="17"/>
            <w:szCs w:val="17"/>
          </w:rPr>
          <m:t>≥</m:t>
        </m:r>
        <m:r>
          <w:rPr>
            <w:sz w:val="17"/>
            <w:szCs w:val="17"/>
          </w:rPr>
          <m:t>128</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4. Non-oracle population diagnostic (1,000 trials/cell; \alpha_{\mathrm{cell}}=\delta=0.05, \alpha_{\mathrm{pop}}=0.10). Evaluates an imperfect benefit predictor fitted on 15 independent development episodes (m=32) with estimation error. Entries report Cell Coverage / Wrong-Direction Error / Abstention Rate. The point rule commits on ties (31\%–36\% wrong-direction error entirely on null states Z=0, 0\% abstention). The cell interval eliminates wrong-direction error (0.000) with empirical cell coverage matching nominal 1-\alpha=0.95, and achieves \approx 100\% population coverage of \Delta in this model. The population compound interval [\widehat\Delta \pm (\varepsilon+b)] achieved an observed 100\% empirical population-inclusion rate in these finite trials and zero wrong-direction error (0.000 \le \alpha_{\mathrm{pop}}); it is not a universal coverage guarantee. It enforces the Price of Rigor (99.9\%–100\% abstention at m=32 via Hoeffding radius b=0.480, dropping to \approx 33\% matching the null frequency for m \ge 128).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71"/>
        <w:gridCol w:w="1997"/>
        <w:gridCol w:w="1997"/>
        <w:gridCol w:w="1997"/>
        <w:gridCol w:w="1998"/>
      </w:tblGrid>
      <w:tr>
        <w:trPr>
          <w:tblHeader w:val="true"/>
          <w:cantSplit w:val="true"/>
        </w:trPr>
        <w:tc>
          <w:tcPr>
            <w:tcW w:w="1971"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0.480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0.240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0.120</m:t>
              </m:r>
            </m:oMath>
            <w:r>
              <w:rPr>
                <w:rFonts w:ascii="Times New Roman" w:hAnsi="Times New Roman"/>
                <w:b/>
                <w:sz w:val="15"/>
              </w:rPr>
              <w:t>)</w:t>
            </w:r>
          </w:p>
        </w:tc>
        <w:tc>
          <w:tcPr>
            <w:tcW w:w="1998"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0.061</m:t>
              </m:r>
            </m:oMath>
            <w:r>
              <w:rPr>
                <w:rFonts w:ascii="Times New Roman" w:hAnsi="Times New Roman"/>
                <w:b/>
                <w:sz w:val="15"/>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Point Rule (</w:t>
            </w:r>
            <m:oMath>
              <m:r>
                <m:rPr>
                  <m:sty m:val="p"/>
                </m:rPr>
                <w:rPr>
                  <w:sz w:val="16"/>
                  <w:szCs w:val="16"/>
                </w:rPr>
                <m:t>sign</m:t>
              </m:r>
              <m:r>
                <m:rPr>
                  <m:sty m:val="p"/>
                </m:rPr>
                <w:rPr>
                  <w:sz w:val="16"/>
                  <w:szCs w:val="16"/>
                </w:rPr>
                <m:t>(</m:t>
              </m:r>
              <m:acc>
                <m:accPr>
                  <m:chr m:val="̂"/>
                </m:accPr>
                <m:e>
                  <m:r>
                    <m:rPr>
                      <m:sty m:val="p"/>
                    </m:rPr>
                    <w:rPr>
                      <w:sz w:val="16"/>
                      <w:szCs w:val="16"/>
                    </w:rPr>
                    <m:t>Δ</m:t>
                  </m:r>
                </m:e>
              </m:acc>
              <m:r>
                <m:rPr>
                  <m:sty m:val="p"/>
                </m:rPr>
                <w:rPr>
                  <w:sz w:val="16"/>
                  <w:szCs w:val="16"/>
                </w:rPr>
                <m:t>)</m:t>
              </m:r>
            </m:oMath>
            <w:r>
              <w:rPr>
                <w:rFonts w:ascii="Times New Roman" w:hAnsi="Times New Roman"/>
                <w:i/>
                <w:iCs/>
                <w:sz w:val="15"/>
              </w:rPr>
              <w:t>):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All</w:t>
            </w:r>
            <w:r>
              <w:rPr>
                <w:rFonts w:ascii="Times New Roman" w:hAnsi="Times New Roman"/>
                <w:sz w:val="15"/>
              </w:rPr>
              <w:t xml:space="preserve"> </w:t>
            </w:r>
            <m:oMath>
              <m:r>
                <w:rPr>
                  <w:sz w:val="16"/>
                  <w:szCs w:val="16"/>
                </w:rPr>
                <m:t>N</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0.309</m:t>
              </m:r>
            </m:oMath>
            <w:r>
              <w:rPr>
                <w:rFonts w:ascii="Times New Roman" w:hAnsi="Times New Roman"/>
                <w:sz w:val="15"/>
              </w:rPr>
              <w:t>–</w:t>
            </w:r>
            <m:oMath>
              <m:r>
                <w:rPr>
                  <w:sz w:val="16"/>
                  <w:szCs w:val="16"/>
                </w:rPr>
                <m:t>0.356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0.313</m:t>
              </m:r>
            </m:oMath>
            <w:r>
              <w:rPr>
                <w:rFonts w:ascii="Times New Roman" w:hAnsi="Times New Roman"/>
                <w:sz w:val="15"/>
              </w:rPr>
              <w:t>–</w:t>
            </w:r>
            <m:oMath>
              <m:r>
                <w:rPr>
                  <w:sz w:val="16"/>
                  <w:szCs w:val="16"/>
                </w:rPr>
                <m:t>0.332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0.314</m:t>
              </m:r>
            </m:oMath>
            <w:r>
              <w:rPr>
                <w:rFonts w:ascii="Times New Roman" w:hAnsi="Times New Roman"/>
                <w:sz w:val="15"/>
              </w:rPr>
              <w:t>–</w:t>
            </w:r>
            <m:oMath>
              <m:r>
                <w:rPr>
                  <w:sz w:val="16"/>
                  <w:szCs w:val="16"/>
                </w:rPr>
                <m:t>0.353</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8"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0.326</m:t>
              </m:r>
            </m:oMath>
            <w:r>
              <w:rPr>
                <w:rFonts w:ascii="Times New Roman" w:hAnsi="Times New Roman"/>
                <w:sz w:val="15"/>
              </w:rPr>
              <w:t>–</w:t>
            </w:r>
            <m:oMath>
              <m:r>
                <w:rPr>
                  <w:sz w:val="16"/>
                  <w:szCs w:val="16"/>
                </w:rPr>
                <m:t>0.340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Cell Interval (</w:t>
            </w:r>
            <m:oMath>
              <m:acc>
                <m:accPr>
                  <m:chr m:val="̂"/>
                </m:accPr>
                <m:e>
                  <m:r>
                    <m:rPr>
                      <m:sty m:val="p"/>
                    </m:rPr>
                    <w:rPr>
                      <w:sz w:val="16"/>
                      <w:szCs w:val="16"/>
                    </w:rPr>
                    <m:t>Δ</m:t>
                  </m:r>
                </m:e>
              </m:acc>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oMath>
            <w:r>
              <w:rPr>
                <w:rFonts w:ascii="Times New Roman" w:hAnsi="Times New Roman"/>
                <w:i/>
                <w:iCs/>
                <w:sz w:val="15"/>
              </w:rPr>
              <w:t>): CellCov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0.313</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0.357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0.947</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0.325</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0.939</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Population Interval (</w:t>
            </w:r>
            <m:oMath>
              <m:acc>
                <m:accPr>
                  <m:chr m:val="̂"/>
                </m:accPr>
                <m:e>
                  <m:r>
                    <m:rPr>
                      <m:sty m:val="p"/>
                    </m:rPr>
                    <w:rPr>
                      <w:sz w:val="16"/>
                      <w:szCs w:val="16"/>
                    </w:rPr>
                    <m:t>Δ</m:t>
                  </m:r>
                </m:e>
              </m:acc>
              <m:r>
                <m:rPr>
                  <m:sty m:val="p"/>
                </m:rPr>
                <w:rPr>
                  <w:sz w:val="16"/>
                  <w:szCs w:val="16"/>
                </w:rPr>
                <m:t>±</m:t>
              </m:r>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r>
                <m:rPr>
                  <m:sty m:val="p"/>
                </m:rPr>
                <w:rPr>
                  <w:sz w:val="16"/>
                  <w:szCs w:val="16"/>
                </w:rPr>
                <m:t>+</m:t>
              </m:r>
              <m:r>
                <w:rPr>
                  <w:sz w:val="16"/>
                  <w:szCs w:val="16"/>
                </w:rPr>
                <m:t>b</m:t>
              </m:r>
              <m:r>
                <m:rPr>
                  <m:sty m:val="p"/>
                </m:rPr>
                <w:rPr>
                  <w:sz w:val="16"/>
                  <w:szCs w:val="16"/>
                </w:rPr>
                <m:t>)</m:t>
              </m:r>
            </m:oMath>
            <w:r>
              <w:rPr>
                <w:rFonts w:ascii="Times New Roman" w:hAnsi="Times New Roman"/>
                <w:i/>
                <w:iCs/>
                <w:sz w:val="15"/>
              </w:rPr>
              <w:t>): PopCov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0.342</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r>
    </w:tbl>
    <w:p>
      <w:pPr>
        <w:widowControl/>
      </w:pPr>
    </w:p>
    <w:p>
      <w:pPr>
        <w:pStyle w:val="TableCaption"/>
        <w:widowControl/>
      </w:pPr>
      <w:r>
        <w:t xml:space="preserve">Table 15. Synthetic population diagnostic under exact Bayes-optimal prediction (300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Entries report empirical Cell Coverage / Abstention rate. Across all 16 cells, the finite simulation observed empirical population inclusion of</w:t>
      </w:r>
      <w:r>
        <w:t xml:space="preserve"> </w:t>
      </w:r>
      <m:oMath>
        <m:r>
          <w:rPr>
            <w:sz w:val="17"/>
            <w:szCs w:val="17"/>
          </w:rPr>
          <m:t>1.000</m:t>
        </m:r>
      </m:oMath>
      <w:r>
        <w:t xml:space="preserve"> </w:t>
      </w:r>
      <w:r>
        <w:t xml:space="preserve">and wrong-direction error of</w:t>
      </w:r>
      <w:r>
        <w:t xml:space="preserve"> </w:t>
      </w:r>
      <m:oMath>
        <m:r>
          <w:rPr>
            <w:sz w:val="17"/>
            <w:szCs w:val="17"/>
          </w:rPr>
          <m:t>0.000</m:t>
        </m:r>
      </m:oMath>
      <w:r>
        <w:t xml:space="preserve">; this is not a universal coverage guarantee. Sampling radii:</w:t>
      </w:r>
      <w:r>
        <w:t xml:space="preserve"> </w:t>
      </w:r>
      <m:oMath>
        <m:r>
          <w:rPr>
            <w:sz w:val="17"/>
            <w:szCs w:val="17"/>
          </w:rPr>
          <m:t>b</m:t>
        </m:r>
        <m:r>
          <m:rPr>
            <m:sty m:val="p"/>
          </m:rPr>
          <w:rPr>
            <w:sz w:val="17"/>
            <w:szCs w:val="17"/>
          </w:rPr>
          <m:t>(</m:t>
        </m:r>
        <m:r>
          <w:rPr>
            <w:sz w:val="17"/>
            <w:szCs w:val="17"/>
          </w:rPr>
          <m:t>32</m:t>
        </m:r>
        <m:r>
          <m:rPr>
            <m:sty m:val="p"/>
          </m:rPr>
          <w:rPr>
            <w:sz w:val="17"/>
            <w:szCs w:val="17"/>
          </w:rPr>
          <m:t>)</m:t>
        </m:r>
        <m:r>
          <m:rPr>
            <m:sty m:val="p"/>
          </m:rPr>
          <w:rPr>
            <w:sz w:val="17"/>
            <w:szCs w:val="17"/>
          </w:rPr>
          <m:t>=</m:t>
        </m:r>
        <m:r>
          <w:rPr>
            <w:sz w:val="17"/>
            <w:szCs w:val="17"/>
          </w:rPr>
          <m:t>0.4802</m:t>
        </m:r>
      </m:oMath>
      <w:r>
        <w:t xml:space="preserve">,</w:t>
      </w:r>
      <w:r>
        <w:t xml:space="preserve"> </w:t>
      </w:r>
      <m:oMath>
        <m:r>
          <w:rPr>
            <w:sz w:val="17"/>
            <w:szCs w:val="17"/>
          </w:rPr>
          <m:t>b</m:t>
        </m:r>
        <m:r>
          <m:rPr>
            <m:sty m:val="p"/>
          </m:rPr>
          <w:rPr>
            <w:sz w:val="17"/>
            <w:szCs w:val="17"/>
          </w:rPr>
          <m:t>(</m:t>
        </m:r>
        <m:r>
          <w:rPr>
            <w:sz w:val="17"/>
            <w:szCs w:val="17"/>
          </w:rPr>
          <m:t>128</m:t>
        </m:r>
        <m:r>
          <m:rPr>
            <m:sty m:val="p"/>
          </m:rPr>
          <w:rPr>
            <w:sz w:val="17"/>
            <w:szCs w:val="17"/>
          </w:rPr>
          <m:t>)</m:t>
        </m:r>
        <m:r>
          <m:rPr>
            <m:sty m:val="p"/>
          </m:rPr>
          <w:rPr>
            <w:sz w:val="17"/>
            <w:szCs w:val="17"/>
          </w:rPr>
          <m:t>=</m:t>
        </m:r>
        <m:r>
          <w:rPr>
            <w:sz w:val="17"/>
            <w:szCs w:val="17"/>
          </w:rPr>
          <m:t>0.2401</m:t>
        </m:r>
      </m:oMath>
      <w:r>
        <w:t xml:space="preserve">,</w:t>
      </w:r>
      <w:r>
        <w:t xml:space="preserve"> </w:t>
      </w:r>
      <m:oMath>
        <m:r>
          <w:rPr>
            <w:sz w:val="17"/>
            <w:szCs w:val="17"/>
          </w:rPr>
          <m:t>b</m:t>
        </m:r>
        <m:r>
          <m:rPr>
            <m:sty m:val="p"/>
          </m:rPr>
          <w:rPr>
            <w:sz w:val="17"/>
            <w:szCs w:val="17"/>
          </w:rPr>
          <m:t>(</m:t>
        </m:r>
        <m:r>
          <w:rPr>
            <w:sz w:val="17"/>
            <w:szCs w:val="17"/>
          </w:rPr>
          <m:t>512</m:t>
        </m:r>
        <m:r>
          <m:rPr>
            <m:sty m:val="p"/>
          </m:rPr>
          <w:rPr>
            <w:sz w:val="17"/>
            <w:szCs w:val="17"/>
          </w:rPr>
          <m:t>)</m:t>
        </m:r>
        <m:r>
          <m:rPr>
            <m:sty m:val="p"/>
          </m:rPr>
          <w:rPr>
            <w:sz w:val="17"/>
            <w:szCs w:val="17"/>
          </w:rPr>
          <m:t>=</m:t>
        </m:r>
        <m:r>
          <w:rPr>
            <w:sz w:val="17"/>
            <w:szCs w:val="17"/>
          </w:rPr>
          <m:t>0.1200</m:t>
        </m:r>
      </m:oMath>
      <w:r>
        <w:t xml:space="preserve">,</w:t>
      </w:r>
      <w:r>
        <w:t xml:space="preserve"> </w:t>
      </w:r>
      <m:oMath>
        <m:r>
          <w:rPr>
            <w:sz w:val="17"/>
            <w:szCs w:val="17"/>
          </w:rPr>
          <m:t>b</m:t>
        </m:r>
        <m:r>
          <m:rPr>
            <m:sty m:val="p"/>
          </m:rPr>
          <w:rPr>
            <w:sz w:val="17"/>
            <w:szCs w:val="17"/>
          </w:rPr>
          <m:t>(</m:t>
        </m:r>
        <m:r>
          <w:rPr>
            <w:sz w:val="17"/>
            <w:szCs w:val="17"/>
          </w:rPr>
          <m:t>2048</m:t>
        </m:r>
        <m:r>
          <m:rPr>
            <m:sty m:val="p"/>
          </m:rPr>
          <w:rPr>
            <w:sz w:val="17"/>
            <w:szCs w:val="17"/>
          </w:rPr>
          <m:t>)</m:t>
        </m:r>
        <m:r>
          <m:rPr>
            <m:sty m:val="p"/>
          </m:rPr>
          <w:rPr>
            <w:sz w:val="17"/>
            <w:szCs w:val="17"/>
          </w:rPr>
          <m:t>=</m:t>
        </m:r>
        <m:r>
          <w:rPr>
            <w:sz w:val="17"/>
            <w:szCs w:val="17"/>
          </w:rP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94"/>
    <w:bookmarkStart w:id="95"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w:rPr>
                  <w:sz w:val="17"/>
                  <w:szCs w:val="17"/>
                </w:rP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w:rPr>
                  <w:sz w:val="17"/>
                  <w:szCs w:val="17"/>
                </w:rP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0.0519</m:t>
              </m:r>
            </m:oMath>
            <w:r>
              <w:rPr>
                <w:rFonts w:ascii="Times New Roman" w:hAnsi="Times New Roman"/>
                <w:sz w:val="16"/>
              </w:rPr>
              <w:t xml:space="preserve"> </w:t>
            </w:r>
            <w:r>
              <w:rPr>
                <w:rFonts w:ascii="Times New Roman" w:hAnsi="Times New Roman"/>
                <w:sz w:val="16"/>
              </w:rPr>
              <w:t>[</w:t>
            </w:r>
            <m:oMath>
              <m:r>
                <w:rPr>
                  <w:sz w:val="17"/>
                  <w:szCs w:val="17"/>
                </w:rPr>
                <m:t>0.0331</m:t>
              </m:r>
            </m:oMath>
            <w:r>
              <w:rPr>
                <w:rFonts w:ascii="Times New Roman" w:hAnsi="Times New Roman"/>
                <w:sz w:val="16"/>
              </w:rPr>
              <w:t>,</w:t>
            </w:r>
            <w:r>
              <w:rPr>
                <w:rFonts w:ascii="Times New Roman" w:hAnsi="Times New Roman"/>
                <w:sz w:val="16"/>
              </w:rPr>
              <w:t xml:space="preserve"> </w:t>
            </w:r>
            <m:oMath>
              <m:r>
                <w:rPr>
                  <w:sz w:val="17"/>
                  <w:szCs w:val="17"/>
                </w:rP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0.0292</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0.1184</m:t>
              </m:r>
            </m:oMath>
            <w:r>
              <w:rPr>
                <w:rFonts w:ascii="Times New Roman" w:hAnsi="Times New Roman"/>
                <w:sz w:val="16"/>
              </w:rPr>
              <w:t xml:space="preserve"> </w:t>
            </w:r>
            <w:r>
              <w:rPr>
                <w:rFonts w:ascii="Times New Roman" w:hAnsi="Times New Roman"/>
                <w:sz w:val="16"/>
              </w:rPr>
              <w:t>[</w:t>
            </w:r>
            <m:oMath>
              <m:r>
                <w:rPr>
                  <w:sz w:val="17"/>
                  <w:szCs w:val="17"/>
                </w:rPr>
                <m:t>0.0365</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0.0665</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11"/>
        <w:gridCol w:w="1786"/>
        <w:gridCol w:w="2032"/>
        <w:gridCol w:w="1914"/>
        <w:gridCol w:w="938"/>
        <w:gridCol w:w="2079"/>
      </w:tblGrid>
      <w:tr>
        <w:trPr>
          <w:tblHeader w:val="true"/>
          <w:cantSplit w:val="true"/>
        </w:trPr>
        <w:tc>
          <w:tcPr>
            <w:tcW w:w="12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7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compound</w:t>
            </w:r>
          </w:p>
        </w:tc>
        <w:tc>
          <w:tcPr>
            <w:tcW w:w="20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19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A / F / U</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m:rPr>
                      <m:sty m:val="p"/>
                    </m:rPr>
                    <w:rPr>
                      <w:sz w:val="16"/>
                      <w:szCs w:val="16"/>
                    </w:rPr>
                    <m:t>u</m:t>
                  </m:r>
                </m:sub>
              </m:sSub>
            </m:oMath>
          </w:p>
        </w:tc>
        <w:tc>
          <w:tcPr>
            <w:tcW w:w="20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Population truth</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 / 0 / 18</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 / 0 / 35</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16</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0 / 36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 / 11 / 23</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10 / 26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78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9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07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95"/>
    <w:bookmarkEnd w:id="96"/>
    <w:bookmarkEnd w:id="97"/>
    <w:bookmarkStart w:id="130"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8"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w:rPr>
            <w:sz w:val="17"/>
            <w:szCs w:val="17"/>
          </w:rPr>
          <m:t>n</m:t>
        </m:r>
        <m:r>
          <m:rPr>
            <m:sty m:val="p"/>
          </m:rPr>
          <w:rPr>
            <w:sz w:val="17"/>
            <w:szCs w:val="17"/>
          </w:rPr>
          <m:t>=</m:t>
        </m:r>
        <m:r>
          <w:rPr>
            <w:sz w:val="17"/>
            <w:szCs w:val="17"/>
          </w:rP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8"/>
    <w:bookmarkStart w:id="99"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9"/>
    <w:bookmarkStart w:id="112"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100"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100"/>
    <w:bookmarkStart w:id="101"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w:rPr>
            <w:sz w:val="17"/>
            <w:szCs w:val="17"/>
          </w:rP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w:rPr>
                  <w:sz w:val="16"/>
                  <w:szCs w:val="16"/>
                </w:rP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w:rPr>
            <w:sz w:val="17"/>
            <w:szCs w:val="17"/>
          </w:rPr>
          <m:t>{</m:t>
        </m:r>
        <m:r>
          <w:rPr>
            <w:sz w:val="17"/>
            <w:szCs w:val="17"/>
          </w:rPr>
          <m:t>16</m:t>
        </m:r>
        <m:r>
          <m:rPr>
            <m:sty m:val="p"/>
          </m:rPr>
          <w:rPr>
            <w:sz w:val="17"/>
            <w:szCs w:val="17"/>
          </w:rPr>
          <m:t>,</m:t>
        </m:r>
        <m:r>
          <w:rPr>
            <w:sz w:val="17"/>
            <w:szCs w:val="17"/>
          </w:rPr>
          <m:t>32</m:t>
        </m:r>
        <m:r>
          <m:rPr>
            <m:sty m:val="p"/>
          </m:rPr>
          <w:rPr>
            <w:sz w:val="17"/>
            <w:szCs w:val="17"/>
          </w:rPr>
          <m:t>,</m:t>
        </m:r>
        <m:r>
          <w:rPr>
            <w:sz w:val="17"/>
            <w:szCs w:val="17"/>
          </w:rPr>
          <m:t>64</m:t>
        </m:r>
        <m:r>
          <m:rPr>
            <m:sty m:val="p"/>
          </m:rPr>
          <w:rPr>
            <w:sz w:val="17"/>
            <w:szCs w:val="17"/>
          </w:rPr>
          <m:t>}</m:t>
        </m:r>
      </m:oMath>
      <w:r>
        <w:t xml:space="preserve"> </w:t>
      </w:r>
      <w:r>
        <w:t xml:space="preserve">[3 sizes], evaluated across 2 distinct sample windows per condition:</w:t>
      </w:r>
      <w:r>
        <w:t xml:space="preserve"> </w:t>
      </w:r>
      <m:oMath>
        <m:r>
          <w:rPr>
            <w:sz w:val="17"/>
            <w:szCs w:val="17"/>
          </w:rPr>
          <m:t>2</m:t>
        </m:r>
        <m:r>
          <m:rPr>
            <m:sty m:val="p"/>
          </m:rPr>
          <w:rPr>
            <w:sz w:val="17"/>
            <w:szCs w:val="17"/>
          </w:rPr>
          <m:t>×</m:t>
        </m:r>
        <m:r>
          <w:rPr>
            <w:sz w:val="17"/>
            <w:szCs w:val="17"/>
          </w:rPr>
          <m:t>5</m:t>
        </m:r>
        <m:r>
          <m:rPr>
            <m:sty m:val="p"/>
          </m:rPr>
          <w:rPr>
            <w:sz w:val="17"/>
            <w:szCs w:val="17"/>
          </w:rPr>
          <m:t>×</m:t>
        </m:r>
        <m:r>
          <w:rPr>
            <w:sz w:val="17"/>
            <w:szCs w:val="17"/>
          </w:rPr>
          <m:t>3</m:t>
        </m:r>
        <m:r>
          <m:rPr>
            <m:sty m:val="p"/>
          </m:rPr>
          <w:rPr>
            <w:sz w:val="17"/>
            <w:szCs w:val="17"/>
          </w:rPr>
          <m:t>×</m:t>
        </m:r>
        <m:r>
          <w:rPr>
            <w:sz w:val="17"/>
            <w:szCs w:val="17"/>
          </w:rPr>
          <m:t>2</m:t>
        </m:r>
        <m:r>
          <m:rPr>
            <m:sty m:val="p"/>
          </m:rPr>
          <w:rPr>
            <w:sz w:val="17"/>
            <w:szCs w:val="17"/>
          </w:rPr>
          <m:t>=</m:t>
        </m:r>
        <m:r>
          <w:rPr>
            <w:sz w:val="17"/>
            <w:szCs w:val="17"/>
          </w:rP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w:rPr>
                  <w:sz w:val="15"/>
                  <w:szCs w:val="15"/>
                </w:rPr>
                <m:t>4</m:t>
              </m:r>
              <m:r>
                <m:rPr>
                  <m:sty m:val="p"/>
                </m:rPr>
                <w:rPr>
                  <w:sz w:val="15"/>
                  <w:szCs w:val="15"/>
                </w:rPr>
                <m:t>×</m:t>
              </m:r>
              <m:sSup>
                <m:e>
                  <m:r>
                    <w:rPr>
                      <w:sz w:val="15"/>
                      <w:szCs w:val="15"/>
                    </w:rPr>
                    <m:t>10</m:t>
                  </m:r>
                </m:e>
                <m:sup>
                  <m:r>
                    <m:rPr>
                      <m:sty m:val="p"/>
                    </m:rPr>
                    <w:rPr>
                      <w:sz w:val="15"/>
                      <w:szCs w:val="15"/>
                    </w:rPr>
                    <m:t>−</m:t>
                  </m:r>
                  <m:r>
                    <w:rPr>
                      <w:sz w:val="15"/>
                      <w:szCs w:val="15"/>
                    </w:rP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101"/>
    <w:bookmarkStart w:id="102"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w:rPr>
            <w:sz w:val="17"/>
            <w:szCs w:val="17"/>
          </w:rPr>
          <m:t>η</m:t>
        </m:r>
        <m:r>
          <m:rPr>
            <m:sty m:val="p"/>
          </m:rPr>
          <w:rPr>
            <w:sz w:val="17"/>
            <w:szCs w:val="17"/>
          </w:rPr>
          <m:t>=</m:t>
        </m:r>
        <m:r>
          <w:rPr>
            <w:sz w:val="17"/>
            <w:szCs w:val="17"/>
          </w:rPr>
          <m:t>2.5</m:t>
        </m:r>
        <m:r>
          <m:rPr>
            <m:sty m:val="p"/>
          </m:rPr>
          <w:rPr>
            <w:sz w:val="17"/>
            <w:szCs w:val="17"/>
          </w:rPr>
          <m:t>×</m:t>
        </m:r>
        <m:sSup>
          <m:e>
            <m:r>
              <w:rPr>
                <w:sz w:val="17"/>
                <w:szCs w:val="17"/>
              </w:rPr>
              <m:t>10</m:t>
            </m:r>
          </m:e>
          <m:sup>
            <m:r>
              <m:rPr>
                <m:sty m:val="p"/>
              </m:rPr>
              <w:rPr>
                <w:sz w:val="17"/>
                <w:szCs w:val="17"/>
              </w:rPr>
              <m:t>−</m:t>
            </m:r>
            <m:r>
              <w:rPr>
                <w:sz w:val="17"/>
                <w:szCs w:val="17"/>
              </w:rPr>
              <m:t>4</m:t>
            </m:r>
          </m:sup>
        </m:sSup>
      </m:oMath>
      <w:r>
        <w:t xml:space="preserve"> </w:t>
      </w:r>
      <w:r>
        <w:t xml:space="preserve">and layers 1–3 affine; 3 corruptions</w:t>
      </w:r>
      <w:r>
        <w:t xml:space="preserve"> </w:t>
      </w:r>
      <m:oMath>
        <m:r>
          <m:rPr>
            <m:sty m:val="p"/>
          </m:rPr>
          <w:rPr>
            <w:sz w:val="17"/>
            <w:szCs w:val="17"/>
          </w:rPr>
          <m:t>×</m:t>
        </m:r>
      </m:oMath>
      <w:r>
        <w:t xml:space="preserve"> </w:t>
      </w:r>
      <w:r>
        <w:t xml:space="preserve">3 severities</w:t>
      </w:r>
      <w:r>
        <w:t xml:space="preserve"> </w:t>
      </w:r>
      <m:oMath>
        <m:r>
          <m:rPr>
            <m:sty m:val="p"/>
          </m:rPr>
          <w:rPr>
            <w:sz w:val="17"/>
            <w:szCs w:val="17"/>
          </w:rPr>
          <m:t>×</m:t>
        </m:r>
      </m:oMath>
      <w:r>
        <w:t xml:space="preserve"> </w:t>
      </w:r>
      <w:r>
        <w:t xml:space="preserve">3 compositions</w:t>
      </w:r>
      <w:r>
        <w:t xml:space="preserve"> </w:t>
      </w:r>
      <m:oMath>
        <m:r>
          <m:rPr>
            <m:sty m:val="p"/>
          </m:rPr>
          <w:rPr>
            <w:sz w:val="17"/>
            <w:szCs w:val="17"/>
          </w:rPr>
          <m:t>=</m:t>
        </m:r>
        <m:r>
          <w:rPr>
            <w:sz w:val="17"/>
            <w:szCs w:val="17"/>
          </w:rPr>
          <m:t>27</m:t>
        </m:r>
      </m:oMath>
      <w:r>
        <w:t xml:space="preserve"> </w:t>
      </w:r>
      <w:r>
        <w:t xml:space="preserve">cells; small batch regime, 25 helpful</w:t>
      </w:r>
      <w:r>
        <w:t xml:space="preserve"> </w:t>
      </w:r>
      <m:oMath>
        <m:r>
          <w:rPr>
            <w:sz w:val="17"/>
            <w:szCs w:val="17"/>
          </w:rPr>
          <m:t>B</m:t>
        </m:r>
        <m:r>
          <m:rPr>
            <m:sty m:val="p"/>
          </m:rPr>
          <w:rPr>
            <w:sz w:val="17"/>
            <w:szCs w:val="17"/>
          </w:rPr>
          <m:t>&gt;</m:t>
        </m:r>
        <m:r>
          <w:rPr>
            <w:sz w:val="17"/>
            <w:szCs w:val="17"/>
          </w:rPr>
          <m:t>0</m:t>
        </m:r>
      </m:oMath>
      <w:r>
        <w:t xml:space="preserve">, 0 harmful</w:t>
      </w:r>
      <w:r>
        <w:t xml:space="preserve"> </w:t>
      </w:r>
      <m:oMath>
        <m:r>
          <w:rPr>
            <w:sz w:val="17"/>
            <w:szCs w:val="17"/>
          </w:rPr>
          <m:t>B</m:t>
        </m:r>
        <m:r>
          <m:rPr>
            <m:sty m:val="p"/>
          </m:rPr>
          <w:rPr>
            <w:sz w:val="17"/>
            <w:szCs w:val="17"/>
          </w:rPr>
          <m:t>&lt;</m:t>
        </m:r>
        <m:r>
          <w:rPr>
            <w:sz w:val="17"/>
            <w:szCs w:val="17"/>
          </w:rPr>
          <m:t>0</m:t>
        </m:r>
      </m:oMath>
      <w:r>
        <w:t xml:space="preserve">, 2 neutral</w:t>
      </w:r>
      <w:r>
        <w:t xml:space="preserve"> </w:t>
      </w:r>
      <m:oMath>
        <m:r>
          <w:rPr>
            <w:sz w:val="17"/>
            <w:szCs w:val="17"/>
          </w:rPr>
          <m:t>B</m:t>
        </m:r>
        <m:r>
          <m:rPr>
            <m:sty m:val="p"/>
          </m:rPr>
          <w:rPr>
            <w:sz w:val="17"/>
            <w:szCs w:val="17"/>
          </w:rPr>
          <m:t>=</m:t>
        </m:r>
        <m:r>
          <w:rPr>
            <w:sz w:val="17"/>
            <w:szCs w:val="17"/>
          </w:rPr>
          <m:t>0</m:t>
        </m:r>
      </m:oMath>
      <w:r>
        <w:t xml:space="preserve">). This replay does not repair upstream BatchNorm behavior. Clean Cross-Fit KGA uses Protocol B (5-fold outcome-disjoint cross-fitting,</w:t>
      </w:r>
      <w:r>
        <w:t xml:space="preserve"> </w:t>
      </w:r>
      <m:oMath>
        <m:r>
          <w:rPr>
            <w:sz w:val="17"/>
            <w:szCs w:val="17"/>
          </w:rPr>
          <m:t>α</m:t>
        </m:r>
        <m:r>
          <m:rPr>
            <m:sty m:val="p"/>
          </m:rPr>
          <w:rPr>
            <w:sz w:val="17"/>
            <w:szCs w:val="17"/>
          </w:rPr>
          <m:t>=</m:t>
        </m:r>
        <m:r>
          <w:rPr>
            <w:sz w:val="17"/>
            <w:szCs w:val="17"/>
          </w:rPr>
          <m:t>0.10</m:t>
        </m:r>
      </m:oMath>
      <w:r>
        <w:t xml:space="preserve">); Historical LOO KGA uses Protocol A (leave-one-cell-out exact rank,</w:t>
      </w:r>
      <w:r>
        <w:t xml:space="preserve"> </w:t>
      </w:r>
      <m:oMath>
        <m:r>
          <w:rPr>
            <w:sz w:val="17"/>
            <w:szCs w:val="17"/>
          </w:rPr>
          <m:t>α</m:t>
        </m:r>
        <m:r>
          <m:rPr>
            <m:sty m:val="p"/>
          </m:rPr>
          <w:rPr>
            <w:sz w:val="17"/>
            <w:szCs w:val="17"/>
          </w:rPr>
          <m:t>=</m:t>
        </m:r>
        <m:r>
          <w:rPr>
            <w:sz w:val="17"/>
            <w:szCs w:val="17"/>
          </w:rPr>
          <m:t>0.10</m:t>
        </m:r>
      </m:oMath>
      <w:r>
        <w:t xml:space="preser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Helpful Captured is the fraction of the 25 helpful cells (</w:t>
      </w:r>
      <m:oMath>
        <m:r>
          <w:rPr>
            <w:sz w:val="17"/>
            <w:szCs w:val="17"/>
          </w:rPr>
          <m:t>B</m:t>
        </m:r>
        <m:r>
          <m:rPr>
            <m:sty m:val="p"/>
          </m:rPr>
          <w:rPr>
            <w:sz w:val="17"/>
            <w:szCs w:val="17"/>
          </w:rPr>
          <m:t>&gt;</m:t>
        </m:r>
        <m:r>
          <w:rPr>
            <w:sz w:val="17"/>
            <w:szCs w:val="17"/>
          </w:rPr>
          <m:t>0</m:t>
        </m:r>
      </m:oMath>
      <w:r>
        <w:t xml:space="preserve">) receiving ADAPT. Baseline accuracy</w:t>
      </w:r>
      <w:r>
        <w:t xml:space="preserve"> </w:t>
      </w:r>
      <m:oMath>
        <m:sSub>
          <m:e>
            <m:r>
              <w:rPr>
                <w:sz w:val="17"/>
                <w:szCs w:val="17"/>
              </w:rPr>
              <m:t>a</m:t>
            </m:r>
          </m:e>
          <m:sub>
            <m:r>
              <w:rPr>
                <w:sz w:val="17"/>
                <w:szCs w:val="17"/>
              </w:rPr>
              <m:t>0</m:t>
            </m:r>
          </m:sub>
        </m:sSub>
        <m:r>
          <m:rPr>
            <m:sty m:val="p"/>
          </m:rPr>
          <w:rPr>
            <w:sz w:val="17"/>
            <w:szCs w:val="17"/>
          </w:rPr>
          <m:t>=</m:t>
        </m:r>
        <m:r>
          <w:rPr>
            <w:sz w:val="17"/>
            <w:szCs w:val="17"/>
          </w:rP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provides formal pipeline verification;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102"/>
    <w:bookmarkStart w:id="103"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103"/>
    <w:bookmarkStart w:id="104" w:name="X533045f3cd51dfa9b85d24538624a6fd2ce5462"/>
    <w:p>
      <w:pPr>
        <w:pStyle w:val="Heading3"/>
        <w:keepNext/>
        <w:widowControl/>
        <w:spacing w:before="100" w:after="20" w:line="252" w:lineRule="auto"/>
      </w:pPr>
      <w:r>
        <w:rPr>
          <w:rFonts w:ascii="Times New Roman" w:hAnsi="Times New Roman" w:eastAsia="Times New Roman" w:cs="Times New Roman"/>
          <w:b/>
          <w:sz w:val="19"/>
        </w:rPr>
        <w:t xml:space="preserve">Five-Arm Matched SAR Control Study and Provenance Scope.</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widowControl/>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w:rPr>
            <w:sz w:val="17"/>
            <w:szCs w:val="17"/>
          </w:rPr>
          <m:t>η</m:t>
        </m:r>
      </m:oMath>
      <w:r>
        <w:t xml:space="preserve"> </w:t>
      </w:r>
      <w:r>
        <w:t xml:space="preserve">and parameter mask (with layer 4 frozen vs adapted) on a shared 27-condition ImageNet-C noise panel (</w:t>
      </w:r>
      <m:oMath>
        <m:r>
          <w:rPr>
            <w:sz w:val="17"/>
            <w:szCs w:val="17"/>
          </w:rPr>
          <m:t>n</m:t>
        </m:r>
        <m:r>
          <m:rPr>
            <m:sty m:val="p"/>
          </m:rPr>
          <w:rPr>
            <w:sz w:val="17"/>
            <w:szCs w:val="17"/>
          </w:rPr>
          <m:t>=</m:t>
        </m:r>
        <m:r>
          <w:rPr>
            <w:sz w:val="17"/>
            <w:szCs w:val="17"/>
          </w:rPr>
          <m:t>27</m:t>
        </m:r>
      </m:oMath>
      <w:r>
        <w:t xml:space="preserve"> </w:t>
      </w:r>
      <w:r>
        <w:t xml:space="preserve">cells, ResNet-50 source checkpoint, small batch regime</w:t>
      </w:r>
      <w:r>
        <w:t xml:space="preserve"> </w:t>
      </w:r>
      <m:oMath>
        <m:r>
          <w:rPr>
            <w:sz w:val="17"/>
            <w:szCs w:val="17"/>
          </w:rPr>
          <m:t>b</m:t>
        </m:r>
        <m:r>
          <m:rPr>
            <m:sty m:val="p"/>
          </m:rPr>
          <w:rPr>
            <w:sz w:val="17"/>
            <w:szCs w:val="17"/>
          </w:rPr>
          <m:t>=</m:t>
        </m:r>
        <m:r>
          <w:rPr>
            <w:sz w:val="17"/>
            <w:szCs w:val="17"/>
          </w:rPr>
          <m:t>16</m:t>
        </m:r>
      </m:oMath>
      <w:r>
        <w:t xml:space="preserve">, seed 0). Candidate accuracy</w:t>
      </w:r>
      <w:r>
        <w:t xml:space="preserve"> </w:t>
      </w:r>
      <m:oMath>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oMath>
      <w:r>
        <w:t xml:space="preserve">, benefit</w:t>
      </w:r>
      <w:r>
        <w:t xml:space="preserve"> </w:t>
      </w:r>
      <m:oMath>
        <m:r>
          <m:rPr>
            <m:sty m:val="p"/>
          </m:rPr>
          <w:rPr>
            <w:sz w:val="17"/>
            <w:szCs w:val="17"/>
          </w:rPr>
          <m:t>Δ</m:t>
        </m:r>
        <m:r>
          <m:rPr>
            <m:sty m:val="p"/>
          </m:rPr>
          <w:rPr>
            <w:sz w:val="17"/>
            <w:szCs w:val="17"/>
          </w:rPr>
          <m:t>=</m:t>
        </m:r>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r>
          <m:rPr>
            <m:sty m:val="p"/>
          </m:rPr>
          <w:rPr>
            <w:sz w:val="17"/>
            <w:szCs w:val="17"/>
          </w:rPr>
          <m:t>−</m:t>
        </m:r>
        <m:sSub>
          <m:e>
            <m:r>
              <w:rPr>
                <w:sz w:val="17"/>
                <w:szCs w:val="17"/>
              </w:rPr>
              <m:t>a</m:t>
            </m:r>
          </m:e>
          <m:sub>
            <m:r>
              <w:rPr>
                <w:sz w:val="17"/>
                <w:szCs w:val="17"/>
              </w:rPr>
              <m:t>0</m:t>
            </m:r>
          </m:sub>
        </m:sSub>
      </m:oMath>
      <w:r>
        <w:t xml:space="preserve">, parameter update norm</w:t>
      </w:r>
      <w:r>
        <w:t xml:space="preserve"> </w:t>
      </w:r>
      <m:oMath>
        <m:r>
          <m:rPr>
            <m:sty m:val="p"/>
          </m:rPr>
          <w:rPr>
            <w:sz w:val="17"/>
            <w:szCs w:val="17"/>
          </w:rPr>
          <m:t>∥</m:t>
        </m:r>
        <m:r>
          <m:rPr>
            <m:sty m:val="p"/>
          </m:rPr>
          <w:rPr>
            <w:sz w:val="17"/>
            <w:szCs w:val="17"/>
          </w:rPr>
          <m:t>Δ</m:t>
        </m:r>
        <m:r>
          <w:rPr>
            <w:sz w:val="17"/>
            <w:szCs w:val="17"/>
          </w:rPr>
          <m:t>θ</m:t>
        </m:r>
        <m:sSub>
          <m:e>
            <m:r>
              <m:rPr>
                <m:sty m:val="p"/>
              </m:rPr>
              <w:rPr>
                <w:sz w:val="17"/>
                <w:szCs w:val="17"/>
              </w:rPr>
              <m:t>∥</m:t>
            </m:r>
          </m:e>
          <m:sub>
            <m:r>
              <w:rPr>
                <w:sz w:val="17"/>
                <w:szCs w:val="17"/>
              </w:rPr>
              <m:t>2</m:t>
            </m:r>
          </m:sub>
        </m:sSub>
      </m:oMath>
      <w:r>
        <w:t xml:space="preserve">, Protocol B KGA routed accuracy</w:t>
      </w:r>
      <w:r>
        <w:t xml:space="preserve"> </w:t>
      </w:r>
      <m:oMath>
        <m:sSub>
          <m:e>
            <m:r>
              <w:rPr>
                <w:sz w:val="17"/>
                <w:szCs w:val="17"/>
              </w:rPr>
              <m:t>a</m:t>
            </m:r>
          </m:e>
          <m:sub>
            <m:r>
              <m:rPr>
                <m:sty m:val="p"/>
              </m:rPr>
              <w:rPr>
                <w:sz w:val="17"/>
                <w:szCs w:val="17"/>
              </w:rPr>
              <m:t>K</m:t>
            </m:r>
            <m:r>
              <m:rPr>
                <m:sty m:val="p"/>
              </m:rPr>
              <w:rPr>
                <w:sz w:val="17"/>
                <w:szCs w:val="17"/>
              </w:rPr>
              <m:t>G</m:t>
            </m:r>
            <m:r>
              <m:rPr>
                <m:sty m:val="p"/>
              </m:rPr>
              <w:rPr>
                <w:sz w:val="17"/>
                <w:szCs w:val="17"/>
              </w:rPr>
              <m:t>A</m:t>
            </m:r>
          </m:sub>
        </m:sSub>
      </m:oMath>
      <w:r>
        <w:t xml:space="preserve">, oracle regret</w:t>
      </w:r>
      <w:r>
        <w:t xml:space="preserve"> </w:t>
      </w:r>
      <m:oMath>
        <m:sSub>
          <m:e>
            <m:r>
              <w:rPr>
                <w:sz w:val="17"/>
                <w:szCs w:val="17"/>
              </w:rPr>
              <m:t>R</m:t>
            </m:r>
          </m:e>
          <m:sub>
            <m:r>
              <m:rPr>
                <m:sty m:val="p"/>
              </m:rPr>
              <w:rPr>
                <w:sz w:val="17"/>
                <w:szCs w:val="17"/>
              </w:rPr>
              <m:t>K</m:t>
            </m:r>
            <m:r>
              <m:rPr>
                <m:sty m:val="p"/>
              </m:rPr>
              <w:rPr>
                <w:sz w:val="17"/>
                <w:szCs w:val="17"/>
              </w:rPr>
              <m:t>G</m:t>
            </m:r>
            <m:r>
              <m:rPr>
                <m:sty m:val="p"/>
              </m:rPr>
              <w:rPr>
                <w:sz w:val="17"/>
                <w:szCs w:val="17"/>
              </w:rPr>
              <m:t>A</m:t>
            </m:r>
          </m:sub>
        </m:sSub>
      </m:oMath>
      <w:r>
        <w:t xml:space="preserve">, unconditional false adapt rate</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and decision counts (Adapt / Freeze / Abstain) under exact rank conformal routing (</w:t>
      </w:r>
      <m:oMath>
        <m:r>
          <w:rPr>
            <w:sz w:val="17"/>
            <w:szCs w:val="17"/>
          </w:rPr>
          <m:t>α</m:t>
        </m:r>
        <m:r>
          <m:rPr>
            <m:sty m:val="p"/>
          </m:rPr>
          <w:rPr>
            <w:sz w:val="17"/>
            <w:szCs w:val="17"/>
          </w:rPr>
          <m:t>=</m:t>
        </m:r>
        <m:r>
          <w:rPr>
            <w:sz w:val="17"/>
            <w:szCs w:val="17"/>
          </w:rPr>
          <m:t>0.10</m:t>
        </m:r>
        <m:r>
          <m:rPr>
            <m:sty m:val="p"/>
          </m:rPr>
          <w:rPr>
            <w:sz w:val="17"/>
            <w:szCs w:val="17"/>
          </w:rPr>
          <m:t>,</m:t>
        </m:r>
        <m:r>
          <w:rPr>
            <w:sz w:val="17"/>
            <w:szCs w:val="17"/>
          </w:rPr>
          <m:t>τ</m:t>
        </m:r>
        <m:r>
          <m:rPr>
            <m:sty m:val="p"/>
          </m:rPr>
          <w:rPr>
            <w:sz w:val="17"/>
            <w:szCs w:val="17"/>
          </w:rPr>
          <m:t>=</m:t>
        </m:r>
        <m:r>
          <w:rPr>
            <w:sz w:val="17"/>
            <w:szCs w:val="17"/>
          </w:rPr>
          <m:t>0</m:t>
        </m:r>
      </m:oMath>
      <w:r>
        <w:t xml:space="preserve">). Always Freeze regret is</w:t>
      </w:r>
      <w:r>
        <w:t xml:space="preserve"> </w:t>
      </w:r>
      <m:oMath>
        <m:r>
          <w:rPr>
            <w:sz w:val="17"/>
            <w:szCs w:val="17"/>
          </w:rPr>
          <m:t>3.30</m:t>
        </m:r>
      </m:oMath>
      <w:r>
        <w:t xml:space="preserve">–</w:t>
      </w:r>
      <m:oMath>
        <m:r>
          <w:rPr>
            <w:sz w:val="17"/>
            <w:szCs w:val="17"/>
          </w:rPr>
          <m:t>3.31</m:t>
        </m:r>
        <m:r>
          <w:rPr>
            <w:sz w:val="17"/>
            <w:szCs w:val="17"/>
          </w:rPr>
          <m:t> </m:t>
        </m:r>
        <m:r>
          <m:rPr>
            <m:nor/>
            <m:sty m:val="p"/>
          </m:rPr>
          <w:rPr>
            <w:sz w:val="17"/>
            <w:szCs w:val="17"/>
          </w:rPr>
          <m:t>pp</m:t>
        </m:r>
      </m:oMath>
      <w:r>
        <w:t xml:space="preserve"> </w:t>
      </w:r>
      <w:r>
        <w:t xml:space="preserve">across arms (</w:t>
      </w:r>
      <m:oMath>
        <m:r>
          <w:rPr>
            <w:sz w:val="17"/>
            <w:szCs w:val="17"/>
          </w:rPr>
          <m:t>3.30</m:t>
        </m:r>
        <m:r>
          <w:rPr>
            <w:sz w:val="17"/>
            <w:szCs w:val="17"/>
          </w:rPr>
          <m:t> </m:t>
        </m:r>
        <m:r>
          <m:rPr>
            <m:nor/>
            <m:sty m:val="p"/>
          </m:rPr>
          <w:rPr>
            <w:sz w:val="17"/>
            <w:szCs w:val="17"/>
          </w:rPr>
          <m:t>pp</m:t>
        </m:r>
      </m:oMath>
      <w:r>
        <w:t xml:space="preserve"> </w:t>
      </w:r>
      <w:r>
        <w:t xml:space="preserve">for Arms 1–4,</w:t>
      </w:r>
      <w:r>
        <w:t xml:space="preserve"> </w:t>
      </w:r>
      <m:oMath>
        <m:r>
          <w:rPr>
            <w:sz w:val="17"/>
            <w:szCs w:val="17"/>
          </w:rPr>
          <m:t>3.31</m:t>
        </m:r>
        <m:r>
          <w:rPr>
            <w:sz w:val="17"/>
            <w:szCs w:val="17"/>
          </w:rPr>
          <m:t> </m:t>
        </m:r>
        <m:r>
          <m:rPr>
            <m:nor/>
            <m:sty m:val="p"/>
          </m:rPr>
          <w:rPr>
            <w:sz w:val="17"/>
            <w:szCs w:val="17"/>
          </w:rPr>
          <m:t>pp</m:t>
        </m:r>
      </m:oMath>
      <w:r>
        <w:t xml:space="preserve"> </w:t>
      </w:r>
      <w:r>
        <w:t xml:space="preserve">for Arm 5); Always Adapt regret is</w:t>
      </w:r>
      <w:r>
        <w:t xml:space="preserve"> </w:t>
      </w:r>
      <m:oMath>
        <m:r>
          <w:rPr>
            <w:sz w:val="17"/>
            <w:szCs w:val="17"/>
          </w:rPr>
          <m:t>0.00</m:t>
        </m:r>
        <m:r>
          <w:rPr>
            <w:sz w:val="17"/>
            <w:szCs w:val="17"/>
          </w:rPr>
          <m:t> </m:t>
        </m:r>
        <m:r>
          <m:rPr>
            <m:nor/>
            <m:sty m:val="p"/>
          </m:rPr>
          <w:rPr>
            <w:sz w:val="17"/>
            <w:szCs w:val="17"/>
          </w:rPr>
          <m:t>pp</m:t>
        </m:r>
      </m:oMath>
      <w:r>
        <w:t xml:space="preserve">. Benefit</w:t>
      </w:r>
      <w:r>
        <w:t xml:space="preserve"> </w:t>
      </w:r>
      <m:oMath>
        <m:r>
          <m:rPr>
            <m:sty m:val="p"/>
          </m:rPr>
          <w:rPr>
            <w:sz w:val="17"/>
            <w:szCs w:val="17"/>
          </w: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600"/>
        <w:gridCol w:w="1550"/>
        <w:gridCol w:w="1240"/>
        <w:gridCol w:w="1120"/>
        <w:gridCol w:w="700"/>
        <w:gridCol w:w="700"/>
        <w:gridCol w:w="940"/>
        <w:gridCol w:w="700"/>
        <w:gridCol w:w="700"/>
        <w:gridCol w:w="650"/>
        <w:gridCol w:w="1060"/>
      </w:tblGrid>
      <w:tr>
        <w:trPr>
          <w:tblHeader w:val="true"/>
          <w:cantSplit w:val="true"/>
        </w:trPr>
        <w:tc>
          <w:tcPr>
            <w:tcW w:w="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5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η</m:t>
              </m:r>
            </m:oMath>
          </w:p>
        </w:tc>
        <w:tc>
          <w:tcPr>
            <w:tcW w:w="11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Δ</m:t>
              </m:r>
            </m:oMath>
          </w:p>
        </w:tc>
        <w:tc>
          <w:tcPr>
            <w:tcW w:w="9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r>
                <m:rPr>
                  <m:sty m:val="b"/>
                </m:rPr>
                <w:rPr>
                  <w:sz w:val="15"/>
                  <w:szCs w:val="15"/>
                </w:rPr>
                <m:t>Δ</m:t>
              </m:r>
              <m:r>
                <m:rPr>
                  <m:sty m:val="bi"/>
                </m:rPr>
                <w:rPr>
                  <w:sz w:val="15"/>
                  <w:szCs w:val="15"/>
                </w:rPr>
                <m:t>θ</m:t>
              </m:r>
              <m:sSub>
                <m:e>
                  <m:r>
                    <m:rPr>
                      <m:sty m:val="b"/>
                    </m:rPr>
                    <w:rPr>
                      <w:sz w:val="15"/>
                      <w:szCs w:val="15"/>
                    </w:rPr>
                    <m:t>∥</m:t>
                  </m:r>
                </m:e>
                <m:sub>
                  <m:r>
                    <m:rPr>
                      <m:sty m:val="b"/>
                    </m:rPr>
                    <w:rPr>
                      <w:sz w:val="15"/>
                      <w:szCs w:val="15"/>
                    </w:rPr>
                    <m:t>2</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K</m:t>
                  </m:r>
                  <m:r>
                    <m:rPr>
                      <m:sty m:val="p"/>
                    </m:rPr>
                    <w:rPr>
                      <w:sz w:val="15"/>
                      <w:szCs w:val="15"/>
                    </w:rPr>
                    <m:t>G</m:t>
                  </m:r>
                  <m:r>
                    <m:rPr>
                      <m:sty m:val="p"/>
                    </m:rPr>
                    <w:rPr>
                      <w:sz w:val="15"/>
                      <w:szCs w:val="15"/>
                    </w:rPr>
                    <m:t>A</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K</m:t>
                  </m:r>
                  <m:r>
                    <m:rPr>
                      <m:sty m:val="p"/>
                    </m:rPr>
                    <w:rPr>
                      <w:sz w:val="15"/>
                      <w:szCs w:val="15"/>
                    </w:rPr>
                    <m:t>G</m:t>
                  </m:r>
                  <m:r>
                    <m:rPr>
                      <m:sty m:val="p"/>
                    </m:rPr>
                    <w:rPr>
                      <w:sz w:val="15"/>
                      <w:szCs w:val="15"/>
                    </w:rPr>
                    <m:t>A</m:t>
                  </m:r>
                </m:sub>
              </m:sSub>
            </m:oMath>
          </w:p>
        </w:tc>
        <w:tc>
          <w:tcPr>
            <w:tcW w:w="65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10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124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55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240" w:type="dxa"/>
            <w:vAlign w:val="center"/>
            <w:tcMar>
              <w:top w:w="60" w:type="dxa"/>
              <w:start w:w="80" w:type="dxa"/>
              <w:bottom w:w="60" w:type="dxa"/>
              <w:end w:w="80" w:type="dxa"/>
            </w:tcMar>
          </w:tcPr>
          <w:p>
            <w:pPr>
              <w:pStyle w:val="Compact"/>
              <w:keepNext w:val="0"/>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9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104"/>
    <w:bookmarkStart w:id="105" w:name="distinct-sar-execution-identities."/>
    <w:p>
      <w:pPr>
        <w:pStyle w:val="Heading3"/>
        <w:keepNext/>
        <w:widowControl/>
        <w:spacing w:before="100" w:after="20" w:line="252" w:lineRule="auto"/>
      </w:pPr>
      <w:r>
        <w:rPr>
          <w:rFonts w:ascii="Times New Roman" w:hAnsi="Times New Roman" w:eastAsia="Times New Roman" w:cs="Times New Roman"/>
          <w:b/>
          <w:sz w:val="19"/>
        </w:rPr>
        <w:t xml:space="preserve">Distinct SAR execution identities.</w:t>
      </w:r>
    </w:p>
    <w:p>
      <w:pPr>
        <w:pStyle w:val="FirstParagraph"/>
        <w:widowControl/>
      </w:pPr>
      <w:r>
        <w:t xml:space="preserve">The retained historical table labels</w:t>
      </w:r>
      <w:r>
        <w:t xml:space="preserve"> </w:t>
      </w:r>
      <w:r>
        <w:t xml:space="preserve">“Authenticated”</w:t>
      </w:r>
      <w:r>
        <w:t xml:space="preserve"> </w:t>
      </w:r>
      <w:r>
        <w:t xml:space="preserve">and</w:t>
      </w:r>
      <w:r>
        <w:t xml:space="preserve"> </w:t>
      </w:r>
      <w:r>
        <w:t xml:space="preserve">“Reference SAR</w:t>
      </w:r>
      <w:r>
        <w:t xml:space="preserve"> </w:t>
      </w:r>
      <w:r>
        <w:t xml:space="preserve">(official)”</w:t>
      </w:r>
      <w:r>
        <w:t xml:space="preserve"> </w:t>
      </w:r>
      <w:r>
        <w:t xml:space="preserve">name the archived presentation; they do not establish authenticated</w:t>
      </w:r>
      <w:r>
        <w:t xml:space="preserve"> </w:t>
      </w:r>
      <w:r>
        <w:t xml:space="preserve">native execution fidelity.</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105"/>
    <w:bookmarkStart w:id="106"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w:rPr>
            <w:sz w:val="17"/>
            <w:szCs w:val="17"/>
          </w:rPr>
          <m:t>N</m:t>
        </m:r>
        <m:r>
          <m:rPr>
            <m:sty m:val="p"/>
          </m:rPr>
          <w:rPr>
            <w:sz w:val="17"/>
            <w:szCs w:val="17"/>
          </w:rPr>
          <m:t>=</m:t>
        </m:r>
        <m:r>
          <w:rPr>
            <w:sz w:val="17"/>
            <w:szCs w:val="17"/>
          </w:rP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oMath>
      <w:r>
        <w:t xml:space="preserve">. Directional commitment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nor/>
            <m:sty m:val="p"/>
          </m:rPr>
          <w:rPr>
            <w:sz w:val="17"/>
            <w:szCs w:val="17"/>
          </w:rPr>
          <m:t> or </m:t>
        </m:r>
        <m:r>
          <m:rPr>
            <m:nor/>
            <m:sty m:val="p"/>
          </m:rPr>
          <w:rPr>
            <w:sz w:val="17"/>
            <w:szCs w:val="17"/>
          </w:rPr>
          <m:t>freeze</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c</m:t>
            </m:r>
          </m:sub>
        </m:sSub>
        <m:r>
          <m:rPr>
            <m:sty m:val="p"/>
          </m:rPr>
          <w:rPr>
            <w:sz w:val="17"/>
            <w:szCs w:val="17"/>
          </w:rPr>
          <m:t>=</m:t>
        </m:r>
        <m:r>
          <m:rPr>
            <m:scr m:val="double-struck"/>
            <m:sty m:val="p"/>
          </m:rPr>
          <w:rPr>
            <w:sz w:val="17"/>
            <w:szCs w:val="17"/>
          </w:rPr>
          <m:t>P</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r>
          <m:rPr>
            <m:nor/>
            <m:sty m:val="p"/>
          </m:rPr>
          <w:rPr>
            <w:sz w:val="17"/>
            <w:szCs w:val="17"/>
          </w:rPr>
          <m:t>adapt</m:t>
        </m:r>
        <m:r>
          <m:rPr>
            <m:sty m:val="p"/>
          </m:rPr>
          <w:rPr>
            <w:sz w:val="17"/>
            <w:szCs w:val="17"/>
          </w:rPr>
          <m:t>]</m:t>
        </m:r>
      </m:oMath>
      <w:r>
        <w:t xml:space="preserve">. Harmful adapted is the proportion of all harmful conditions (</w:t>
      </w:r>
      <m:oMath>
        <m:r>
          <w:rPr>
            <w:sz w:val="17"/>
            <w:szCs w:val="17"/>
          </w:rPr>
          <m:t>B</m:t>
        </m:r>
        <m:r>
          <m:rPr>
            <m:sty m:val="p"/>
          </m:rPr>
          <w:rPr>
            <w:sz w:val="17"/>
            <w:szCs w:val="17"/>
          </w:rPr>
          <m:t>&lt;</m:t>
        </m:r>
        <m:r>
          <w:rPr>
            <w:sz w:val="17"/>
            <w:szCs w:val="17"/>
          </w:rP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06"/>
    <w:bookmarkStart w:id="107"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w:rPr>
            <w:sz w:val="17"/>
            <w:szCs w:val="17"/>
          </w:rPr>
          <m:t>=</m:t>
        </m:r>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Abstention</w:t>
      </w:r>
      <w:r>
        <w:t xml:space="preserve"> </w:t>
      </w:r>
      <m:oMath>
        <m:r>
          <m:rPr>
            <m:sty m:val="p"/>
          </m:rPr>
          <w:rPr>
            <w:sz w:val="17"/>
            <w:szCs w:val="17"/>
          </w:rPr>
          <m:t>=</m:t>
        </m:r>
        <m:r>
          <w:rPr>
            <w:sz w:val="17"/>
            <w:szCs w:val="17"/>
          </w:rPr>
          <m:t>U</m:t>
        </m:r>
        <m:r>
          <m:rPr>
            <m:sty m:val="p"/>
          </m:rPr>
          <w:rPr>
            <w:sz w:val="17"/>
            <w:szCs w:val="17"/>
          </w:rPr>
          <m:t>/</m:t>
        </m:r>
        <m:r>
          <w:rPr>
            <w:sz w:val="17"/>
            <w:szCs w:val="17"/>
          </w:rPr>
          <m:t>N</m:t>
        </m:r>
      </m:oMath>
      <w:r>
        <w:t xml:space="preserve">. Denominators: A+F+U</w:t>
      </w:r>
      <w:r>
        <w:t xml:space="preserve"> </w:t>
      </w:r>
      <m:oMath>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Tent panel as above).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divides by ADAPT count (undefined when ADAPT</w:t>
      </w:r>
      <m:oMath>
        <m:r>
          <m:rPr>
            <m:sty m:val="p"/>
          </m:rPr>
          <w:rPr>
            <w:sz w:val="17"/>
            <w:szCs w:val="17"/>
          </w:rPr>
          <m:t>=</m:t>
        </m:r>
        <m:r>
          <w:rPr>
            <w:sz w:val="17"/>
            <w:szCs w:val="17"/>
          </w:rPr>
          <m:t>0</m:t>
        </m:r>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FREEZE</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w:t>
      </w:r>
      <w:r>
        <w:t xml:space="preserve">divides by FREEZE count. Nonpos. Adapt</w:t>
      </w:r>
      <w:r>
        <w:t xml:space="preserve"> </w:t>
      </w:r>
      <m:oMath>
        <m:r>
          <m:rPr>
            <m:sty m:val="p"/>
          </m:rPr>
          <w:rPr>
            <w:sz w:val="17"/>
            <w:szCs w:val="17"/>
          </w:rPr>
          <m:t>=</m:t>
        </m:r>
      </m:oMath>
      <w:r>
        <w:t xml:space="preserve"> </w:t>
      </w:r>
      <w:r>
        <w:t xml:space="preserve">fraction of</w:t>
      </w:r>
      <w:r>
        <w:t xml:space="preserve"> </w:t>
      </w:r>
      <m:oMath>
        <m:r>
          <w:rPr>
            <w:sz w:val="17"/>
            <w:szCs w:val="17"/>
          </w:rPr>
          <m:t>B</m:t>
        </m:r>
        <m:r>
          <m:rPr>
            <m:sty m:val="p"/>
          </m:rPr>
          <w:rPr>
            <w:sz w:val="17"/>
            <w:szCs w:val="17"/>
          </w:rPr>
          <m:t>≤</m:t>
        </m:r>
        <m:r>
          <w:rPr>
            <w:sz w:val="17"/>
            <w:szCs w:val="17"/>
          </w:rPr>
          <m:t>0</m:t>
        </m:r>
      </m:oMath>
      <w:r>
        <w:t xml:space="preserve"> </w:t>
      </w:r>
      <w:r>
        <w:t xml:space="preserve">cells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721</m:t>
        </m:r>
      </m:oMath>
      <w:r>
        <w:t xml:space="preserve">;</w:t>
      </w:r>
      <w:r>
        <w:t xml:space="preserve"> </w:t>
      </w:r>
      <m:oMath>
        <m:sSub>
          <m:e>
            <m:r>
              <w:rPr>
                <w:sz w:val="17"/>
                <w:szCs w:val="17"/>
              </w:rPr>
              <m:t>N</m:t>
            </m:r>
          </m:e>
          <m:sub>
            <m:r>
              <w:rPr>
                <w:sz w:val="17"/>
                <w:szCs w:val="17"/>
              </w:rPr>
              <m:t>B</m:t>
            </m:r>
            <m:r>
              <m:rPr>
                <m:sty m:val="p"/>
              </m:rPr>
              <w:rPr>
                <w:sz w:val="17"/>
                <w:szCs w:val="17"/>
              </w:rPr>
              <m:t>&lt;</m:t>
            </m:r>
            <m:r>
              <w:rPr>
                <w:sz w:val="17"/>
                <w:szCs w:val="17"/>
              </w:rPr>
              <m:t>0</m:t>
            </m:r>
          </m:sub>
        </m:sSub>
        <m:r>
          <m:rPr>
            <m:sty m:val="p"/>
          </m:rPr>
          <w:rPr>
            <w:sz w:val="17"/>
            <w:szCs w:val="17"/>
          </w:rPr>
          <m:t>=</m:t>
        </m:r>
        <m:r>
          <w:rPr>
            <w:sz w:val="17"/>
            <w:szCs w:val="17"/>
          </w:rPr>
          <m:t>714</m:t>
        </m:r>
      </m:oMath>
      <w:r>
        <w:t xml:space="preserve">,</w:t>
      </w:r>
      <w:r>
        <w:t xml:space="preserve">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m:t>
        </m:r>
      </m:oMath>
      <w:r>
        <w:t xml:space="preserve">) that received ADAPT, satisfying</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N</m:t>
        </m:r>
        <m:r>
          <m:rPr>
            <m:sty m:val="p"/>
          </m:rPr>
          <w:rPr>
            <w:sz w:val="17"/>
            <w:szCs w:val="17"/>
          </w:rPr>
          <m:t>=</m:t>
        </m:r>
        <m:r>
          <m:rPr>
            <m:nor/>
            <m:sty m:val="p"/>
          </m:rPr>
          <w:rPr>
            <w:sz w:val="17"/>
            <w:szCs w:val="17"/>
          </w:rPr>
          <m:t>Nonpos. Adapt</m:t>
        </m:r>
        <m:r>
          <m:rPr>
            <m:sty m:val="p"/>
          </m:rPr>
          <w:rPr>
            <w:sz w:val="17"/>
            <w:szCs w:val="17"/>
          </w:rPr>
          <m:t>×</m:t>
        </m:r>
        <m:r>
          <w:rPr>
            <w:sz w:val="17"/>
            <w:szCs w:val="17"/>
          </w:rPr>
          <m:t>721</m:t>
        </m:r>
      </m:oMath>
      <w:r>
        <w:t xml:space="preserve">. Positive Benefit Captured is the fraction of oracle positive adaptation benefit preserved:</w:t>
      </w:r>
      <w:r>
        <w:t xml:space="preserve"> </w:t>
      </w:r>
      <m:oMath>
        <m:nary>
          <m:naryPr>
            <m:chr m:val="∑"/>
            <m:limLoc m:val="undOvr"/>
            <m:subHide m:val="off"/>
            <m:supHide m:val="on"/>
          </m:naryPr>
          <m:sub>
            <m:r>
              <w:rPr>
                <w:sz w:val="17"/>
                <w:szCs w:val="17"/>
              </w:rPr>
              <m:t>i</m:t>
            </m:r>
            <m:r>
              <m:rPr>
                <m:sty m:val="p"/>
              </m:rPr>
              <w:rPr>
                <w:sz w:val="17"/>
                <w:szCs w:val="17"/>
              </w:rPr>
              <m:t>:</m:t>
            </m:r>
            <m:sSub>
              <m:e>
                <m:r>
                  <w:rPr>
                    <w:sz w:val="17"/>
                    <w:szCs w:val="17"/>
                  </w:rPr>
                  <m:t>g</m:t>
                </m:r>
              </m:e>
              <m:sub>
                <m:r>
                  <w:rPr>
                    <w:sz w:val="17"/>
                    <w:szCs w:val="17"/>
                  </w:rPr>
                  <m:t>i</m:t>
                </m:r>
              </m:sub>
            </m:sSub>
            <m:r>
              <m:rPr>
                <m:sty m:val="p"/>
              </m:rPr>
              <w:rPr>
                <w:sz w:val="17"/>
                <w:szCs w:val="17"/>
              </w:rPr>
              <m:t>=</m:t>
            </m:r>
            <m:r>
              <m:rPr>
                <m:nor/>
                <m:sty m:val="p"/>
              </m:rPr>
              <w:rPr>
                <w:sz w:val="17"/>
                <w:szCs w:val="17"/>
              </w:rPr>
              <m:t>ADAPT</m:t>
            </m:r>
          </m:sub>
          <m:sup>
            <m:r>
              <w:rPr>
                <w:sz w:val="17"/>
                <w:szCs w:val="17"/>
              </w:rPr>
              <m:t>​</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r>
          <m:rPr>
            <m:sty m:val="p"/>
          </m:rPr>
          <w:rPr>
            <w:sz w:val="17"/>
            <w:szCs w:val="17"/>
          </w:rPr>
          <m:t>/</m:t>
        </m:r>
        <m:nary>
          <m:naryPr>
            <m:chr m:val="∑"/>
            <m:limLoc m:val="undOvr"/>
            <m:subHide m:val="off"/>
            <m:supHide m:val="off"/>
          </m:naryPr>
          <m:sub>
            <m:r>
              <w:rPr>
                <w:sz w:val="17"/>
                <w:szCs w:val="17"/>
              </w:rPr>
              <m:t>i</m:t>
            </m:r>
            <m:r>
              <m:rPr>
                <m:sty m:val="p"/>
              </m:rPr>
              <w:rPr>
                <w:sz w:val="17"/>
                <w:szCs w:val="17"/>
              </w:rPr>
              <m:t>=</m:t>
            </m:r>
            <m:r>
              <w:rPr>
                <w:sz w:val="17"/>
                <w:szCs w:val="17"/>
              </w:rPr>
              <m:t>1</m:t>
            </m:r>
          </m:sub>
          <m:sup>
            <m:r>
              <w:rPr>
                <w:sz w:val="17"/>
                <w:szCs w:val="17"/>
              </w:rPr>
              <m:t>N</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oMath>
      <w:r>
        <w:t xml:space="preserve">; Forgone is</w:t>
      </w:r>
      <w:r>
        <w:t xml:space="preserve"> </w:t>
      </w:r>
      <m:oMath>
        <m:r>
          <w:rPr>
            <w:sz w:val="17"/>
            <w:szCs w:val="17"/>
          </w:rPr>
          <m:t>1</m:t>
        </m:r>
        <m:r>
          <m:rPr>
            <m:sty m:val="p"/>
          </m:rPr>
          <w:rPr>
            <w:sz w:val="17"/>
            <w:szCs w:val="17"/>
          </w:rPr>
          <m:t>−</m:t>
        </m:r>
        <m:r>
          <m:rPr>
            <m:nor/>
            <m:sty m:val="p"/>
          </m:rPr>
          <w:rPr>
            <w:sz w:val="17"/>
            <w:szCs w:val="17"/>
          </w:rPr>
          <m:t>Captured</m:t>
        </m:r>
      </m:oMath>
      <w:r>
        <w:t xml:space="preserve">. KGA executed ADAPT on</w:t>
      </w:r>
      <w:r>
        <w:t xml:space="preserve"> </w:t>
      </w:r>
      <m:oMath>
        <m:r>
          <w:rPr>
            <w:sz w:val="17"/>
            <w:szCs w:val="17"/>
          </w:rPr>
          <m:t>1</m:t>
        </m:r>
        <m:r>
          <m:rPr>
            <m:sty m:val="p"/>
          </m:rPr>
          <w:rPr>
            <w:sz w:val="17"/>
            <w:szCs w:val="17"/>
          </w:rPr>
          <m:t>,</m:t>
        </m:r>
        <m:r>
          <w:rPr>
            <w:sz w:val="17"/>
            <w:szCs w:val="17"/>
          </w:rPr>
          <m:t>094</m:t>
        </m:r>
      </m:oMath>
      <w:r>
        <w:t xml:space="preserve"> </w:t>
      </w:r>
      <w:r>
        <w:t xml:space="preserve">of</w:t>
      </w:r>
      <w:r>
        <w:t xml:space="preserve"> </w:t>
      </w:r>
      <m:oMath>
        <m:r>
          <w:rPr>
            <w:sz w:val="17"/>
            <w:szCs w:val="17"/>
          </w:rPr>
          <m:t>1</m:t>
        </m:r>
        <m:r>
          <m:rPr>
            <m:sty m:val="p"/>
          </m:rPr>
          <w:rPr>
            <w:sz w:val="17"/>
            <w:szCs w:val="17"/>
          </w:rPr>
          <m:t>,</m:t>
        </m:r>
        <m:r>
          <w:rPr>
            <w:sz w:val="17"/>
            <w:szCs w:val="17"/>
          </w:rPr>
          <m:t>439</m:t>
        </m:r>
      </m:oMath>
      <w:r>
        <w:t xml:space="preserve"> </w:t>
      </w:r>
      <w:r>
        <w:t xml:space="preserve">helpful cells (</w:t>
      </w:r>
      <m:oMath>
        <m:r>
          <w:rPr>
            <w:sz w:val="17"/>
            <w:szCs w:val="17"/>
          </w:rPr>
          <m:t>76.0</m:t>
        </m:r>
        <m:r>
          <m:rPr>
            <m:sty m:val="p"/>
          </m:rPr>
          <w:rPr>
            <w:sz w:val="17"/>
            <w:szCs w:val="17"/>
          </w:rPr>
          <m:t>%</m:t>
        </m:r>
      </m:oMath>
      <w:r>
        <w:t xml:space="preserve"> </w:t>
      </w:r>
      <w:r>
        <w:t xml:space="preserve">cell capture), abstaining on the remainder where empirical intervals overlap zero; zero nonpositive cells received ADAPT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7"/>
    <w:bookmarkStart w:id="109" w:name="Xbd0a4ea3428d9555540d200a856a500dc8d5814"/>
    <w:p>
      <w:pPr>
        <w:pStyle w:val="Heading3"/>
        <w:widowControl/>
      </w:pPr>
      <w:r>
        <w:t xml:space="preserve">B.3.3 Model Replication &amp; Checkpoint Inventory (Task 1)</w:t>
      </w:r>
    </w:p>
    <w:bookmarkStart w:id="108" w:name="X61bc8d5ed7a71473fce8847ed1ff92e051bd394"/>
    <w:p>
      <w:pPr>
        <w:pStyle w:val="Heading3"/>
        <w:keepNext/>
        <w:widowControl/>
        <w:spacing w:before="100" w:after="20" w:line="252" w:lineRule="auto"/>
      </w:pPr>
      <w:r>
        <w:rPr>
          <w:rFonts w:ascii="Times New Roman" w:hAnsi="Times New Roman" w:eastAsia="Times New Roman" w:cs="Times New Roman"/>
          <w:b/>
          <w:sz w:val="19"/>
        </w:rPr>
        <w:t xml:space="preserve">Historical routing authority qualification.</w:t>
      </w:r>
    </w:p>
    <w:p>
      <w:pPr>
        <w:pStyle w:val="FirstParagraph"/>
        <w:widowControl/>
      </w:pPr>
      <w:r>
        <w:t xml:space="preserve">Table 27 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widowControl/>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widowControl/>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widowControl/>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p>
      <w:pPr>
        <w:pStyle w:val="TableCaption"/>
        <w:widowControl/>
      </w:pPr>
      <w:r>
        <w:t xml:space="preserve">Table 27. Historical independent-checkpoint summaries (</w:t>
      </w:r>
      <m:oMath>
        <m:r>
          <w:rPr>
            <w:sz w:val="17"/>
            <w:szCs w:val="17"/>
          </w:rPr>
          <m:t>36</m:t>
        </m:r>
      </m:oMath>
      <w:r>
        <w:t xml:space="preserve"> </w:t>
      </w:r>
      <w:r>
        <w:t xml:space="preserve">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w:t>
      </w:r>
      <w:r>
        <w:t xml:space="preserve"> </w:t>
      </w:r>
      <m:oMath>
        <m:r>
          <w:rPr>
            <w:sz w:val="17"/>
            <w:szCs w:val="17"/>
          </w:rPr>
          <m:t>90</m:t>
        </m:r>
        <m:r>
          <m:rPr>
            <m:sty m:val="p"/>
          </m:rPr>
          <w:rPr>
            <w:sz w:val="17"/>
            <w:szCs w:val="17"/>
          </w:rPr>
          <m:t>%</m:t>
        </m:r>
      </m:oMath>
      <w:r>
        <w:t xml:space="preserve"> </w:t>
      </w:r>
      <w:r>
        <w:t xml:space="preserve">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w:t>
      </w:r>
    </w:p>
    <w:tbl>
      <w:tblPr>
        <w:tblStyle w:val="Table"/>
        <w:tblW w:type="dxa" w:w="9960"/>
        <w:jc w:val="left"/>
        <w:tblLayout w:type="fixed"/>
        <w:tblLook w:firstRow="1" w:lastRow="0" w:firstColumn="0" w:lastColumn="0" w:noHBand="0" w:noVBand="0" w:val="0020"/>
        <w:tblCaption w:val="Table 27. Historical independent-checkpoint summaries (36 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 90\% 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17"/>
        <w:gridCol w:w="901"/>
        <w:gridCol w:w="868"/>
        <w:gridCol w:w="911"/>
        <w:gridCol w:w="911"/>
        <w:gridCol w:w="911"/>
        <w:gridCol w:w="901"/>
        <w:gridCol w:w="911"/>
        <w:gridCol w:w="901"/>
        <w:gridCol w:w="911"/>
        <w:gridCol w:w="917"/>
      </w:tblGrid>
      <w:tr>
        <w:trPr>
          <w:tblHeader w:val="true"/>
          <w:cantSplit w:val="true"/>
        </w:trPr>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Source Model</w:t>
            </w:r>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l</m:t>
                  </m:r>
                  <m:r>
                    <m:rPr>
                      <m:sty m:val="p"/>
                    </m:rPr>
                    <w:rPr>
                      <w:sz w:val="15"/>
                      <w:szCs w:val="15"/>
                    </w:rPr>
                    <m:t>e</m:t>
                  </m:r>
                  <m:r>
                    <m:rPr>
                      <m:sty m:val="p"/>
                    </m:rPr>
                    <w:rPr>
                      <w:sz w:val="15"/>
                      <w:szCs w:val="15"/>
                    </w:rPr>
                    <m:t>a</m:t>
                  </m:r>
                  <m:r>
                    <m:rPr>
                      <m:sty m:val="p"/>
                    </m:rPr>
                    <w:rPr>
                      <w:sz w:val="15"/>
                      <w:szCs w:val="15"/>
                    </w:rPr>
                    <m:t>n</m:t>
                  </m:r>
                </m:sub>
              </m:sSub>
            </m:oMath>
          </w:p>
        </w:tc>
        <w:tc>
          <w:tcPr>
            <w:tcW w:w="868"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b"/>
                    </m:rPr>
                    <w:rPr>
                      <w:sz w:val="15"/>
                      <w:szCs w:val="15"/>
                    </w:rPr>
                    <m:t>0</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F</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A</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bi"/>
                    </m:rPr>
                    <w:rPr>
                      <w:sz w:val="15"/>
                      <w:szCs w:val="15"/>
                    </w:rPr>
                    <m:t>u</m:t>
                  </m:r>
                </m:sub>
              </m:sSub>
            </m:oMath>
          </w:p>
        </w:tc>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A: Helpful-Only Reduced Panel (Uniformly Helpful,</w:t>
            </w:r>
            <w:r>
              <w:rPr>
                <w:rFonts w:ascii="Times New Roman" w:hAnsi="Times New Roman"/>
                <w:i/>
                <w:iCs/>
                <w:sz w:val="14"/>
              </w:rPr>
              <w:t xml:space="preserve"> </w:t>
            </w:r>
            <m:oMath>
              <m:r>
                <m:rPr>
                  <m:sty m:val="p"/>
                </m:rPr>
                <w:rPr>
                  <w:sz w:val="15"/>
                  <w:szCs w:val="15"/>
                </w:rPr>
                <m:t>Δ</m:t>
              </m:r>
              <m:r>
                <m:rPr>
                  <m:sty m:val="p"/>
                </m:rPr>
                <w:rPr>
                  <w:sz w:val="15"/>
                  <w:szCs w:val="15"/>
                </w:rPr>
                <m:t>&gt;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61.20%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79.24%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81.80%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81.39%</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B: Mixed-Sign Replication Panel (39–42% Negative-Benefit Conditions,</w:t>
            </w:r>
            <w:r>
              <w:rPr>
                <w:rFonts w:ascii="Times New Roman" w:hAnsi="Times New Roman"/>
                <w:i/>
                <w:iCs/>
                <w:sz w:val="14"/>
              </w:rPr>
              <w:t xml:space="preserve"> </w:t>
            </w:r>
            <m:oMath>
              <m:r>
                <m:rPr>
                  <m:sty m:val="p"/>
                </m:rPr>
                <w:rPr>
                  <w:sz w:val="15"/>
                  <w:szCs w:val="15"/>
                </w:rPr>
                <m:t>Δ</m:t>
              </m:r>
              <m:r>
                <m:rPr>
                  <m:sty m:val="p"/>
                </m:rPr>
                <w:rPr>
                  <w:sz w:val="15"/>
                  <w:szCs w:val="15"/>
                </w:rPr>
                <m: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C: Published Baseline Head-to-Head Comparison (AETTA vs. KGA LOO and B6 Disjoint)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80.74%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79.96%</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1.14%</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14/2/20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82.52%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24/12/0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17/0/19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82.33%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14/0/22</w:t>
            </w:r>
          </w:p>
        </w:tc>
      </w:tr>
    </w:tbl>
    <w:bookmarkEnd w:id="108"/>
    <w:bookmarkEnd w:id="109"/>
    <w:bookmarkStart w:id="111" w:name="X13804b172a69e7c41cf15da92772cd6578d8ccd"/>
    <w:p>
      <w:pPr>
        <w:pStyle w:val="Heading3"/>
        <w:widowControl/>
      </w:pPr>
      <w:r>
        <w:t xml:space="preserve">B.3.4 Published Baseline Reproducibility Audit and Historical Scope</w:t>
      </w:r>
    </w:p>
    <w:p>
      <w:pPr>
        <w:pStyle w:val="FirstParagraph"/>
        <w:widowControl/>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B.3.3.</w:t>
      </w:r>
    </w:p>
    <w:bookmarkStart w:id="110"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10"/>
    <w:bookmarkEnd w:id="111"/>
    <w:bookmarkEnd w:id="112"/>
    <w:bookmarkStart w:id="113"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w:rPr>
            <w:sz w:val="17"/>
            <w:szCs w:val="17"/>
          </w:rPr>
          <m:t>.0027</m:t>
        </m:r>
      </m:oMath>
      <w:r>
        <w:t xml:space="preserve">) and freeze regret (</w:t>
      </w:r>
      <m:oMath>
        <m:r>
          <w:rPr>
            <w:sz w:val="17"/>
            <w:szCs w:val="17"/>
          </w:rP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13"/>
    <w:bookmarkStart w:id="114"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29 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p>
      <w:pPr>
        <w:pStyle w:val="TableCaption"/>
        <w:widowControl/>
      </w:pPr>
      <w:r>
        <w:t xml:space="preserve">Table 29. Camelyon17 whole-slide pathology OOD diagnostic (</w:t>
      </w:r>
      <m:oMath>
        <m:r>
          <w:rPr>
            <w:sz w:val="17"/>
            <w:szCs w:val="17"/>
          </w:rPr>
          <m:t>n</m:t>
        </m:r>
        <m:r>
          <m:rPr>
            <m:sty m:val="p"/>
          </m:rPr>
          <w:rPr>
            <w:sz w:val="17"/>
            <w:szCs w:val="17"/>
          </w:rPr>
          <m:t>=</m:t>
        </m:r>
        <m:r>
          <w:rPr>
            <w:sz w:val="17"/>
            <w:szCs w:val="17"/>
          </w:rPr>
          <m:t>72</m:t>
        </m:r>
      </m:oMath>
      <w:r>
        <w:t xml:space="preserve"> </w:t>
      </w:r>
      <w:r>
        <w:t xml:space="preserve">conditions, Tent-online;</w:t>
      </w:r>
      <w:r>
        <w:t xml:space="preserve"> </w:t>
      </w:r>
      <m:oMath>
        <m:r>
          <w:rPr>
            <w:sz w:val="17"/>
            <w:szCs w:val="17"/>
          </w:rPr>
          <m:t>41</m:t>
        </m:r>
      </m:oMath>
      <w:r>
        <w:t xml:space="preserve"> </w:t>
      </w:r>
      <w:r>
        <w:t xml:space="preserve">helpful,</w:t>
      </w:r>
      <w:r>
        <w:t xml:space="preserve"> </w:t>
      </w:r>
      <m:oMath>
        <m:r>
          <w:rPr>
            <w:sz w:val="17"/>
            <w:szCs w:val="17"/>
          </w:rPr>
          <m:t>4</m:t>
        </m:r>
      </m:oMath>
      <w:r>
        <w:t xml:space="preserve"> </w:t>
      </w:r>
      <w:r>
        <w:t xml:space="preserve">zero,</w:t>
      </w:r>
      <w:r>
        <w:t xml:space="preserve"> </w:t>
      </w:r>
      <m:oMath>
        <m:r>
          <w:rPr>
            <w:sz w:val="17"/>
            <w:szCs w:val="17"/>
          </w:rPr>
          <m:t>27</m:t>
        </m:r>
      </m:oMath>
      <w:r>
        <w:t xml:space="preserve"> </w:t>
      </w:r>
      <w:r>
        <w:t xml:space="preserve">harmful adaptation outcomes, where</w:t>
      </w:r>
      <w:r>
        <w:t xml:space="preserve"> </w:t>
      </w:r>
      <m:oMath>
        <m:r>
          <m:rPr>
            <m:sty m:val="p"/>
          </m:rPr>
          <w:rPr>
            <w:sz w:val="17"/>
            <w:szCs w:val="17"/>
          </w:rPr>
          <m:t>+</m:t>
        </m:r>
      </m:oMath>
      <w:r>
        <w:t xml:space="preserve">,</w:t>
      </w:r>
      <w:r>
        <w:t xml:space="preserve"> </w:t>
      </w:r>
      <m:oMath>
        <m:r>
          <w:rPr>
            <w:sz w:val="17"/>
            <w:szCs w:val="17"/>
          </w:rPr>
          <m:t>0</m:t>
        </m:r>
      </m:oMath>
      <w:r>
        <w:t xml:space="preserve">,</w:t>
      </w:r>
      <w:r>
        <w:t xml:space="preserve"> </w:t>
      </w:r>
      <m:oMath>
        <m:r>
          <m:rPr>
            <m:sty m:val="p"/>
          </m:rPr>
          <w:rPr>
            <w:sz w:val="17"/>
            <w:szCs w:val="17"/>
          </w:rPr>
          <m:t>−</m:t>
        </m:r>
      </m:oMath>
      <w:r>
        <w:t xml:space="preserve"> </w:t>
      </w:r>
      <w:r>
        <w:t xml:space="preserve">denote</w:t>
      </w:r>
      <w:r>
        <w:t xml:space="preserve"> </w:t>
      </w:r>
      <m:oMath>
        <m:r>
          <w:rPr>
            <w:sz w:val="17"/>
            <w:szCs w:val="17"/>
          </w:rPr>
          <m:t>B</m:t>
        </m:r>
        <m:r>
          <m:rPr>
            <m:sty m:val="p"/>
          </m:rPr>
          <w:rPr>
            <w:sz w:val="17"/>
            <w:szCs w:val="17"/>
          </w:rPr>
          <m:t>&gt;</m:t>
        </m:r>
        <m:r>
          <w:rPr>
            <w:sz w:val="17"/>
            <w:szCs w:val="17"/>
          </w:rPr>
          <m:t>0</m:t>
        </m:r>
      </m:oMath>
      <w:r>
        <w:t xml:space="preserve">,</w:t>
      </w:r>
      <w:r>
        <w:t xml:space="preserve"> </w:t>
      </w:r>
      <m:oMath>
        <m:r>
          <w:rPr>
            <w:sz w:val="17"/>
            <w:szCs w:val="17"/>
          </w:rPr>
          <m:t>B</m:t>
        </m:r>
        <m:r>
          <m:rPr>
            <m:sty m:val="p"/>
          </m:rPr>
          <w:rPr>
            <w:sz w:val="17"/>
            <w:szCs w:val="17"/>
          </w:rPr>
          <m:t>=</m:t>
        </m:r>
        <m:r>
          <w:rPr>
            <w:sz w:val="17"/>
            <w:szCs w:val="17"/>
          </w:rPr>
          <m:t>0</m:t>
        </m:r>
      </m:oMath>
      <w:r>
        <w:t xml:space="preserve">,</w:t>
      </w:r>
      <w:r>
        <w:t xml:space="preserve"> </w:t>
      </w:r>
      <m:oMath>
        <m:r>
          <w:rPr>
            <w:sz w:val="17"/>
            <w:szCs w:val="17"/>
          </w:rPr>
          <m:t>B</m:t>
        </m:r>
        <m:r>
          <m:rPr>
            <m:sty m:val="p"/>
          </m:rPr>
          <w:rPr>
            <w:sz w:val="17"/>
            <w:szCs w:val="17"/>
          </w:rPr>
          <m:t>&lt;</m:t>
        </m:r>
        <m:r>
          <w:rPr>
            <w:sz w:val="17"/>
            <w:szCs w:val="17"/>
          </w:rPr>
          <m:t>0</m:t>
        </m:r>
      </m:oMath>
      <w:r>
        <w:t xml:space="preserve">). The authenticated original outcome-blind execution (</w:t>
      </w:r>
      <w:r>
        <w:rPr>
          <w:rStyle w:val="VerbatimChar"/>
        </w:rPr>
        <w:t xml:space="preserve">result_73add410.json</w:t>
      </w:r>
      <w:r>
        <w:t xml:space="preserve">,</w:t>
      </w:r>
      <w:r>
        <w:t xml:space="preserve"> </w:t>
      </w:r>
      <m:oMath>
        <m:r>
          <w:rPr>
            <w:sz w:val="17"/>
            <w:szCs w:val="17"/>
          </w:rPr>
          <m:t>ε</m:t>
        </m:r>
        <m:r>
          <m:rPr>
            <m:sty m:val="p"/>
          </m:rPr>
          <w:rPr>
            <w:sz w:val="17"/>
            <w:szCs w:val="17"/>
          </w:rPr>
          <m:t>=</m:t>
        </m:r>
        <m:r>
          <w:rPr>
            <w:sz w:val="17"/>
            <w:szCs w:val="17"/>
          </w:rPr>
          <m:t>0.1621</m:t>
        </m:r>
      </m:oMath>
      <w:r>
        <w:t xml:space="preserve">) yielded conservative retention matching always-freeze with zero ADAPT exposure. An earlier</w:t>
      </w:r>
      <w:r>
        <w:t xml:space="preserve"> </w:t>
      </w:r>
      <m:oMath>
        <m:r>
          <w:rPr>
            <w:sz w:val="17"/>
            <w:szCs w:val="17"/>
          </w:rPr>
          <m:t>31</m:t>
        </m:r>
      </m:oMath>
      <w:r>
        <w:t xml:space="preserve">-ADAPT partition is formally demoted as an unauthenticated post-hoc reconstruction conditioned on ground-truth</w:t>
      </w:r>
      <w:r>
        <w:t xml:space="preserve"> </w:t>
      </w:r>
      <m:oMath>
        <m:r>
          <w:rPr>
            <w:sz w:val="17"/>
            <w:szCs w:val="17"/>
          </w:rPr>
          <m:t>B</m:t>
        </m:r>
      </m:oMath>
      <w:r>
        <w:t xml:space="preserve">.</w:t>
      </w:r>
    </w:p>
    <w:tbl>
      <w:tblPr>
        <w:tblStyle w:val="Table"/>
        <w:tblW w:type="dxa" w:w="9960"/>
        <w:jc w:val="left"/>
        <w:tblLayout w:type="fixed"/>
        <w:tblLook w:firstRow="1" w:lastRow="0" w:firstColumn="0" w:lastColumn="0" w:noHBand="0" w:noVBand="0" w:val="0020"/>
        <w:tblCaption w:val="Table 29. Camelyon17 whole-slide pathology OOD diagnostic (n=72 conditions, Tent-online; 41 helpful, 4 zero, 27 harmful adaptation outcomes, where +, 0, - denote B&gt;0, B=0, B&lt;0). The authenticated original outcome-blind execution (result_73add410.json, \varepsilon = 0.1621) yielded conservative retention matching always-freeze with zero ADAPT exposure. An earlier 31-ADAPT partition is formally demoted as an unauthenticated post-hoc reconstruction conditioned on ground-truth B."/>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560"/>
        <w:gridCol w:w="560"/>
        <w:gridCol w:w="560"/>
        <w:gridCol w:w="560"/>
        <w:gridCol w:w="560"/>
        <w:gridCol w:w="560"/>
        <w:gridCol w:w="4000"/>
      </w:tblGrid>
      <w:tr>
        <w:trPr>
          <w:tblHeader w:val="true"/>
          <w:cantSplit w:val="true"/>
        </w:trPr>
        <w:tc>
          <w:tcPr>
            <w:tcW w:w="2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Evaluation Regimen</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0</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U</w:t>
            </w:r>
          </w:p>
        </w:tc>
        <w:tc>
          <w:tcPr>
            <w:tcW w:w="40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Regret</w:t>
            </w:r>
            <w:r>
              <w:rPr>
                <w:rFonts w:ascii="Times New Roman" w:hAnsi="Times New Roman"/>
                <w:b/>
                <w:sz w:val="14"/>
              </w:rPr>
              <w:t xml:space="preserve"> </w:t>
            </w:r>
            <w:r>
              <w:rPr>
                <w:rFonts w:ascii="Times New Roman" w:hAnsi="Times New Roman"/>
                <w:b/>
                <w:sz w:val="14"/>
              </w:rPr>
              <w:t>(</w:t>
            </w:r>
            <m:oMath>
              <m:sSub>
                <m:e>
                  <m:r>
                    <w:rPr>
                      <w:sz w:val="15"/>
                      <w:szCs w:val="15"/>
                    </w:rPr>
                    <m:t>R</m:t>
                  </m:r>
                </m:e>
                <m:sub>
                  <m:r>
                    <m:rPr>
                      <m:sty m:val="p"/>
                    </m:rPr>
                    <w:rPr>
                      <w:sz w:val="15"/>
                      <w:szCs w:val="15"/>
                    </w:rPr>
                    <m:t>K</m:t>
                  </m:r>
                  <m:r>
                    <m:rPr>
                      <m:sty m:val="p"/>
                    </m:rPr>
                    <w:rPr>
                      <w:sz w:val="15"/>
                      <w:szCs w:val="15"/>
                    </w:rPr>
                    <m:t>G</m:t>
                  </m:r>
                  <m:r>
                    <m:rPr>
                      <m:sty m:val="p"/>
                    </m:rPr>
                    <w:rPr>
                      <w:sz w:val="15"/>
                      <w:szCs w:val="15"/>
                    </w:rPr>
                    <m:t>A</m:t>
                  </m:r>
                </m:sub>
              </m:sSub>
              <m:r>
                <m:rPr>
                  <m:sty m:val="p"/>
                </m:rPr>
                <w:rPr>
                  <w:sz w:val="15"/>
                  <w:szCs w:val="15"/>
                </w:rPr>
                <m:t>/</m:t>
              </m:r>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r>
                <m:rPr>
                  <m:sty m:val="p"/>
                </m:rPr>
                <w:rPr>
                  <w:sz w:val="15"/>
                  <w:szCs w:val="15"/>
                </w:rPr>
                <m:t>/</m:t>
              </m:r>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r>
              <w:rPr>
                <w:rFonts w:ascii="Times New Roman" w:hAnsi="Times New Roman"/>
                <w:b/>
                <w:sz w:val="14"/>
              </w:rPr>
              <w:t>)</w:t>
            </w:r>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Authenticated Outcome-Blind</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0.1621</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70</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0.0438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i/>
                <w:iCs/>
                <w:sz w:val="14"/>
              </w:rPr>
              <w:t>Demoted post-hoc sensitivity</w:t>
            </w:r>
            <w:r>
              <w:rPr>
                <w:rFonts w:ascii="Times New Roman" w:hAnsi="Times New Roman"/>
                <w:sz w:val="14"/>
                <w:vertAlign w:val="superscript"/>
              </w:rPr>
              <w:t>†</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0.0296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19</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22</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0.0018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gridSpan w:val="8"/>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vertAlign w:val="superscript"/>
              </w:rPr>
              <w:t>†</w:t>
            </w:r>
            <w:r>
              <w:rPr>
                <w:rFonts w:ascii="Times New Roman" w:hAnsi="Times New Roman"/>
                <w:sz w:val="14"/>
              </w:rPr>
              <w:t>Demoted and withdrawn: audit confirmed the original run unarchived</w:t>
            </w:r>
            <w:r>
              <w:rPr>
                <w:rFonts w:ascii="Times New Roman" w:hAnsi="Times New Roman"/>
                <w:sz w:val="14"/>
              </w:rPr>
              <w:t xml:space="preserve"> </w:t>
            </w:r>
            <m:oMath>
              <m:acc>
                <m:accPr>
                  <m:chr m:val="̂"/>
                </m:accPr>
                <m:e>
                  <m:r>
                    <w:rPr>
                      <w:sz w:val="15"/>
                      <w:szCs w:val="15"/>
                    </w:rPr>
                    <m:t>B</m:t>
                  </m:r>
                </m:e>
              </m:acc>
            </m:oMath>
            <w:r>
              <w:rPr>
                <w:rFonts w:ascii="Times New Roman" w:hAnsi="Times New Roman"/>
                <w:sz w:val="14"/>
              </w:rPr>
              <w:t>; the</w:t>
            </w:r>
            <w:r>
              <w:rPr>
                <w:rFonts w:ascii="Times New Roman" w:hAnsi="Times New Roman"/>
                <w:sz w:val="14"/>
              </w:rPr>
              <w:t xml:space="preserve"> </w:t>
            </w:r>
            <m:oMath>
              <m:r>
                <w:rPr>
                  <w:sz w:val="15"/>
                  <w:szCs w:val="15"/>
                </w:rPr>
                <m:t>31</m:t>
              </m:r>
              <m:r>
                <m:rPr>
                  <m:sty m:val="p"/>
                </m:rPr>
                <w:rPr>
                  <w:sz w:val="15"/>
                  <w:szCs w:val="15"/>
                </w:rPr>
                <m:t>/</m:t>
              </m:r>
              <m:r>
                <w:rPr>
                  <w:sz w:val="15"/>
                  <w:szCs w:val="15"/>
                </w:rPr>
                <m:t>19</m:t>
              </m:r>
              <m:r>
                <m:rPr>
                  <m:sty m:val="p"/>
                </m:rPr>
                <w:rPr>
                  <w:sz w:val="15"/>
                  <w:szCs w:val="15"/>
                </w:rPr>
                <m:t>/</m:t>
              </m:r>
              <m:r>
                <w:rPr>
                  <w:sz w:val="15"/>
                  <w:szCs w:val="15"/>
                </w:rPr>
                <m:t>22</m:t>
              </m:r>
            </m:oMath>
            <w:r>
              <w:rPr>
                <w:rFonts w:ascii="Times New Roman" w:hAnsi="Times New Roman"/>
                <w:sz w:val="14"/>
              </w:rPr>
              <w:t xml:space="preserve"> </w:t>
            </w:r>
            <w:r>
              <w:rPr>
                <w:rFonts w:ascii="Times New Roman" w:hAnsi="Times New Roman"/>
                <w:sz w:val="14"/>
              </w:rPr>
              <w:t>partition thresholded ground-truth</w:t>
            </w:r>
            <w:r>
              <w:rPr>
                <w:rFonts w:ascii="Times New Roman" w:hAnsi="Times New Roman"/>
                <w:sz w:val="14"/>
              </w:rPr>
              <w:t xml:space="preserve"> </w:t>
            </w:r>
            <m:oMath>
              <m:r>
                <w:rPr>
                  <w:sz w:val="15"/>
                  <w:szCs w:val="15"/>
                </w:rPr>
                <m:t>B</m:t>
              </m:r>
            </m:oMath>
            <w:r>
              <w:rPr>
                <w:rFonts w:ascii="Times New Roman" w:hAnsi="Times New Roman"/>
                <w:sz w:val="14"/>
              </w:rPr>
              <w:t xml:space="preserve"> </w:t>
            </w:r>
            <w:r>
              <w:rPr>
                <w:rFonts w:ascii="Times New Roman" w:hAnsi="Times New Roman"/>
                <w:sz w:val="14"/>
              </w:rPr>
              <w:t>post-hoc, conditioning on target labels.</w:t>
            </w:r>
          </w:p>
        </w:tc>
      </w:tr>
    </w:tbl>
    <w:bookmarkEnd w:id="114"/>
    <w:bookmarkStart w:id="115"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15"/>
    <w:bookmarkStart w:id="116"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16"/>
    <w:bookmarkStart w:id="120" w:name="b.8-boundary-and-transfer-diagnostics"/>
    <w:p>
      <w:pPr>
        <w:pStyle w:val="Heading2"/>
        <w:widowControl/>
      </w:pPr>
      <w:r>
        <w:t xml:space="preserve">B.8 Boundary and Transfer Diagnostics</w:t>
      </w:r>
    </w:p>
    <w:bookmarkStart w:id="117"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17"/>
    <w:bookmarkStart w:id="118"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w:rPr>
            <w:sz w:val="17"/>
            <w:szCs w:val="17"/>
          </w:rPr>
          <m:t>α</m:t>
        </m:r>
        <m:r>
          <m:rPr>
            <m:sty m:val="p"/>
          </m:rPr>
          <w:rPr>
            <w:sz w:val="17"/>
            <w:szCs w:val="17"/>
          </w:rPr>
          <m:t>=</m:t>
        </m:r>
        <m:r>
          <w:rPr>
            <w:sz w:val="17"/>
            <w:szCs w:val="17"/>
          </w:rPr>
          <m:t>0.10</m:t>
        </m:r>
      </m:oMath>
      <w:r>
        <w:t xml:space="preserve">, leave-one-out exact-rank empirical residual routing). Results provide cross-architecture selective-routing diagnostics; observed</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8"/>
    <w:bookmarkStart w:id="119"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9"/>
    <w:bookmarkEnd w:id="120"/>
    <w:bookmarkStart w:id="127"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24"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51960" cy="212598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22" name="Picture"/>
            <a:graphic>
              <a:graphicData uri="http://schemas.openxmlformats.org/drawingml/2006/picture">
                <pic:pic>
                  <pic:nvPicPr>
                    <pic:cNvPr descr="/var/folders/pk/ksqc41pj60q3589gfwhqz5tw0000gn/T/kbound-docx-73vp3v33/word_figures/figure-05-a432b33a97bd5dfd.png" id="123" name="Picture"/>
                    <pic:cNvPicPr>
                      <a:picLocks noChangeArrowheads="1" noChangeAspect="1"/>
                    </pic:cNvPicPr>
                  </pic:nvPicPr>
                  <pic:blipFill>
                    <a:blip r:embed="rId121"/>
                    <a:stretch>
                      <a:fillRect/>
                    </a:stretch>
                  </pic:blipFill>
                  <pic:spPr bwMode="auto">
                    <a:xfrm>
                      <a:off x="0" y="0"/>
                      <a:ext cx="4251960" cy="212598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24"/>
    <w:bookmarkStart w:id="125"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25"/>
    <w:bookmarkStart w:id="126"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26"/>
    <w:bookmarkEnd w:id="127"/>
    <w:bookmarkStart w:id="128"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8"/>
    <w:bookmarkStart w:id="129"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An earlier draft used a development-domain benefit-scale proxy as a surrogate for</w:t>
      </w:r>
      <w:r>
        <w:t xml:space="preserve"> </w:t>
      </w:r>
      <m:oMath>
        <m:r>
          <m:t>β</m:t>
        </m:r>
      </m:oMath>
      <w:r>
        <w:t xml:space="preserve">. Its raw sweep has not been recovered, so the numerical ranges below are unverified historical summaries and cannot empirically corroborate the evidence-fibre theorem.</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9"/>
    <w:bookmarkEnd w:id="130"/>
    <w:bookmarkStart w:id="131"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w:rPr>
                  <w:sz w:val="18"/>
                  <w:szCs w:val="18"/>
                </w:rPr>
                <m:t>β</m:t>
              </m:r>
              <m:r>
                <m:rPr>
                  <m:sty m:val="p"/>
                </m:rPr>
                <w:rPr>
                  <w:sz w:val="18"/>
                  <w:szCs w:val="18"/>
                </w:rPr>
                <m:t>&gt;</m:t>
              </m:r>
              <m:r>
                <w:rPr>
                  <w:sz w:val="18"/>
                  <w:szCs w:val="18"/>
                </w:rPr>
                <m:t>0</m:t>
              </m:r>
            </m:oMath>
            <w:r>
              <w:rPr>
                <w:rFonts w:ascii="Times New Roman" w:hAnsi="Times New Roman"/>
                <w:sz w:val="17"/>
              </w:rPr>
              <w:t>,</w:t>
            </w:r>
            <w:r>
              <w:rPr>
                <w:rFonts w:ascii="Times New Roman" w:hAnsi="Times New Roman"/>
                <w:sz w:val="17"/>
              </w:rPr>
              <w:t xml:space="preserve"> </w:t>
            </w: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w:rPr>
                      <w:sz w:val="18"/>
                      <w:szCs w:val="18"/>
                    </w:rPr>
                    <m:t>C</m:t>
                  </m:r>
                </m:e>
                <m:sub>
                  <m:r>
                    <w:rPr>
                      <w:sz w:val="18"/>
                      <w:szCs w:val="18"/>
                    </w:rP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w:rPr>
                      <w:sz w:val="18"/>
                      <w:szCs w:val="18"/>
                    </w:rPr>
                    <m:t>F</m:t>
                  </m:r>
                  <m:r>
                    <m:rPr>
                      <m:sty m:val="p"/>
                    </m:rPr>
                    <w:rPr>
                      <w:sz w:val="18"/>
                      <w:szCs w:val="18"/>
                    </w:rPr>
                    <m:t>A</m:t>
                  </m:r>
                </m:e>
                <m:sub>
                  <m:r>
                    <m:rPr>
                      <m:sty m:val="p"/>
                    </m:rPr>
                    <w:rPr>
                      <w:sz w:val="18"/>
                      <w:szCs w:val="18"/>
                    </w: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reported point-regret replication; recovered KGA decision/split receipts; rank-clipped calibration (B.3.3);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native AETTA estimator on the same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Historical summaries favor KGA in LOO point regret, but favor AETTA in B6 point regret and KGA in false-ADAPT counts. Development budgets differ; KGA mixed-sign decision/split receipts are recovered; original fitted-model/environment identities remain incomplete (B.3.3). Detailed values are retained in Appendix B.3.4.</w:t>
            </w:r>
          </w:p>
        </w:tc>
      </w:tr>
    </w:tbl>
    <w:bookmarkEnd w:id="131"/>
    <w:bookmarkStart w:id="136" w:name="d-calibration-and-evaluation-contracts"/>
    <w:p>
      <w:pPr>
        <w:pStyle w:val="Heading1"/>
        <w:widowControl/>
      </w:pPr>
      <w:r>
        <w:t xml:space="preserve">D Calibration and Evaluation Contracts</w:t>
      </w:r>
    </w:p>
    <w:bookmarkStart w:id="132"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32"/>
    <w:bookmarkStart w:id="133"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33"/>
    <w:bookmarkStart w:id="134"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34"/>
    <w:bookmarkStart w:id="135"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35"/>
    <w:bookmarkEnd w:id="136"/>
    <w:bookmarkStart w:id="137"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1,207/118/835 for EATA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and 1,430/0/730 for SAR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w:rPr>
                <w:sz w:val="17"/>
                <w:szCs w:val="17"/>
              </w:rPr>
              <m:t>b</m:t>
            </m:r>
          </m:e>
        </m:acc>
      </m:oMath>
      <w:r>
        <w:t xml:space="preserve">) yielded 1,107/359/694 for Tent, 1,241/132/787 for EATA, and 1,446/0/714 for SAR (all with</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37"/>
    <w:bookmarkStart w:id="144" w:name="f-inference-discipline"/>
    <w:p>
      <w:pPr>
        <w:pStyle w:val="Heading1"/>
        <w:widowControl/>
      </w:pPr>
      <w:r>
        <w:t xml:space="preserve">F Inference Discipline</w:t>
      </w:r>
    </w:p>
    <w:bookmarkStart w:id="138"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8"/>
    <w:bookmarkStart w:id="139"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w:rPr>
            <w:sz w:val="17"/>
            <w:szCs w:val="17"/>
          </w:rP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w:rPr>
                  <w:sz w:val="17"/>
                  <w:szCs w:val="17"/>
                </w:rP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9"/>
    <w:bookmarkStart w:id="140"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w:rPr>
            <w:sz w:val="17"/>
            <w:szCs w:val="17"/>
          </w:rPr>
          <m:t>2</m:t>
        </m:r>
        <m:r>
          <w:rPr>
            <w:sz w:val="17"/>
            <w:szCs w:val="17"/>
          </w:rPr>
          <m:t>ε</m:t>
        </m:r>
      </m:oMath>
      <w:r>
        <w:t xml:space="preserve">. Marginal errors (</w:t>
      </w:r>
      <m:oMath>
        <m:sSub>
          <m:e>
            <m:r>
              <m:rPr>
                <m:sty m:val="p"/>
              </m:rPr>
              <w:rPr>
                <w:sz w:val="17"/>
                <w:szCs w:val="17"/>
              </w:rPr>
              <m:t>F</m:t>
            </m:r>
            <m:r>
              <m:rPr>
                <m:sty m:val="p"/>
              </m:rPr>
              <w:rPr>
                <w:sz w:val="17"/>
                <w:szCs w:val="17"/>
              </w:rPr>
              <m:t>A</m:t>
            </m:r>
          </m:e>
          <m:sub>
            <m:r>
              <w:rPr>
                <w:sz w:val="17"/>
                <w:szCs w:val="17"/>
              </w:rPr>
              <m:t>u</m:t>
            </m:r>
          </m:sub>
        </m:sSub>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oMath>
      <w:r>
        <w:t xml:space="preserve">) divide by all</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 conditional errors (</w:t>
      </w:r>
      <m:oMath>
        <m:sSub>
          <m:e>
            <m:r>
              <m:rPr>
                <m:sty m:val="p"/>
              </m:rPr>
              <w:rPr>
                <w:sz w:val="17"/>
                <w:szCs w:val="17"/>
              </w:rPr>
              <m:t>F</m:t>
            </m:r>
            <m:r>
              <m:rPr>
                <m:sty m:val="p"/>
              </m:rPr>
              <w:rPr>
                <w:sz w:val="17"/>
                <w:szCs w:val="17"/>
              </w:rPr>
              <m:t>A</m:t>
            </m:r>
          </m:e>
          <m:sub>
            <m:r>
              <w:rPr>
                <w:sz w:val="17"/>
                <w:szCs w:val="17"/>
              </w:rPr>
              <m:t>c</m:t>
            </m:r>
          </m:sub>
        </m:sSub>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w:rPr>
                      <w:sz w:val="15"/>
                      <w:szCs w:val="15"/>
                    </w:rPr>
                    <m:t>F</m:t>
                  </m:r>
                  <m:r>
                    <m:rPr>
                      <m:sty m:val="p"/>
                    </m:rPr>
                    <w:rPr>
                      <w:sz w:val="15"/>
                      <w:szCs w:val="15"/>
                    </w:rPr>
                    <m:t>A</m:t>
                  </m:r>
                </m:e>
                <m:sub>
                  <m:r>
                    <w:rPr>
                      <w:sz w:val="15"/>
                      <w:szCs w:val="15"/>
                    </w:rP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40"/>
    <w:bookmarkStart w:id="141"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41"/>
    <w:bookmarkStart w:id="143"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42"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42"/>
    <w:bookmarkEnd w:id="143"/>
    <w:bookmarkEnd w:id="144"/>
    <w:bookmarkStart w:id="149"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establishes record-level traceability within the declared release scope.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These bindings authenticate retained bytes and arithmetic, not every historical</w:t>
      </w:r>
      <w:r>
        <w:t xml:space="preserve"> </w:t>
      </w:r>
      <w:r>
        <w:t xml:space="preserve">execution environment or model fit. Missing producer logs and checkpoint identities</w:t>
      </w:r>
      <w:r>
        <w:t xml:space="preserve"> </w:t>
      </w:r>
      <w:r>
        <w:t xml:space="preserve">remain explicit provenance limits; a checksum cannot reconstruct them.</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8" w:name="X70d84f40c09bb5f77e6b004cc7ba8ca8bcbd23b"/>
    <w:p>
      <w:pPr>
        <w:pStyle w:val="Heading2"/>
        <w:widowControl/>
      </w:pPr>
      <w:r>
        <w:t xml:space="preserve">G.1 CCT-20 Inference, Location, and Release Ledger</w:t>
      </w:r>
    </w:p>
    <w:bookmarkStart w:id="145"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w:rPr>
            <w:sz w:val="17"/>
            <w:szCs w:val="17"/>
          </w:rP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w:rPr>
                  <w:sz w:val="16"/>
                  <w:szCs w:val="16"/>
                </w: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w:rPr>
                  <w:sz w:val="16"/>
                  <w:szCs w:val="16"/>
                </w:rP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w:rPr>
                  <w:sz w:val="16"/>
                  <w:szCs w:val="16"/>
                </w:rP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45"/>
    <w:bookmarkStart w:id="146"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46"/>
    <w:bookmarkStart w:id="147"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w:rPr>
            <w:sz w:val="17"/>
            <w:szCs w:val="17"/>
          </w:rPr>
          <m:t>+</m:t>
        </m:r>
        <m:r>
          <m:rPr>
            <m:sty m:val="p"/>
          </m:rPr>
          <w:rPr>
            <w:sz w:val="17"/>
            <w:szCs w:val="17"/>
          </w:rPr>
          <m:t>/</m:t>
        </m:r>
        <m:r>
          <w:rPr>
            <w:sz w:val="17"/>
            <w:szCs w:val="17"/>
          </w:rPr>
          <m:t>0</m:t>
        </m:r>
        <m:r>
          <m:rPr>
            <m:sty m:val="p"/>
          </m:rPr>
          <w:rPr>
            <w:sz w:val="17"/>
            <w:szCs w:val="17"/>
          </w:rPr>
          <m:t>/</m:t>
        </m:r>
        <m:r>
          <m:rPr>
            <m:sty m:val="p"/>
          </m:rPr>
          <w:rPr>
            <w:sz w:val="17"/>
            <w:szCs w:val="17"/>
          </w: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w:rPr>
                  <w:sz w:val="15"/>
                  <w:szCs w:val="15"/>
                </w:rPr>
                <m:t>+</m:t>
              </m:r>
              <m:r>
                <m:rPr>
                  <m:sty m:val="p"/>
                </m:rPr>
                <w:rPr>
                  <w:sz w:val="15"/>
                  <w:szCs w:val="15"/>
                </w:rPr>
                <m:t>/</m:t>
              </m:r>
              <m:r>
                <w:rPr>
                  <w:sz w:val="15"/>
                  <w:szCs w:val="15"/>
                </w:rPr>
                <m:t>0</m:t>
              </m:r>
              <m:r>
                <m:rPr>
                  <m:sty m:val="p"/>
                </m:rPr>
                <w:rPr>
                  <w:sz w:val="15"/>
                  <w:szCs w:val="15"/>
                </w:rPr>
                <m:t>/</m:t>
              </m:r>
              <m:r>
                <m:rPr>
                  <m:sty m:val="p"/>
                </m:rPr>
                <w:rPr>
                  <w:sz w:val="15"/>
                  <w:szCs w:val="15"/>
                </w: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47"/>
    <w:bookmarkEnd w:id="148"/>
    <w:bookmarkEnd w:id="149"/>
    <w:bookmarkStart w:id="154" w:name="h-extended-kga-implementation-contract"/>
    <w:p>
      <w:pPr>
        <w:pStyle w:val="Heading1"/>
        <w:widowControl/>
      </w:pPr>
      <w:r>
        <w:t xml:space="preserve">H Extended KGA Implementation Contract</w:t>
      </w:r>
    </w:p>
    <w:bookmarkStart w:id="150"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50"/>
    <w:bookmarkStart w:id="151"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51"/>
    <w:bookmarkStart w:id="152"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52"/>
    <w:bookmarkStart w:id="153"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53"/>
    <w:bookmarkEnd w:id="154"/>
    <w:bookmarkStart w:id="156" w:name="i-evidence-inventory"/>
    <w:p>
      <w:pPr>
        <w:pStyle w:val="Heading1"/>
        <w:widowControl/>
      </w:pPr>
      <w:r>
        <w:t xml:space="preserve">I Evidence Inventory</w:t>
      </w:r>
    </w:p>
    <w:bookmarkStart w:id="155"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w:rPr>
                  <w:sz w:val="17"/>
                  <w:szCs w:val="17"/>
                </w:rP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w:rPr>
                      <w:sz w:val="17"/>
                      <w:szCs w:val="17"/>
                    </w:rPr>
                    <m:t>ℓ</m:t>
                  </m:r>
                </m:e>
                <m:sub>
                  <m:r>
                    <w:rPr>
                      <w:sz w:val="17"/>
                      <w:szCs w:val="17"/>
                    </w:rP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w:t>
      </w:r>
    </w:p>
    <w:tbl>
      <w:tblPr>
        <w:tblStyle w:val="Table"/>
        <w:tblW w:type="dxa" w:w="9960"/>
        <w:jc w:val="left"/>
        <w:tblLayout w:type="fixed"/>
        <w:tblLook w:firstRow="1" w:lastRow="0" w:firstColumn="0" w:lastColumn="0" w:noHBand="0" w:noVBand="0" w:val="0020"/>
        <w:tblCaption w:val="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14"/>
        <w:gridCol w:w="1360"/>
        <w:gridCol w:w="2299"/>
        <w:gridCol w:w="1154"/>
        <w:gridCol w:w="872"/>
        <w:gridCol w:w="3561"/>
      </w:tblGrid>
      <w:tr>
        <w:trPr>
          <w:tblHeader w:val="true"/>
          <w:cantSplit w:val="true"/>
        </w:trPr>
        <w:tc>
          <w:tcPr>
            <w:tcW w:w="7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Rank</w:t>
            </w:r>
          </w:p>
        </w:tc>
        <w:tc>
          <w:tcPr>
            <w:tcW w:w="13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2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11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Unverified Importance</w:t>
            </w:r>
          </w:p>
        </w:tc>
        <w:tc>
          <w:tcPr>
            <w:tcW w:w="872"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w:rPr>
                  <w:sz w:val="16"/>
                  <w:szCs w:val="16"/>
                </w:rPr>
                <m:t>Δ</m:t>
              </m:r>
            </m:oMath>
            <w:r>
              <w:rPr>
                <w:rFonts w:ascii="Times New Roman" w:hAnsi="Times New Roman"/>
                <w:b/>
                <w:bCs/>
                <w:sz w:val="15"/>
              </w:rPr>
              <w:t>RMSE (Drop)</w:t>
            </w:r>
          </w:p>
        </w:tc>
        <w:tc>
          <w:tcPr>
            <w:tcW w:w="35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Interpretation</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r>
                <m:rPr>
                  <m:sty m:val="p"/>
                </m:rPr>
                <w:rPr>
                  <w:sz w:val="16"/>
                  <w:szCs w:val="16"/>
                </w:rPr>
                <m:t>−</m:t>
              </m:r>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0</m:t>
                  </m:r>
                </m:sub>
              </m:sSub>
              <m:r>
                <m:rPr>
                  <m:sty m:val="p"/>
                </m:rPr>
                <w:rPr>
                  <w:sz w:val="16"/>
                  <w:szCs w:val="16"/>
                </w:rPr>
                <m:t>−</m:t>
              </m:r>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a</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w:rPr>
                  <w:sz w:val="16"/>
                  <w:szCs w:val="16"/>
                </w:rPr>
                <m:t>P</m:t>
              </m:r>
              <m:r>
                <m:rPr>
                  <m:sty m:val="p"/>
                </m:rPr>
                <w:rPr>
                  <w:sz w:val="16"/>
                  <w:szCs w:val="16"/>
                </w:rPr>
                <m:t>(</m:t>
              </m:r>
              <m:sSub>
                <m:e>
                  <m:r>
                    <w:rPr>
                      <w:sz w:val="16"/>
                      <w:szCs w:val="16"/>
                    </w:rPr>
                    <m:t>p</m:t>
                  </m:r>
                </m:e>
                <m:sub>
                  <m:r>
                    <w:rPr>
                      <w:sz w:val="16"/>
                      <w:szCs w:val="16"/>
                    </w:rPr>
                    <m:t>a</m:t>
                  </m:r>
                </m:sub>
              </m:sSub>
              <m:r>
                <m:rPr>
                  <m:sty m:val="p"/>
                </m:rPr>
                <w:rPr>
                  <w:sz w:val="16"/>
                  <w:szCs w:val="16"/>
                </w:rPr>
                <m:t>(</m:t>
              </m:r>
              <m:r>
                <w:rPr>
                  <w:sz w:val="16"/>
                  <w:szCs w:val="16"/>
                </w:rPr>
                <m:t>y</m:t>
              </m:r>
              <m:r>
                <m:rPr>
                  <m:sty m:val="p"/>
                </m:rPr>
                <w:rPr>
                  <w:sz w:val="16"/>
                  <w:szCs w:val="16"/>
                </w:rPr>
                <m:t>|</m:t>
              </m:r>
              <m:r>
                <w:rPr>
                  <w:sz w:val="16"/>
                  <w:szCs w:val="16"/>
                </w:rPr>
                <m:t>x</m:t>
              </m:r>
              <m:r>
                <m:rPr>
                  <m:sty m:val="p"/>
                </m:rPr>
                <w:rPr>
                  <w:sz w:val="16"/>
                  <w:szCs w:val="16"/>
                </w:rPr>
                <m:t>)</m:t>
              </m:r>
              <m:r>
                <m:rPr>
                  <m:sty m:val="p"/>
                </m:rPr>
                <w:rPr>
                  <w:sz w:val="16"/>
                  <w:szCs w:val="16"/>
                </w:rPr>
                <m:t>≥</m:t>
              </m:r>
              <m:r>
                <w:rPr>
                  <w:sz w:val="16"/>
                  <w:szCs w:val="16"/>
                </w:rPr>
                <m:t>0.9</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w:rPr>
                      <w:sz w:val="16"/>
                      <w:szCs w:val="16"/>
                    </w:rPr>
                    <m:t>D</m:t>
                  </m:r>
                </m:e>
                <m:sub>
                  <m:r>
                    <m:rPr>
                      <m:sty m:val="p"/>
                    </m:rPr>
                    <w:rPr>
                      <w:sz w:val="16"/>
                      <w:szCs w:val="16"/>
                    </w:rPr>
                    <m:t>K</m:t>
                  </m:r>
                  <m:r>
                    <m:rPr>
                      <m:sty m:val="p"/>
                    </m:rPr>
                    <w:rPr>
                      <w:sz w:val="16"/>
                      <w:szCs w:val="16"/>
                    </w:rPr>
                    <m:t>L</m:t>
                  </m:r>
                </m:sub>
              </m:sSub>
              <m:r>
                <m:rPr>
                  <m:sty m:val="p"/>
                </m:rPr>
                <w:rPr>
                  <w:sz w:val="16"/>
                  <w:szCs w:val="16"/>
                </w:rPr>
                <m:t>(</m:t>
              </m:r>
              <m:sSub>
                <m:e>
                  <m:r>
                    <w:rPr>
                      <w:sz w:val="16"/>
                      <w:szCs w:val="16"/>
                    </w:rPr>
                    <m:t>P</m:t>
                  </m:r>
                </m:e>
                <m:sub>
                  <m:r>
                    <w:rPr>
                      <w:sz w:val="16"/>
                      <w:szCs w:val="16"/>
                    </w:rPr>
                    <m:t>a</m:t>
                  </m:r>
                </m:sub>
              </m:sSub>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6"/>
                  <w:szCs w:val="16"/>
                </w:rPr>
                <m:t>∥</m:t>
              </m:r>
              <m:sSub>
                <m:e>
                  <m:r>
                    <w:rPr>
                      <w:sz w:val="16"/>
                      <w:szCs w:val="16"/>
                    </w:rPr>
                    <m:t>θ</m:t>
                  </m:r>
                </m:e>
                <m:sub>
                  <m:r>
                    <w:rPr>
                      <w:sz w:val="16"/>
                      <w:szCs w:val="16"/>
                    </w:rPr>
                    <m:t>a</m:t>
                  </m:r>
                </m:sub>
              </m:sSub>
              <m:r>
                <m:rPr>
                  <m:sty m:val="p"/>
                </m:rPr>
                <w:rPr>
                  <w:sz w:val="16"/>
                  <w:szCs w:val="16"/>
                </w:rPr>
                <m:t>−</m:t>
              </m:r>
              <m:sSub>
                <m:e>
                  <m:r>
                    <w:rPr>
                      <w:sz w:val="16"/>
                      <w:szCs w:val="16"/>
                    </w:rPr>
                    <m:t>θ</m:t>
                  </m:r>
                </m:e>
                <m:sub>
                  <m:r>
                    <w:rPr>
                      <w:sz w:val="16"/>
                      <w:szCs w:val="16"/>
                    </w:rPr>
                    <m:t>0</m:t>
                  </m:r>
                </m:sub>
              </m:sSub>
              <m:sSub>
                <m:e>
                  <m:r>
                    <m:rPr>
                      <m:sty m:val="p"/>
                    </m:rPr>
                    <w:rPr>
                      <w:sz w:val="16"/>
                      <w:szCs w:val="16"/>
                    </w:rPr>
                    <m:t>∥</m:t>
                  </m:r>
                </m:e>
                <m:sub>
                  <m:r>
                    <w:rPr>
                      <w:sz w:val="16"/>
                      <w:szCs w:val="16"/>
                    </w:rPr>
                    <m:t>2</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0</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a</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55"/>
    <w:bookmarkEnd w:id="156"/>
    <w:bookmarkStart w:id="160"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w:rPr>
                      <w:sz w:val="18"/>
                      <w:szCs w:val="18"/>
                    </w:rPr>
                    <m:t>f</m:t>
                  </m:r>
                </m:e>
                <m:sub>
                  <m:r>
                    <w:rPr>
                      <w:sz w:val="18"/>
                      <w:szCs w:val="18"/>
                    </w:rP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w:rPr>
                  <w:sz w:val="18"/>
                  <w:szCs w:val="18"/>
                </w:rPr>
                <m:t>k</m:t>
              </m:r>
              <m:r>
                <m:rPr>
                  <m:sty m:val="p"/>
                </m:rPr>
                <w:rPr>
                  <w:sz w:val="18"/>
                  <w:szCs w:val="18"/>
                </w:rPr>
                <m:t>&gt;</m:t>
              </m:r>
              <m:r>
                <w:rPr>
                  <w:sz w:val="18"/>
                  <w:szCs w:val="18"/>
                </w:rP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Start w:id="159" w:name="Xf2b186d0c6749073039a36bcc2a623b55e15e01"/>
    <w:p>
      <w:pPr>
        <w:pStyle w:val="Heading2"/>
        <w:widowControl/>
      </w:pPr>
      <w:r>
        <w:t xml:space="preserve">J.1 Local Implementation and Workload Measurements</w:t>
      </w:r>
    </w:p>
    <w:bookmarkStart w:id="157" w:name="X47192f796eb217fcc011893e928e8f588a32065"/>
    <w:p>
      <w:pPr>
        <w:pStyle w:val="Heading3"/>
        <w:keepNext/>
        <w:widowControl/>
        <w:spacing w:before="100" w:after="20" w:line="252" w:lineRule="auto"/>
      </w:pPr>
      <w:r>
        <w:rPr>
          <w:rFonts w:ascii="Times New Roman" w:hAnsi="Times New Roman" w:eastAsia="Times New Roman" w:cs="Times New Roman"/>
          <w:b/>
          <w:sz w:val="19"/>
        </w:rPr>
        <w:t xml:space="preserve">Natural-shift calibration and candidate costs.</w:t>
      </w:r>
    </w:p>
    <w:p>
      <w:pPr>
        <w:pStyle w:val="FirstParagraph"/>
        <w:widowControl/>
      </w:pPr>
      <w:r>
        <w:t xml:space="preserve">Calibration took 36.55 minutes including input verification and maintenance</w:t>
      </w:r>
      <w:r>
        <w:t xml:space="preserve"> </w:t>
      </w:r>
      <w:r>
        <w:t xml:space="preserve">overhead. The 95 full cell executions summed to 33.63 minutes; median cell cost</w:t>
      </w:r>
      <w:r>
        <w:t xml:space="preserve"> </w:t>
      </w:r>
      <w:r>
        <w:t xml:space="preserve">was 15.15 seconds, p95 was 63.34 seconds, and the maximum was 65.65 seconds.</w:t>
      </w:r>
      <w:r>
        <w:t xml:space="preserve"> </w:t>
      </w:r>
      <w:r>
        <w:t xml:space="preserve">Process peak RSS was 697 MiB, and the largest MPS driver allocation sampled after</w:t>
      </w:r>
      <w:r>
        <w:t xml:space="preserve"> </w:t>
      </w:r>
      <w:r>
        <w:t xml:space="preserve">a cell was 1,164 MiB. The latter is not a continuously measured peak.</w:t>
      </w:r>
    </w:p>
    <w:p>
      <w:pPr>
        <w:pStyle w:val="BodyText"/>
        <w:widowControl/>
      </w:pPr>
      <w:r>
        <w:t xml:space="preserve">The controller averages probe features across all five checkpoints. It therefore</w:t>
      </w:r>
      <w:r>
        <w:t xml:space="preserve"> </w:t>
      </w:r>
      <w:r>
        <w:t xml:space="preserve">pays for five shadow candidates before routing a city, including when its final</w:t>
      </w:r>
      <w:r>
        <w:t xml:space="preserve"> </w:t>
      </w:r>
      <w:r>
        <w:t xml:space="preserve">action retains the frozen model. Calibration maintenance, candidate construction,</w:t>
      </w:r>
      <w:r>
        <w:t xml:space="preserve"> </w:t>
      </w:r>
      <w:r>
        <w:t xml:space="preserve">probe inference, and subsequent serving inference must be counted separately.</w:t>
      </w:r>
    </w:p>
    <w:p>
      <w:pPr>
        <w:pStyle w:val="BodyText"/>
        <w:widowControl/>
      </w:pPr>
      <w:r>
        <w:t xml:space="preserve">A separate stage profile used the already-opened Cairo development city,</w:t>
      </w:r>
      <w:r>
        <w:t xml:space="preserve"> </w:t>
      </w:r>
      <w:r>
        <w:t xml:space="preserve">with 8,606 probe images and 8,839 evaluation images, all five checkpoints,</w:t>
      </w:r>
      <w:r>
        <w:t xml:space="preserve"> </w:t>
      </w:r>
      <w:r>
        <w:t xml:space="preserve">and three repetitions on this host’s MPS device. The sum of five checkpoint</w:t>
      </w:r>
      <w:r>
        <w:t xml:space="preserve"> </w:t>
      </w:r>
      <w:r>
        <w:t xml:space="preserve">resets, source probes, Tent updates, candidate probes, feature extraction,</w:t>
      </w:r>
      <w:r>
        <w:t xml:space="preserve"> </w:t>
      </w:r>
      <w:r>
        <w:t xml:space="preserve">and city-mean prediction was 203.22–208.24 seconds per repetition</w:t>
      </w:r>
      <w:r>
        <w:t xml:space="preserve"> </w:t>
      </w:r>
      <w:r>
        <w:t xml:space="preserve">(median 207.44 seconds), excluding subsequent serving inference and cleanup.</w:t>
      </w:r>
      <w:r>
        <w:t xml:space="preserve"> </w:t>
      </w:r>
      <w:r>
        <w:t xml:space="preserve">Across 15 checkpoint executions, median source-probe/statistic computation,</w:t>
      </w:r>
      <w:r>
        <w:t xml:space="preserve"> </w:t>
      </w:r>
      <w:r>
        <w:t xml:space="preserve">Tent update, and candidate-probe inference took 24.33, 9.66, and 6.89 seconds.</w:t>
      </w:r>
      <w:r>
        <w:t xml:space="preserve"> </w:t>
      </w:r>
      <w:r>
        <w:t xml:space="preserve">Inference on the evaluation images took a median 7.04 seconds for a source</w:t>
      </w:r>
      <w:r>
        <w:t xml:space="preserve"> </w:t>
      </w:r>
      <w:r>
        <w:t xml:space="preserve">model or 7.06 seconds for a candidate; both alternatives were measured separately,</w:t>
      </w:r>
      <w:r>
        <w:t xml:space="preserve"> </w:t>
      </w:r>
      <w:r>
        <w:t xml:space="preserve">not served as an ensemble. Setup and identity verification took 69.10 seconds;</w:t>
      </w:r>
      <w:r>
        <w:t xml:space="preserve"> </w:t>
      </w:r>
      <w:r>
        <w:t xml:space="preserve">the entire profile took 902.84 seconds. Process peak RSS was 675 MiB and the</w:t>
      </w:r>
      <w:r>
        <w:t xml:space="preserve"> </w:t>
      </w:r>
      <w:r>
        <w:t xml:space="preserve">largest sampled post-stage MPS driver allocation was 1,138 MiB.</w:t>
      </w:r>
      <w:r>
        <w:t xml:space="preserve"> </w:t>
      </w:r>
      <w:r>
        <w:t xml:space="preserve">These are descriptive costs from one opened city, without label reads,</w:t>
      </w:r>
      <w:r>
        <w:t xml:space="preserve"> </w:t>
      </w:r>
      <w:r>
        <w:t xml:space="preserve">explicit warmup, or exclusive-host isolation; document builds overlapped</w:t>
      </w:r>
      <w:r>
        <w:t xml:space="preserve"> </w:t>
      </w:r>
      <w:r>
        <w:t xml:space="preserve">some repetitions. They establish neither new efficacy nor a production latency</w:t>
      </w:r>
      <w:r>
        <w:t xml:space="preserve"> </w:t>
      </w:r>
      <w:r>
        <w:t xml:space="preserve">guarantee. Calibration acquisition, energy, and long-duration maintenance</w:t>
      </w:r>
      <w:r>
        <w:t xml:space="preserve"> </w:t>
      </w:r>
      <w:r>
        <w:t xml:space="preserve">costs remain unmeasured.</w:t>
      </w:r>
    </w:p>
    <w:bookmarkEnd w:id="157"/>
    <w:bookmarkStart w:id="158" w:name="lifecycle-and-local-api-measurements."/>
    <w:p>
      <w:pPr>
        <w:pStyle w:val="Heading3"/>
        <w:keepNext/>
        <w:widowControl/>
        <w:spacing w:before="100" w:after="20" w:line="252" w:lineRule="auto"/>
      </w:pPr>
      <w:r>
        <w:rPr>
          <w:rFonts w:ascii="Times New Roman" w:hAnsi="Times New Roman" w:eastAsia="Times New Roman" w:cs="Times New Roman"/>
          <w:b/>
          <w:sz w:val="19"/>
        </w:rPr>
        <w:t xml:space="preserve">Lifecycle and local API measurements.</w:t>
      </w:r>
    </w:p>
    <w:p>
      <w:pPr>
        <w:pStyle w:val="FirstParagraph"/>
        <w:widowControl/>
      </w:pPr>
      <w:r>
        <w:t xml:space="preserve">The reference lifecycle keeps source checkpoint bytes immutable and binds each</w:t>
      </w:r>
      <w:r>
        <w:t xml:space="preserve"> </w:t>
      </w:r>
      <w:r>
        <w:t xml:space="preserve">decision to source, candidate, input batch, adapter, estimator, calibration,</w:t>
      </w:r>
      <w:r>
        <w:t xml:space="preserve"> </w:t>
      </w:r>
      <w:r>
        <w:t xml:space="preserve">and schema identities. It rechecks calibration expiry after candidate execution</w:t>
      </w:r>
      <w:r>
        <w:t xml:space="preserve"> </w:t>
      </w:r>
      <w:r>
        <w:t xml:space="preserve">and journal persistence, rejects malformed or outcome-bearing evidence, and</w:t>
      </w:r>
      <w:r>
        <w:t xml:space="preserve"> </w:t>
      </w:r>
      <w:r>
        <w:t xml:space="preserve">preserves the source on failed estimates or journal writes. A validity window</w:t>
      </w:r>
      <w:r>
        <w:t xml:space="preserve"> </w:t>
      </w:r>
      <w:r>
        <w:t xml:space="preserve">and engineering request limits do not establish statistical validity under</w:t>
      </w:r>
      <w:r>
        <w:t xml:space="preserve"> </w:t>
      </w:r>
      <w:r>
        <w:t xml:space="preserve">adaptive repeated use. Callbacks remain trusted application code; content hashes</w:t>
      </w:r>
      <w:r>
        <w:t xml:space="preserve"> </w:t>
      </w:r>
      <w:r>
        <w:t xml:space="preserve">authenticate identities, not the truth of calibration or transfer assumptions.</w:t>
      </w:r>
      <w:r>
        <w:t xml:space="preserve"> </w:t>
      </w:r>
      <w:r>
        <w:t xml:space="preserve">The contract also caps retained receipts and journal bytes; capacity exhaustion</w:t>
      </w:r>
      <w:r>
        <w:t xml:space="preserve"> </w:t>
      </w:r>
      <w:r>
        <w:t xml:space="preserve">permanently closes the session and requires source fallback. Model retention is</w:t>
      </w:r>
      <w:r>
        <w:t xml:space="preserve"> </w:t>
      </w:r>
      <w:r>
        <w:t xml:space="preserve">bounded by the configured assessment count and must be sized to checkpoint bytes.</w:t>
      </w:r>
      <w:r>
        <w:t xml:space="preserve"> </w:t>
      </w:r>
      <w:r>
        <w:t xml:space="preserve">In 1,000 measured byte-fixture requests, median lifecycle overhead was</w:t>
      </w:r>
      <w:r>
        <w:t xml:space="preserve"> </w:t>
      </w:r>
      <m:oMath>
        <m:r>
          <m:t>0.114</m:t>
        </m:r>
      </m:oMath>
      <w:r>
        <w:t xml:space="preserve"> ms and p95 was</w:t>
      </w:r>
      <w:r>
        <w:t xml:space="preserve"> </w:t>
      </w:r>
      <m:oMath>
        <m:r>
          <m:t>0.184</m:t>
        </m:r>
      </m:oMath>
      <w:r>
        <w:t xml:space="preserve"> ms; all 1,027 journal records, including warmups</w:t>
      </w:r>
      <w:r>
        <w:t xml:space="preserve"> </w:t>
      </w:r>
      <w:r>
        <w:t xml:space="preserve">and fault cases, passed hash-chain verification. These figures exclude neural</w:t>
      </w:r>
      <w:r>
        <w:t xml:space="preserve"> </w:t>
      </w:r>
      <w:r>
        <w:t xml:space="preserve">candidate execution. Forty-six lifecycle regressions cover expiry, failed writes,</w:t>
      </w:r>
      <w:r>
        <w:t xml:space="preserve"> </w:t>
      </w:r>
      <w:r>
        <w:t xml:space="preserve">concurrent retries, invalid evidence, and capacity boundaries.</w:t>
      </w:r>
    </w:p>
    <w:p>
      <w:pPr>
        <w:pStyle w:val="BodyText"/>
        <w:widowControl/>
      </w:pPr>
      <w:r>
        <w:t xml:space="preserve">We also exercise the existing certificate API in local Docker production mode,</w:t>
      </w:r>
      <w:r>
        <w:t xml:space="preserve"> </w:t>
      </w:r>
      <w:r>
        <w:t xml:space="preserve">with a read-only root filesystem, a non-root process, authentication, and a</w:t>
      </w:r>
      <w:r>
        <w:t xml:space="preserve"> </w:t>
      </w:r>
      <w:r>
        <w:t xml:space="preserve">loopback-only port. This endpoint processes supplied certificate inputs; it</w:t>
      </w:r>
      <w:r>
        <w:t xml:space="preserve"> </w:t>
      </w:r>
      <w:r>
        <w:t xml:space="preserve">does not execute neural candidates or integrate the new lifecycle automatically.</w:t>
      </w:r>
      <w:r>
        <w:t xml:space="preserve"> </w:t>
      </w:r>
      <w:r>
        <w:t xml:space="preserve">These are local integration and load measurements, not independent production</w:t>
      </w:r>
      <w:r>
        <w:t xml:space="preserve"> </w:t>
      </w:r>
      <w:r>
        <w:t xml:space="preserve">deployments or a field reliability result.</w:t>
      </w:r>
      <w:r>
        <w:t xml:space="preserve"> </w:t>
      </w:r>
      <w:r>
        <w:t xml:space="preserve">For 100 sequential requests, median latency was</w:t>
      </w:r>
      <w:r>
        <w:t xml:space="preserve"> </w:t>
      </w:r>
      <m:oMath>
        <m:r>
          <m:t>2.40</m:t>
        </m:r>
      </m:oMath>
      <w:r>
        <w:t xml:space="preserve"> ms and p95 was</w:t>
      </w:r>
      <w:r>
        <w:t xml:space="preserve"> </w:t>
      </w:r>
      <m:oMath>
        <m:r>
          <m:t>3.78</m:t>
        </m:r>
      </m:oMath>
      <w:r>
        <w:t xml:space="preserve"> ms; with four concurrent workers and 100 requests, these were</w:t>
      </w:r>
      <w:r>
        <w:t xml:space="preserve"> </w:t>
      </w:r>
      <m:oMath>
        <m:r>
          <m:t>6.00</m:t>
        </m:r>
      </m:oMath>
      <w:r>
        <w:t xml:space="preserve"> ms and</w:t>
      </w:r>
      <w:r>
        <w:t xml:space="preserve"> </w:t>
      </w:r>
      <m:oMath>
        <m:r>
          <m:t>12.90</m:t>
        </m:r>
      </m:oMath>
      <w:r>
        <w:t xml:space="preserve"> ms. The image’s 54 code and lock-file hashes matched</w:t>
      </w:r>
      <w:r>
        <w:t xml:space="preserve"> </w:t>
      </w:r>
      <w:r>
        <w:t xml:space="preserve">the source used for that measurement. This short local load test does not measure long-duration</w:t>
      </w:r>
      <w:r>
        <w:t xml:space="preserve"> </w:t>
      </w:r>
      <w:r>
        <w:t xml:space="preserve">availability, energy, or independently replicated production utility.</w:t>
      </w:r>
    </w:p>
    <w:bookmarkEnd w:id="158"/>
    <w:bookmarkEnd w:id="159"/>
    <w:bookmarkEnd w:id="160"/>
    <w:bookmarkStart w:id="165"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61"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61"/>
    <w:bookmarkStart w:id="162"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62"/>
    <w:bookmarkStart w:id="163"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w:rPr>
                  <w:sz w:val="18"/>
                  <w:szCs w:val="18"/>
                </w:rP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63"/>
    <w:bookmarkStart w:id="164"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64"/>
    <w:bookmarkEnd w:id="165"/>
    <w:bookmarkStart w:id="173"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w:rPr>
                  <w:sz w:val="17"/>
                  <w:szCs w:val="17"/>
                </w:rPr>
                <m:t>0</m:t>
              </m:r>
              <m:r>
                <m:rPr>
                  <m:sty m:val="p"/>
                </m:rPr>
                <w:rPr>
                  <w:sz w:val="17"/>
                  <w:szCs w:val="17"/>
                </w:rPr>
                <m:t>/</m:t>
              </m:r>
              <m:r>
                <w:rPr>
                  <w:sz w:val="17"/>
                  <w:szCs w:val="17"/>
                </w:rP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&gt;</m:t>
              </m:r>
              <m:r>
                <w:rPr>
                  <w:sz w:val="17"/>
                  <w:szCs w:val="17"/>
                </w:rP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7"/>
                  <w:szCs w:val="17"/>
                </w:rPr>
                <m:t>Δ</m:t>
              </m:r>
              <m:r>
                <m:rPr>
                  <m:sty m:val="p"/>
                </m:rPr>
                <w:rPr>
                  <w:sz w:val="17"/>
                  <w:szCs w:val="17"/>
                </w:rPr>
                <m:t>=</m:t>
              </m:r>
              <m:r>
                <w:rPr>
                  <w:sz w:val="17"/>
                  <w:szCs w:val="17"/>
                </w:rPr>
                <m:t>2</m:t>
              </m:r>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m:t>
              </m:r>
              <m:r>
                <w:rPr>
                  <w:sz w:val="17"/>
                  <w:szCs w:val="17"/>
                </w:rPr>
                <m:t>M</m:t>
              </m:r>
              <m:r>
                <m:rPr>
                  <m:sty m:val="p"/>
                </m:rPr>
                <w:rPr>
                  <w:sz w:val="17"/>
                  <w:szCs w:val="17"/>
                </w:rPr>
                <m:t>+</m:t>
              </m:r>
              <m:r>
                <w:rPr>
                  <w:sz w:val="17"/>
                  <w:szCs w:val="17"/>
                </w:rPr>
                <m:t>γ</m:t>
              </m:r>
              <m:r>
                <m:rPr>
                  <m:sty m:val="p"/>
                </m:rPr>
                <w:rPr>
                  <w:sz w:val="17"/>
                  <w:szCs w:val="17"/>
                </w: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w:rPr>
                  <w:sz w:val="17"/>
                  <w:szCs w:val="17"/>
                </w:rP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w:rPr>
                  <w:sz w:val="17"/>
                  <w:szCs w:val="17"/>
                </w:rPr>
                <m:t>β</m:t>
              </m:r>
              <m:r>
                <m:rPr>
                  <m:sty m:val="p"/>
                </m:rPr>
                <w:rPr>
                  <w:sz w:val="17"/>
                  <w:szCs w:val="17"/>
                </w:rPr>
                <m:t>&gt;</m:t>
              </m:r>
              <m:r>
                <w:rPr>
                  <w:sz w:val="17"/>
                  <w:szCs w:val="17"/>
                </w:rPr>
                <m:t>0</m:t>
              </m:r>
            </m:oMath>
            <w:r>
              <w:rPr>
                <w:rFonts w:ascii="Times New Roman" w:hAnsi="Times New Roman"/>
                <w:sz w:val="16"/>
              </w:rPr>
              <w:t>,</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&lt;</m:t>
              </m:r>
              <m:r>
                <w:rPr>
                  <w:sz w:val="17"/>
                  <w:szCs w:val="17"/>
                </w:rP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w:rPr>
                  <w:sz w:val="17"/>
                  <w:szCs w:val="17"/>
                </w:rPr>
                <m:t>Δ</m:t>
              </m:r>
              <m:r>
                <m:rPr>
                  <m:sty m:val="p"/>
                </m:rPr>
                <w:rPr>
                  <w:sz w:val="17"/>
                  <w:szCs w:val="17"/>
                </w:rPr>
                <m:t>=</m:t>
              </m:r>
              <m:r>
                <w:rPr>
                  <w:sz w:val="17"/>
                  <w:szCs w:val="17"/>
                </w:rP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w:rPr>
                  <w:sz w:val="17"/>
                  <w:szCs w:val="17"/>
                </w:rPr>
                <m:t>|</m:t>
              </m:r>
              <m:r>
                <w:rPr>
                  <w:sz w:val="17"/>
                  <w:szCs w:val="17"/>
                </w:rPr>
                <m:t>γ</m:t>
              </m:r>
              <m:r>
                <m:rPr>
                  <m:sty m:val="p"/>
                </m:rPr>
                <w:rPr>
                  <w:sz w:val="17"/>
                  <w:szCs w:val="17"/>
                </w:rPr>
                <m:t>|</m:t>
              </m:r>
              <m:r>
                <m:rPr>
                  <m:sty m:val="p"/>
                </m:rPr>
                <w:rPr>
                  <w:sz w:val="17"/>
                  <w:szCs w:val="17"/>
                </w:rPr>
                <m:t>≤</m:t>
              </m:r>
              <m:r>
                <w:rPr>
                  <w:sz w:val="17"/>
                  <w:szCs w:val="17"/>
                </w:rP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w:rPr>
                  <w:sz w:val="17"/>
                  <w:szCs w:val="17"/>
                </w:rP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&gt;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w:rPr>
                  <w:sz w:val="17"/>
                  <w:szCs w:val="17"/>
                </w:rP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w:rPr>
                  <w:sz w:val="17"/>
                  <w:szCs w:val="17"/>
                </w:rP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w:rPr>
                  <w:sz w:val="17"/>
                  <w:szCs w:val="17"/>
                </w:rP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w:rPr>
                      <w:sz w:val="17"/>
                      <w:szCs w:val="17"/>
                    </w:rPr>
                    <m:t>h</m:t>
                  </m:r>
                </m:e>
                <m:sub>
                  <m:r>
                    <w:rPr>
                      <w:sz w:val="17"/>
                      <w:szCs w:val="17"/>
                    </w:rP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66"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66"/>
    <w:bookmarkStart w:id="167"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67"/>
    <w:bookmarkStart w:id="168"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68"/>
    <w:bookmarkStart w:id="169"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69"/>
    <w:bookmarkStart w:id="170"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70"/>
    <w:bookmarkStart w:id="171"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71"/>
    <w:bookmarkStart w:id="172"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72"/>
    <w:bookmarkEnd w:id="173"/>
    <w:bookmarkStart w:id="176"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unrestricted historical extension;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Start w:id="175" w:name="m.1-population-to-cell-correspondence"/>
    <w:p>
      <w:pPr>
        <w:pStyle w:val="Heading2"/>
        <w:widowControl/>
      </w:pPr>
      <w:r>
        <w:t xml:space="preserve">M.1 Population-to-Cell Correspondence</w:t>
      </w:r>
    </w:p>
    <w:p>
      <w:pPr>
        <w:pStyle w:val="FirstParagraph"/>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174"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The 150 registered checks cover the scoped results described above.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174"/>
    <w:bookmarkEnd w:id="175"/>
    <w:bookmarkEnd w:id="176"/>
    <w:bookmarkStart w:id="183" w:name="n-reproducibility-and-release-procedures"/>
    <w:p>
      <w:pPr>
        <w:pStyle w:val="Heading1"/>
        <w:widowControl/>
      </w:pPr>
      <w:r>
        <w:t xml:space="preserve">N Reproducibility and Release Procedures</w:t>
      </w:r>
    </w:p>
    <w:bookmarkStart w:id="178"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77"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p>
      <w:pPr>
        <w:pStyle w:val="TableCaption"/>
        <w:widowControl/>
      </w:pPr>
      <w:r>
        <w:t xml:space="preserve">Table 44. Unified Master Statistical Synthesis Matrix across evaluated empirical tracks. For each track, we summarize the evaluation unit, sample size</w:t>
      </w:r>
      <w:r>
        <w:t xml:space="preserve"> </w:t>
      </w:r>
      <m:oMath>
        <m:r>
          <w:rPr>
            <w:sz w:val="17"/>
            <w:szCs w:val="17"/>
          </w:rPr>
          <m:t>n</m:t>
        </m:r>
      </m:oMath>
      <w:r>
        <w:t xml:space="preserve">, baseline contrasts with nominal confidence intervals, multiplicity-adjusted significance, and empirical verdict.</w:t>
      </w:r>
    </w:p>
    <w:tbl>
      <w:tblPr>
        <w:tblStyle w:val="Table"/>
        <w:tblW w:type="dxa" w:w="9960"/>
        <w:jc w:val="left"/>
        <w:tblLayout w:type="fixed"/>
        <w:tblLook w:firstRow="1" w:lastRow="0" w:firstColumn="0" w:lastColumn="0" w:noHBand="0" w:noVBand="0" w:val="0020"/>
        <w:tblCaption w:val="Table 44. Unified Master Statistical Synthesis Matrix across evaluated empirical tracks. For each track, we summarize the evaluation unit, sample size n, baseline contrasts with nominal confidence intervals, multiplicity-adjusted significance, and empirical verdic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Benchmark Track</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Evaluation Unit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Adapt</w:t>
            </w:r>
            <w:r>
              <w:rPr>
                <w:rFonts w:ascii="Times New Roman" w:hAnsi="Times New Roman"/>
                <w:b/>
                <w:sz w:val="15"/>
                <w:vertAlign w:val="superscript"/>
              </w:rPr>
              <w: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Freeze</w:t>
            </w:r>
            <w:r>
              <w:rPr>
                <w:rFonts w:ascii="Times New Roman" w:hAnsi="Times New Roman"/>
                <w:b/>
                <w:sz w:val="15"/>
                <w:vertAlign w:val="superscript"/>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A: Primary Controlled Benchmarks and Safety Endpoints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+0.0062</w:t>
            </w:r>
            <w:r>
              <w:rPr>
                <w:rFonts w:ascii="Times New Roman" w:hAnsi="Times New Roman"/>
                <w:sz w:val="15"/>
              </w:rPr>
              <w:t xml:space="preserve"> </w:t>
            </w:r>
            <w:r>
              <w:rPr>
                <w:rFonts w:ascii="Times New Roman" w:hAnsi="Times New Roman"/>
                <w:sz w:val="15"/>
              </w:rPr>
              <w:t>[0.0023, 0.0095]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+0.1221</w:t>
            </w:r>
            <w:r>
              <w:rPr>
                <w:rFonts w:ascii="Times New Roman" w:hAnsi="Times New Roman"/>
                <w:sz w:val="15"/>
              </w:rPr>
              <w:t xml:space="preserve"> </w:t>
            </w:r>
            <w:r>
              <w:rPr>
                <w:rFonts w:ascii="Times New Roman" w:hAnsi="Times New Roman"/>
                <w:sz w:val="15"/>
              </w:rPr>
              <w:t>[0.0630, 0.1777]</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0.0938</m:t>
              </m:r>
            </m:oMath>
            <w:r>
              <w:rPr>
                <w:rFonts w:ascii="Times New Roman" w:hAnsi="Times New Roman"/>
                <w:sz w:val="15"/>
              </w:rPr>
              <w:t>; Positive empirical gain; Holm unconfirmed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(EATA)</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+0.0017</w:t>
            </w:r>
            <w:r>
              <w:rPr>
                <w:rFonts w:ascii="Times New Roman" w:hAnsi="Times New Roman"/>
                <w:sz w:val="15"/>
              </w:rPr>
              <w:t xml:space="preserve"> </w:t>
            </w:r>
            <w:r>
              <w:rPr>
                <w:rFonts w:ascii="Times New Roman" w:hAnsi="Times New Roman"/>
                <w:sz w:val="15"/>
              </w:rPr>
              <w:t>[-0.0013, 0.0044]</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+0.1297</w:t>
            </w:r>
            <w:r>
              <w:rPr>
                <w:rFonts w:ascii="Times New Roman" w:hAnsi="Times New Roman"/>
                <w:sz w:val="15"/>
              </w:rPr>
              <w:t xml:space="preserve"> </w:t>
            </w:r>
            <w:r>
              <w:rPr>
                <w:rFonts w:ascii="Times New Roman" w:hAnsi="Times New Roman"/>
                <w:sz w:val="15"/>
              </w:rPr>
              <w:t>[0.0690, 0.1875]</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0.3125</m:t>
              </m:r>
            </m:oMath>
            <w:r>
              <w:rPr>
                <w:rFonts w:ascii="Times New Roman" w:hAnsi="Times New Roman"/>
                <w:sz w:val="15"/>
              </w:rPr>
              <w:t>; Empirical gain positive; CI spans zero</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(SAR)</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-0.0013</w:t>
            </w:r>
            <w:r>
              <w:rPr>
                <w:rFonts w:ascii="Times New Roman" w:hAnsi="Times New Roman"/>
                <w:sz w:val="15"/>
              </w:rPr>
              <w:t xml:space="preserve"> </w:t>
            </w:r>
            <w:r>
              <w:rPr>
                <w:rFonts w:ascii="Times New Roman" w:hAnsi="Times New Roman"/>
                <w:sz w:val="15"/>
              </w:rPr>
              <w:t>[-0.0027, -0.0002]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+0.1388</w:t>
            </w:r>
            <w:r>
              <w:rPr>
                <w:rFonts w:ascii="Times New Roman" w:hAnsi="Times New Roman"/>
                <w:sz w:val="15"/>
              </w:rPr>
              <w:t xml:space="preserve"> </w:t>
            </w:r>
            <w:r>
              <w:rPr>
                <w:rFonts w:ascii="Times New Roman" w:hAnsi="Times New Roman"/>
                <w:sz w:val="15"/>
              </w:rPr>
              <w:t>[0.0800, 0.1969]</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0.9062</m:t>
              </m:r>
            </m:oMath>
            <w:r>
              <w:rPr>
                <w:rFonts w:ascii="Times New Roman" w:hAnsi="Times New Roman"/>
                <w:sz w:val="15"/>
              </w:rPr>
              <w:t>; Conservative regret tradeoff; adapt favored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CCT-20 Safe Utility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Location</w:t>
            </w:r>
            <w:r>
              <w:rPr>
                <w:rFonts w:ascii="Times New Roman" w:hAnsi="Times New Roman"/>
                <w:sz w:val="15"/>
              </w:rPr>
              <w:t xml:space="preserve"> </w:t>
            </w:r>
            <m:oMath>
              <m:r>
                <m:rPr>
                  <m:sty m:val="p"/>
                </m:rPr>
                <w:rPr>
                  <w:sz w:val="16"/>
                  <w:szCs w:val="16"/>
                </w:rPr>
                <m:t>×</m:t>
              </m:r>
            </m:oMath>
            <w:r>
              <w:rPr>
                <w:rFonts w:ascii="Times New Roman" w:hAnsi="Times New Roman"/>
                <w:sz w:val="15"/>
              </w:rPr>
              <w:t xml:space="preserve"> </w:t>
            </w:r>
            <w:r>
              <w:rPr>
                <w:rFonts w:ascii="Times New Roman" w:hAnsi="Times New Roman"/>
                <w:sz w:val="15"/>
              </w:rPr>
              <w:t>Checkpoint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+0.1819</w:t>
            </w:r>
            <w:r>
              <w:rPr>
                <w:rFonts w:ascii="Times New Roman" w:hAnsi="Times New Roman"/>
                <w:sz w:val="15"/>
              </w:rPr>
              <w:t xml:space="preserve"> </w:t>
            </w:r>
            <w:r>
              <w:rPr>
                <w:rFonts w:ascii="Times New Roman" w:hAnsi="Times New Roman"/>
                <w:sz w:val="15"/>
              </w:rPr>
              <w:t>[0.0850, 0.3107]</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sSup>
                <m:e>
                  <m:r>
                    <w:rPr>
                      <w:sz w:val="16"/>
                      <w:szCs w:val="16"/>
                    </w:rPr>
                    <m:t>0.0050</m:t>
                  </m:r>
                </m:e>
                <m:sup>
                  <m:r>
                    <m:rPr>
                      <m:sty m:val="p"/>
                    </m:rPr>
                    <w:rPr>
                      <w:sz w:val="16"/>
                      <w:szCs w:val="16"/>
                    </w:rPr>
                    <m:t>*</m:t>
                  </m:r>
                </m:sup>
              </m:sSup>
            </m:oMath>
            <w:r>
              <w:rPr>
                <w:rFonts w:ascii="Times New Roman" w:hAnsi="Times New Roman"/>
                <w:sz w:val="15"/>
              </w:rPr>
              <w:t>; Predeclared safe-utility retention endpoint passed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B: Independent Checkpoints, Published Baselines, and Diagnostic Transfer Panels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Independent Models (Mixed,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+0.0078 to +0.0131</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+0.1259 to +0.1403</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Point-regret ordering replication; no model population inference</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+0.09 to +0.28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LOO KGA (within-model calibration on evaluated checkpoint) achieves lower point regret (+0.09 to +0.28 pp) and</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0.0000</m:t>
              </m:r>
            </m:oMath>
            <w:r>
              <w:rPr>
                <w:rFonts w:ascii="Times New Roman" w:hAnsi="Times New Roman"/>
                <w:sz w:val="15"/>
              </w:rPr>
              <w:t>–</w:t>
            </w:r>
            <m:oMath>
              <m:r>
                <w:rPr>
                  <w:sz w:val="16"/>
                  <w:szCs w:val="16"/>
                </w:rPr>
                <m:t>0.0278</m:t>
              </m:r>
            </m:oMath>
            <w:r>
              <w:rPr>
                <w:rFonts w:ascii="Times New Roman" w:hAnsi="Times New Roman"/>
                <w:sz w:val="15"/>
              </w:rPr>
              <w:t xml:space="preserve"> </w:t>
            </w:r>
            <w:r>
              <w:rPr>
                <w:rFonts w:ascii="Times New Roman" w:hAnsi="Times New Roman"/>
                <w:sz w:val="15"/>
              </w:rPr>
              <w:t>vs</w:t>
            </w:r>
            <w:r>
              <w:rPr>
                <w:rFonts w:ascii="Times New Roman" w:hAnsi="Times New Roman"/>
                <w:sz w:val="15"/>
              </w:rPr>
              <w:t xml:space="preserve"> </w:t>
            </w:r>
            <m:oMath>
              <m:r>
                <w:rPr>
                  <w:sz w:val="16"/>
                  <w:szCs w:val="16"/>
                </w:rPr>
                <m:t>4</m:t>
              </m:r>
            </m:oMath>
            <w:r>
              <w:rPr>
                <w:rFonts w:ascii="Times New Roman" w:hAnsi="Times New Roman"/>
                <w:sz w:val="15"/>
              </w:rPr>
              <w:t>–</w:t>
            </w:r>
            <m:oMath>
              <m:r>
                <w:rPr>
                  <w:sz w:val="16"/>
                  <w:szCs w:val="16"/>
                </w:rPr>
                <m:t>5</m:t>
              </m:r>
            </m:oMath>
            <w:r>
              <w:rPr>
                <w:rFonts w:ascii="Times New Roman" w:hAnsi="Times New Roman"/>
                <w:sz w:val="15"/>
              </w:rPr>
              <w:t xml:space="preserve"> </w:t>
            </w:r>
            <w:r>
              <w:rPr>
                <w:rFonts w:ascii="Times New Roman" w:hAnsi="Times New Roman"/>
                <w:sz w:val="15"/>
              </w:rPr>
              <w:t>for AETTA,</w:t>
            </w:r>
            <w:r>
              <w:rPr>
                <w:rFonts w:ascii="Times New Roman" w:hAnsi="Times New Roman"/>
                <w:sz w:val="15"/>
              </w:rPr>
              <w:t xml:space="preserve">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0.1111</m:t>
              </m:r>
            </m:oMath>
            <w:r>
              <w:rPr>
                <w:rFonts w:ascii="Times New Roman" w:hAnsi="Times New Roman"/>
                <w:sz w:val="15"/>
              </w:rPr>
              <w:t>–</w:t>
            </w:r>
            <m:oMath>
              <m:r>
                <w:rPr>
                  <w:sz w:val="16"/>
                  <w:szCs w:val="16"/>
                </w:rPr>
                <m:t>0.1389</m:t>
              </m:r>
            </m:oMath>
            <w:r>
              <w:rPr>
                <w:rFonts w:ascii="Times New Roman" w:hAnsi="Times New Roman"/>
                <w:sz w:val="15"/>
              </w:rPr>
              <w:t>)</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(B6 Disjoint)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-0.78 to -0.05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B6 achieves lower regret than both fixed policies but has higher point regret (-0.78 to -0.05 pp vs AETTA) with 0 observed false adaptations across all models (vs 4–5 observed for AETTA)</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ImageNet-C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Condition-Seed Cell</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+0.0052</w:t>
            </w:r>
            <w:r>
              <w:rPr>
                <w:rFonts w:ascii="Times New Roman" w:hAnsi="Times New Roman"/>
                <w:sz w:val="15"/>
              </w:rPr>
              <w:t xml:space="preserve"> </w:t>
            </w:r>
            <w:r>
              <w:rPr>
                <w:rFonts w:ascii="Times New Roman" w:hAnsi="Times New Roman"/>
                <w:sz w:val="15"/>
              </w:rPr>
              <w:t>[0.0019, 0.0085]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+0.0006</w:t>
            </w:r>
            <w:r>
              <w:rPr>
                <w:rFonts w:ascii="Times New Roman" w:hAnsi="Times New Roman"/>
                <w:sz w:val="15"/>
              </w:rPr>
              <w:t xml:space="preserve"> </w:t>
            </w:r>
            <w:r>
              <w:rPr>
                <w:rFonts w:ascii="Times New Roman" w:hAnsi="Times New Roman"/>
                <w:sz w:val="15"/>
              </w:rPr>
              <w:t>[0.0000, 0.0018]</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1 ADAPT, 134 ABSTAIN; diagnostic gain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Office-Home Primary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+0.0310</w:t>
            </w:r>
            <w:r>
              <w:rPr>
                <w:rFonts w:ascii="Times New Roman" w:hAnsi="Times New Roman"/>
                <w:sz w:val="15"/>
              </w:rPr>
              <w:t xml:space="preserve"> </w:t>
            </w:r>
            <w:r>
              <w:rPr>
                <w:rFonts w:ascii="Times New Roman" w:hAnsi="Times New Roman"/>
                <w:sz w:val="15"/>
              </w:rPr>
              <w:t>[0.0031, 0.0623]</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Abstention avoids measured adaptation degradation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PACS Aggregate</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-0.0255</w:t>
            </w:r>
            <w:r>
              <w:rPr>
                <w:rFonts w:ascii="Times New Roman" w:hAnsi="Times New Roman"/>
                <w:sz w:val="15"/>
              </w:rPr>
              <w:t xml:space="preserve"> </w:t>
            </w:r>
            <w:r>
              <w:rPr>
                <w:rFonts w:ascii="Times New Roman" w:hAnsi="Times New Roman"/>
                <w:sz w:val="15"/>
              </w:rPr>
              <w:t>[-0.0390, -0.0120]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+0.0015</w:t>
            </w:r>
            <w:r>
              <w:rPr>
                <w:rFonts w:ascii="Times New Roman" w:hAnsi="Times New Roman"/>
                <w:sz w:val="15"/>
              </w:rPr>
              <w:t xml:space="preserve"> </w:t>
            </w:r>
            <w:r>
              <w:rPr>
                <w:rFonts w:ascii="Times New Roman" w:hAnsi="Times New Roman"/>
                <w:sz w:val="15"/>
              </w:rPr>
              <w:t>[-0.0080, +0.0110]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Small-</w:t>
            </w:r>
            <m:oMath>
              <m:r>
                <w:rPr>
                  <w:sz w:val="16"/>
                  <w:szCs w:val="16"/>
                </w:rPr>
                <m:t>n</m:t>
              </m:r>
            </m:oMath>
            <w:r>
              <w:rPr>
                <w:rFonts w:ascii="Times New Roman" w:hAnsi="Times New Roman"/>
                <w:sz w:val="15"/>
              </w:rPr>
              <w:t xml:space="preserve"> </w:t>
            </w:r>
            <w:r>
              <w:rPr>
                <w:rFonts w:ascii="Times New Roman" w:hAnsi="Times New Roman"/>
                <w:sz w:val="15"/>
              </w:rPr>
              <w:t>exploratory baseline; adapt favored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Nominal 95% bootstrap CIs for CIFAR-10-C (clustered by 6 corruption families), ImageNet-C, Office-Home (seed bootstrap), and PACS; for CCT-20, intervals report the two-comparator nominal 97.5% CIs while the safe-utility non-inferiority check establishes</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r>
                <w:rPr>
                  <w:sz w:val="16"/>
                  <w:szCs w:val="16"/>
                </w:rPr>
                <m:t>0.0050</m:t>
              </m:r>
            </m:oMath>
            <w:r>
              <w:rPr>
                <w:rFonts w:ascii="Times New Roman" w:hAnsi="Times New Roman"/>
                <w:sz w:val="15"/>
              </w:rPr>
              <w:t xml:space="preserve"> </w:t>
            </w:r>
            <w:r>
              <w:rPr>
                <w:rFonts w:ascii="Times New Roman" w:hAnsi="Times New Roman"/>
                <w:sz w:val="15"/>
              </w:rPr>
              <w:t>vs. freeze. For the AETTA baseline, columns report KGA regret contrasts against the authenticated native AETTA recovery rule: LOO (within-model calibration on evaluated checkpoint) achieves lower regret (+0.09 to +0.28 pp) with</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Historical rank-clipped B6 achieves lower regret than both fixed policies but has higher point regret (-0.78 to -0.05 pp vs AETTA) with zero observed false adaptations across all models vs 4–5 observed for AETTA. Positive values favor KGA.</w:t>
            </w:r>
          </w:p>
        </w:tc>
      </w:tr>
    </w:tbl>
    <w:bookmarkEnd w:id="177"/>
    <w:bookmarkEnd w:id="178"/>
    <w:bookmarkStart w:id="179"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rPr>
          <w:rStyle w:val="VerbatimChar"/>
        </w:rPr>
        <w:t xml:space="preserve">KBOUND_PYTHON=.venv/bin/python bash </w:t>
      </w:r>
      <w:r>
        <w:rPr>
          <w:rStyle w:val="VerbatimChar"/>
        </w:rPr>
        <w:t xml:space="preserve">docs/research/kbound/runbooks/release_candidate.sh</w:t>
      </w:r>
      <w:r>
        <w:rPr>
          <w:rStyle w:val="VerbatimChar"/>
        </w:rPr>
        <w:t xml:space="preserve"> all</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widowControl/>
      </w:pPr>
      <w:r>
        <w:t xml:space="preserve">For presentation-only rebuilding from already validated authorities, the command is:</w:t>
      </w:r>
    </w:p>
    <w:p>
      <w:pPr>
        <w:pStyle w:val="BodyText"/>
        <w:widowControl/>
      </w:pPr>
      <w:r>
        <w:rPr>
          <w:rStyle w:val="VerbatimChar"/>
        </w:rPr>
        <w:t xml:space="preserve">BUILD_LONG_TMLR=1 BUILD_DOCX=1 bash </w:t>
      </w:r>
      <w:r>
        <w:rPr>
          <w:rStyle w:val="VerbatimChar"/>
        </w:rPr>
        <w:t xml:space="preserve">docs/research/kbound/scripts/build_pdfs.sh</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79"/>
    <w:bookmarkStart w:id="180"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preserves the historical timing literals. No supporting synchronized samples or peak-memory logs were recovered, so measured gate overhead remains unestablished.</w:t>
      </w:r>
    </w:p>
    <w:p>
      <w:pPr>
        <w:pStyle w:val="TableCaption"/>
        <w:widowControl/>
      </w:pPr>
      <w:r>
        <w:t xml:space="preserve">Table 45. Unverified historical runtime literals, retained for auditability. The claimed MPS/batch-16/100-pass measurement has no recovered timing or peak-memory log. Neither 0.62 ms gate overhead nor its 5.0% ratio is an authenticated performance result.</w:t>
      </w:r>
    </w:p>
    <w:tbl>
      <w:tblPr>
        <w:tblStyle w:val="Table"/>
        <w:tblW w:type="dxa" w:w="9960"/>
        <w:jc w:val="left"/>
        <w:tblLayout w:type="fixed"/>
        <w:tblLook w:firstRow="1" w:lastRow="0" w:firstColumn="0" w:lastColumn="0" w:noHBand="0" w:noVBand="0" w:val="0020"/>
        <w:tblCaption w:val="Table 45. Unverified historical runtime literals, retained for auditability. The claimed MPS/batch-16/100-pass measurement has no recovered timing or peak-memory log. Neither 0.62 ms gate overhead nor its 5.0% ratio is an authenticated performance resul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Component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Latency</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SD</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Peak Mem.</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Overhead</w:t>
            </w:r>
            <w:r>
              <w:rPr>
                <w:rFonts w:ascii="Times New Roman" w:hAnsi="Times New Roman"/>
                <w:b/>
                <w:sz w:val="15"/>
                <w:vertAlign w:val="superscript"/>
              </w:rPr>
              <w:t>†</w:t>
            </w:r>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 inference</w:t>
            </w:r>
            <w:r>
              <w:rPr>
                <w:rFonts w:ascii="Times New Roman" w:hAnsi="Times New Roman"/>
                <w:sz w:val="15"/>
              </w:rPr>
              <w:t xml:space="preserve"> </w:t>
            </w:r>
            <m:oMath>
              <m:sSub>
                <m:e>
                  <m:r>
                    <w:rPr>
                      <w:sz w:val="16"/>
                      <w:szCs w:val="16"/>
                    </w:rPr>
                    <m:t>f</m:t>
                  </m:r>
                </m:e>
                <m:sub>
                  <m:r>
                    <w:rPr>
                      <w:sz w:val="16"/>
                      <w:szCs w:val="16"/>
                    </w:rPr>
                    <m:t>0</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12.42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0.31</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100.0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Adapter step</w:t>
            </w:r>
            <w:r>
              <w:rPr>
                <w:rFonts w:ascii="Times New Roman" w:hAnsi="Times New Roman"/>
                <w:sz w:val="15"/>
              </w:rPr>
              <w:t xml:space="preserve"> </w:t>
            </w:r>
            <m:oMath>
              <m:sSub>
                <m:e>
                  <m:r>
                    <w:rPr>
                      <w:sz w:val="16"/>
                      <w:szCs w:val="16"/>
                    </w:rPr>
                    <m:t>f</m:t>
                  </m:r>
                </m:e>
                <m:sub>
                  <m:r>
                    <w:rPr>
                      <w:sz w:val="16"/>
                      <w:szCs w:val="16"/>
                    </w:rPr>
                    <m:t>a</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24.85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0.84</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+14.2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Feature extraction</w:t>
            </w:r>
            <w:r>
              <w:rPr>
                <w:rFonts w:ascii="Times New Roman" w:hAnsi="Times New Roman"/>
                <w:sz w:val="15"/>
              </w:rPr>
              <w:t xml:space="preserve"> </w:t>
            </w:r>
            <m:oMath>
              <m:r>
                <w:rPr>
                  <w:sz w:val="16"/>
                  <w:szCs w:val="16"/>
                </w:rPr>
                <m:t>Z</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0.48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0.05</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3.9</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Certificate</w:t>
            </w:r>
            <w:r>
              <w:rPr>
                <w:rFonts w:ascii="Times New Roman" w:hAnsi="Times New Roman"/>
                <w:sz w:val="15"/>
              </w:rPr>
              <w:t xml:space="preserve"> </w:t>
            </w:r>
            <m:oMath>
              <m:r>
                <m:rPr>
                  <m:sty m:val="p"/>
                </m:rPr>
                <w:rPr>
                  <w:sz w:val="16"/>
                  <w:szCs w:val="16"/>
                </w:rPr>
                <m:t>[</m:t>
              </m:r>
              <m:acc>
                <m:accPr>
                  <m:chr m:val="̂"/>
                </m:accPr>
                <m:e>
                  <m:r>
                    <m:rPr>
                      <m:sty m:val="p"/>
                    </m:rPr>
                    <w:rPr>
                      <w:sz w:val="16"/>
                      <w:szCs w:val="16"/>
                    </w:rPr>
                    <m:t>Δ</m:t>
                  </m:r>
                </m:e>
              </m:acc>
              <m:r>
                <m:rPr>
                  <m:sty m:val="p"/>
                </m:rPr>
                <w:rPr>
                  <w:sz w:val="16"/>
                  <w:szCs w:val="16"/>
                </w:rPr>
                <m:t>±</m:t>
              </m:r>
              <m:r>
                <w:rPr>
                  <w:sz w:val="16"/>
                  <w:szCs w:val="16"/>
                </w:rPr>
                <m:t>r</m:t>
              </m:r>
              <m:r>
                <m:rPr>
                  <m:sty m:val="p"/>
                </m:rPr>
                <w:rPr>
                  <w:sz w:val="16"/>
                  <w:szCs w:val="16"/>
                </w:rPr>
                <m:t>]</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0.14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0.02</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&lt;0.1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1.1</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Gate overhead</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0.62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0.06</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+0.3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b"/>
                </m:rPr>
                <w:rPr>
                  <w:sz w:val="16"/>
                  <w:szCs w:val="16"/>
                </w:rPr>
                <m:t>5.0</m:t>
              </m:r>
              <m:r>
                <m:rPr>
                  <m:sty m:val="b"/>
                </m:rPr>
                <w:rPr>
                  <w:sz w:val="16"/>
                  <w:szCs w:val="16"/>
                </w:rPr>
                <m:t>%</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Relative to frozen forward pass (</w:t>
            </w:r>
            <m:oMath>
              <m:sSub>
                <m:e>
                  <m:r>
                    <w:rPr>
                      <w:sz w:val="16"/>
                      <w:szCs w:val="16"/>
                    </w:rPr>
                    <m:t>f</m:t>
                  </m:r>
                </m:e>
                <m:sub>
                  <m:r>
                    <w:rPr>
                      <w:sz w:val="16"/>
                      <w:szCs w:val="16"/>
                    </w:rPr>
                    <m:t>0</m:t>
                  </m:r>
                </m:sub>
              </m:sSub>
            </m:oMath>
            <w:r>
              <w:rPr>
                <w:rFonts w:ascii="Times New Roman" w:hAnsi="Times New Roman"/>
                <w:sz w:val="15"/>
              </w:rPr>
              <w:t>, 12.42 ms). Gate overhead combines feature extraction (3.9%) and certificate evaluation (1.1%), excluding candidate adapter step (24.85 ms) and downstream inference. Historical literal values; no authenticated timing samples recovered. Not an established benchmark.</w:t>
            </w:r>
          </w:p>
        </w:tc>
      </w:tr>
    </w:tbl>
    <w:bookmarkEnd w:id="180"/>
    <w:bookmarkStart w:id="181"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81"/>
    <w:bookmarkStart w:id="182"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82"/>
    <w:bookmarkEnd w:id="183"/>
    <w:bookmarkStart w:id="187" w:name="Xc69e2e31872cb994b1fd9418ad1c91ea04860a1"/>
    <w:p>
      <w:pPr>
        <w:pStyle w:val="Heading1"/>
        <w:widowControl/>
      </w:pPr>
      <w:r>
        <w:t xml:space="preserve">O Additional Calibration Comparison: Units, Risk, and Provenance</w:t>
      </w:r>
    </w:p>
    <w:p>
      <w:pPr>
        <w:pStyle w:val="FirstParagraph"/>
        <w:widowControl/>
      </w:pPr>
      <w:r>
        <w:t xml:space="preserve">The study in Section 8.7</w:t>
      </w:r>
      <w:r>
        <w:t xml:space="preserve"> </w:t>
      </w:r>
      <w:r>
        <w:t xml:space="preserve">uses 32 allowlisted, hash-bound inputs from opened historical records. Its primary</w:t>
      </w:r>
      <w:r>
        <w:t xml:space="preserve"> </w:t>
      </w:r>
      <w:r>
        <w:t xml:space="preserve">authority combines the corrected CIFAR/checkpoint scoring report with the corrected</w:t>
      </w:r>
      <w:r>
        <w:t xml:space="preserve"> </w:t>
      </w:r>
      <w:r>
        <w:t xml:space="preserve">ImageNet grouping report. The source summaries and their immutable report history</w:t>
      </w:r>
      <w:r>
        <w:t xml:space="preserve"> </w:t>
      </w:r>
      <w:r>
        <w:t xml:space="preserve">are retained under</w:t>
      </w:r>
      <w:r>
        <w:t xml:space="preserve"> </w:t>
      </w:r>
      <w:r>
        <w:rPr>
          <w:rStyle w:val="VerbatimChar"/>
        </w:rPr>
        <w:t xml:space="preserve">output/next_phase/calibration_value_v1/</w:t>
      </w:r>
      <w:r>
        <w:t xml:space="preserve">; these summaries</w:t>
      </w:r>
      <w:r>
        <w:t xml:space="preserve"> </w:t>
      </w:r>
      <w:r>
        <w:t xml:space="preserve">authenticate the new calculations without supplying missing original training or</w:t>
      </w:r>
      <w:r>
        <w:t xml:space="preserve"> </w:t>
      </w:r>
      <w:r>
        <w:t xml:space="preserve">adaptation execution evidence.</w:t>
      </w:r>
    </w:p>
    <w:bookmarkStart w:id="184" w:name="separation-and-evaluation-units."/>
    <w:p>
      <w:pPr>
        <w:pStyle w:val="Heading2"/>
        <w:keepNext/>
        <w:widowControl/>
        <w:spacing w:before="100" w:after="20" w:line="252" w:lineRule="auto"/>
      </w:pPr>
      <w:r>
        <w:rPr>
          <w:rFonts w:ascii="Times New Roman" w:hAnsi="Times New Roman" w:eastAsia="Times New Roman" w:cs="Times New Roman"/>
          <w:b/>
          <w:sz w:val="19"/>
        </w:rPr>
        <w:t xml:space="preserve">Separation and evaluation units.</w:t>
      </w:r>
    </w:p>
    <w:p>
      <w:pPr>
        <w:pStyle w:val="FirstParagraph"/>
        <w:widowControl/>
      </w:pPr>
      <w:r>
        <w:t xml:space="preserve">Each fold fits one benefit predictor shared across all policies. Semantic groups</w:t>
      </w:r>
      <w:r>
        <w:t xml:space="preserve"> </w:t>
      </w:r>
      <w:r>
        <w:t xml:space="preserve">are kept intact across predictor fitting, margin tuning, residual calibration,</w:t>
      </w:r>
      <w:r>
        <w:t xml:space="preserve"> </w:t>
      </w:r>
      <w:r>
        <w:t xml:space="preserve">and scoring. CIFAR and ImageNet outer folds exclude whole corruption types.</w:t>
      </w:r>
      <w:r>
        <w:t xml:space="preserve"> </w:t>
      </w:r>
      <w:r>
        <w:t xml:space="preserve">Checkpoint-only evaluation excludes the scored source model and rotates held-out</w:t>
      </w:r>
      <w:r>
        <w:t xml:space="preserve"> </w:t>
      </w:r>
      <w:r>
        <w:t xml:space="preserve">semantic groups; joint evaluation excludes both the scored checkpoint and the</w:t>
      </w:r>
      <w:r>
        <w:t xml:space="preserve"> </w:t>
      </w:r>
      <w:r>
        <w:t xml:space="preserve">complete corruption type. Local scale estimation uses grouped</w:t>
      </w:r>
      <w:r>
        <w:t xml:space="preserve"> </w:t>
      </w:r>
      <w:r>
        <w:t xml:space="preserve">out-of-fold residuals within the development data. Held-out score outcomes are</w:t>
      </w:r>
      <w:r>
        <w:t xml:space="preserve"> </w:t>
      </w:r>
      <w:r>
        <w:t xml:space="preserve">loaded only after serialized decisions; outcome-perturbation tests preserve the</w:t>
      </w:r>
      <w:r>
        <w:t xml:space="preserve"> </w:t>
      </w:r>
      <w:r>
        <w:t xml:space="preserve">fitted hashes, radii, thresholds, and decision bytes for the scored fold.</w:t>
      </w:r>
      <w:r>
        <w:t xml:space="preserve"> </w:t>
      </w:r>
      <w:r>
        <w:t xml:space="preserve">These computational separations do not make the already opened environments</w:t>
      </w:r>
      <w:r>
        <w:t xml:space="preserve"> </w:t>
      </w:r>
      <w:r>
        <w:t xml:space="preserve">exchangeable or independent deployments.</w:t>
      </w:r>
    </w:p>
    <w:p>
      <w:pPr>
        <w:pStyle w:val="BodyText"/>
        <w:widowControl/>
      </w:pPr>
      <w:r>
        <w:t xml:space="preserve">The main execution has 57 outer folds and 20 arms; nine ImageNet folds were later</w:t>
      </w:r>
      <w:r>
        <w:t xml:space="preserve"> </w:t>
      </w:r>
      <w:r>
        <w:t xml:space="preserve">rerun under a deterministic identifier-schema correction. The two checkpoint</w:t>
      </w:r>
      <w:r>
        <w:t xml:space="preserve"> </w:t>
      </w:r>
      <w:r>
        <w:t xml:space="preserve">designs reuse the same 108 records. Bootstrap sensitivity resamples six CIFAR</w:t>
      </w:r>
      <w:r>
        <w:t xml:space="preserve"> </w:t>
      </w:r>
      <w:r>
        <w:t xml:space="preserve">corruption types, three ImageNet types, or three source checkpoints, with 1,000</w:t>
      </w:r>
      <w:r>
        <w:t xml:space="preserve"> </w:t>
      </w:r>
      <w:r>
        <w:t xml:space="preserve">resamples. Such small numbers of related units support descriptive sensitivity,</w:t>
      </w:r>
      <w:r>
        <w:t xml:space="preserve"> </w:t>
      </w:r>
      <w:r>
        <w:t xml:space="preserve">not strong deployment-level inference. All prespecified alpha and harm-weight</w:t>
      </w:r>
      <w:r>
        <w:t xml:space="preserve"> </w:t>
      </w:r>
      <w:r>
        <w:t xml:space="preserve">sensitivities are retained, including unbounded intervals and abstaining arms.</w:t>
      </w:r>
    </w:p>
    <w:bookmarkEnd w:id="184"/>
    <w:bookmarkStart w:id="185" w:name="X7eb27266025d27ec44f64f4d3f23be00ff51833"/>
    <w:p>
      <w:pPr>
        <w:pStyle w:val="Heading2"/>
        <w:keepNext/>
        <w:widowControl/>
        <w:spacing w:before="100" w:after="20" w:line="252" w:lineRule="auto"/>
      </w:pPr>
      <w:r>
        <w:rPr>
          <w:rFonts w:ascii="Times New Roman" w:hAnsi="Times New Roman" w:eastAsia="Times New Roman" w:cs="Times New Roman"/>
          <w:b/>
          <w:sz w:val="19"/>
        </w:rPr>
        <w:t xml:space="preserve">Cell risk and group risk are different estimands.</w:t>
      </w:r>
    </w:p>
    <w:p>
      <w:pPr>
        <w:pStyle w:val="FirstParagraph"/>
        <w:widowControl/>
      </w:pPr>
      <w:r>
        <w:t xml:space="preserve">For the conditional-risk selection arm, a scored group is a</w:t>
      </w:r>
      <w:r>
        <w:t xml:space="preserve"> </w:t>
      </w:r>
      <w:r>
        <w:rPr>
          <w:rStyle w:val="VerbatimChar"/>
        </w:rPr>
        <w:t xml:space="preserve">(fold_id, semantic_group)</w:t>
      </w:r>
      <w:r>
        <w:t xml:space="preserve"> </w:t>
      </w:r>
      <w:r>
        <w:t xml:space="preserve">pair. A group is exposed if any constituent</w:t>
      </w:r>
      <w:r>
        <w:t xml:space="preserve"> </w:t>
      </w:r>
      <w:r>
        <w:t xml:space="preserve">cell receives ADAPT, and is an error group if any accepted cell has</w:t>
      </w:r>
      <w:r>
        <w:t xml:space="preserve"> </w:t>
      </w:r>
      <m:oMath>
        <m:r>
          <m:t>B</m:t>
        </m:r>
        <m:r>
          <m:rPr>
            <m:sty m:val="p"/>
          </m:rPr>
          <m:t>≤</m:t>
        </m:r>
        <m:r>
          <m:t>0</m:t>
        </m:r>
      </m:oMath>
      <w:r>
        <w:t xml:space="preserve">.</w:t>
      </w:r>
      <w:r>
        <w:t xml:space="preserve"> </w:t>
      </w:r>
      <w:r>
        <w:t xml:space="preserve">Conditional group error divides error groups by exposed groups; with zero</w:t>
      </w:r>
      <w:r>
        <w:t xml:space="preserve"> </w:t>
      </w:r>
      <w:r>
        <w:t xml:space="preserve">exposure it is undefined. Unconditional group error divides by all scored</w:t>
      </w:r>
      <w:r>
        <w:t xml:space="preserve"> </w:t>
      </w:r>
      <w:r>
        <w:t xml:space="preserve">groups. Equal-group utility first averages cell utility inside each group and</w:t>
      </w:r>
      <w:r>
        <w:t xml:space="preserve"> </w:t>
      </w:r>
      <w:r>
        <w:t xml:space="preserve">then averages groups; it is kept separate from equal-cell utility.</w:t>
      </w:r>
    </w:p>
    <w:p>
      <w:pPr>
        <w:pStyle w:val="TableCaption"/>
        <w:widowControl/>
      </w:pPr>
      <w:r>
        <w:t xml:space="preserve">Table 46. Descriptive held-out risk for the 20% group-risk selection sensitivity.</w:t>
      </w:r>
      <w:r>
        <w:t xml:space="preserve"> </w:t>
      </w:r>
      <w:r>
        <w:t xml:space="preserve">The group error event is any accepted</w:t>
      </w:r>
      <w:r>
        <w:t xml:space="preserve"> </w:t>
      </w:r>
      <m:oMath>
        <m:r>
          <w:rPr>
            <w:sz w:val="17"/>
            <w:szCs w:val="17"/>
          </w:rPr>
          <m:t>B</m:t>
        </m:r>
        <m:r>
          <m:rPr>
            <m:sty m:val="p"/>
          </m:rPr>
          <w:rPr>
            <w:sz w:val="17"/>
            <w:szCs w:val="17"/>
          </w:rPr>
          <m:t>≤</m:t>
        </m:r>
        <m:r>
          <w:rPr>
            <w:sz w:val="17"/>
            <w:szCs w:val="17"/>
          </w:rPr>
          <m:t>0</m:t>
        </m:r>
      </m:oMath>
      <w:r>
        <w:t xml:space="preserve"> </w:t>
      </w:r>
      <w:r>
        <w:t xml:space="preserve">within a semantic group. Conditional</w:t>
      </w:r>
      <w:r>
        <w:t xml:space="preserve"> </w:t>
      </w:r>
      <w:r>
        <w:t xml:space="preserve">cell and group rates have different denominators and are not interchangeable.</w:t>
      </w:r>
      <w:r>
        <w:t xml:space="preserve"> </w:t>
      </w:r>
      <w:r>
        <w:t xml:space="preserve">Each candidate has 216 scored groups. These observations do not establish population risk control.</w:t>
      </w:r>
    </w:p>
    <w:tbl>
      <w:tblPr>
        <w:tblStyle w:val="Table"/>
        <w:tblW w:type="dxa" w:w="9960"/>
        <w:jc w:val="left"/>
        <w:tblLayout w:type="fixed"/>
        <w:tblLook w:firstRow="1" w:lastRow="0" w:firstColumn="0" w:lastColumn="0" w:noHBand="0" w:noVBand="0" w:val="0020"/>
        <w:tblCaption w:val="Table 46. Descriptive held-out risk for the 20% group-risk selection sensitivity. The group error event is any accepted B\le0 within a semantic group. Conditional cell and group rates have different denominators and are not interchangeable. Each candidate has 216 scored groups. These observations do not establish population risk contro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21"/>
        <w:gridCol w:w="1310"/>
        <w:gridCol w:w="1310"/>
        <w:gridCol w:w="1317"/>
        <w:gridCol w:w="2766"/>
        <w:gridCol w:w="1436"/>
      </w:tblGrid>
      <w:tr>
        <w:trPr>
          <w:tblHeader w:val="true"/>
          <w:cantSplit w:val="true"/>
        </w:trPr>
        <w:tc>
          <w:tcPr>
            <w:tcW w:w="18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CIFAR candidate</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Groups</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Exposed</w:t>
            </w:r>
          </w:p>
        </w:tc>
        <w:tc>
          <w:tcPr>
            <w:tcW w:w="13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Error groups</w:t>
            </w:r>
          </w:p>
        </w:tc>
        <w:tc>
          <w:tcPr>
            <w:tcW w:w="27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Conditional group error</w:t>
            </w:r>
          </w:p>
        </w:tc>
        <w:tc>
          <w:tcPr>
            <w:tcW w:w="14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error</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107</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7.48%</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180</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10.56%</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1.59%</w:t>
            </w:r>
          </w:p>
        </w:tc>
      </w:tr>
      <w:tr>
        <w:trPr>
          <w:cantSplit w:val="true"/>
        </w:trPr>
        <w:tc>
          <w:tcPr>
            <w:tcW w:w="182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65</w:t>
            </w:r>
          </w:p>
        </w:tc>
        <w:tc>
          <w:tcPr>
            <w:tcW w:w="13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7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c>
          <w:tcPr>
            <w:tcW w:w="143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r>
    </w:tbl>
    <w:p>
      <w:pPr>
        <w:pStyle w:val="BodyText"/>
        <w:widowControl/>
      </w:pPr>
      <w:r>
        <w:t xml:space="preserve">The corresponding unconditional group rates are</w:t>
      </w:r>
      <w:r>
        <w:t xml:space="preserve"> </w:t>
      </w:r>
      <m:oMath>
        <m:r>
          <m:t>8</m:t>
        </m:r>
        <m:r>
          <m:rPr>
            <m:sty m:val="p"/>
          </m:rPr>
          <m:t>/</m:t>
        </m:r>
        <m:r>
          <m:t>216</m:t>
        </m:r>
      </m:oMath>
      <w:r>
        <w:t xml:space="preserve"> </w:t>
      </w:r>
      <w:r>
        <w:t xml:space="preserve">for EATA,</w:t>
      </w:r>
      <w:r>
        <w:t xml:space="preserve"> </w:t>
      </w:r>
      <m:oMath>
        <m:r>
          <m:t>19</m:t>
        </m:r>
        <m:r>
          <m:rPr>
            <m:sty m:val="p"/>
          </m:rPr>
          <m:t>/</m:t>
        </m:r>
        <m:r>
          <m:t>216</m:t>
        </m:r>
      </m:oMath>
      <w:r>
        <w:t xml:space="preserve"> </w:t>
      </w:r>
      <w:r>
        <w:t xml:space="preserve">for</w:t>
      </w:r>
      <w:r>
        <w:t xml:space="preserve"> </w:t>
      </w:r>
      <w:r>
        <w:t xml:space="preserve">SAR, and</w:t>
      </w:r>
      <w:r>
        <w:t xml:space="preserve"> </w:t>
      </w:r>
      <m:oMath>
        <m:r>
          <m:t>0</m:t>
        </m:r>
        <m:r>
          <m:rPr>
            <m:sty m:val="p"/>
          </m:rPr>
          <m:t>/</m:t>
        </m:r>
        <m:r>
          <m:t>216</m:t>
        </m:r>
      </m:oMath>
      <w:r>
        <w:t xml:space="preserve"> </w:t>
      </w:r>
      <w:r>
        <w:t xml:space="preserve">for Tent. In contrast, the 10% arm exposes no groups, so its</w:t>
      </w:r>
      <w:r>
        <w:t xml:space="preserve"> </w:t>
      </w:r>
      <w:r>
        <w:t xml:space="preserve">conditional risk is undefined rather than zero. The binomial procedure assumes</w:t>
      </w:r>
      <w:r>
        <w:t xml:space="preserve"> </w:t>
      </w:r>
      <w:r>
        <w:t xml:space="preserve">independent identically distributed group outcomes with a common conditional</w:t>
      </w:r>
      <w:r>
        <w:t xml:space="preserve"> </w:t>
      </w:r>
      <w:r>
        <w:t xml:space="preserve">error probability for a fixed threshold. Independence alone does not justify a</w:t>
      </w:r>
      <w:r>
        <w:t xml:space="preserve"> </w:t>
      </w:r>
      <w:r>
        <w:t xml:space="preserve">common-risk binomial model, and neither assumption is established by this</w:t>
      </w:r>
      <w:r>
        <w:t xml:space="preserve"> </w:t>
      </w:r>
      <w:r>
        <w:t xml:space="preserve">historical collection. Bonferroni adjustment covers the 13 candidate thresholds</w:t>
      </w:r>
      <w:r>
        <w:t xml:space="preserve"> </w:t>
      </w:r>
      <w:r>
        <w:t xml:space="preserve">within a fold, not all folds or a deployment lifetime. With</w:t>
      </w:r>
      <w:r>
        <w:t xml:space="preserve"> </w:t>
      </w:r>
      <m:oMath>
        <m:r>
          <m:t>n</m:t>
        </m:r>
      </m:oMath>
      <w:r>
        <w:t xml:space="preserve"> </w:t>
      </w:r>
      <w:r>
        <w:t xml:space="preserve">exposed groups</w:t>
      </w:r>
      <w:r>
        <w:t xml:space="preserve"> </w:t>
      </w:r>
      <w:r>
        <w:t xml:space="preserve">and zero errors, its upper bound is</w:t>
      </w:r>
      <w:r>
        <w:t xml:space="preserve"> </w:t>
      </w:r>
      <m:oMath>
        <m:r>
          <m:t>1</m:t>
        </m:r>
        <m:r>
          <m:rPr>
            <m:sty m:val="p"/>
          </m:rPr>
          <m:t>−</m:t>
        </m:r>
        <m:r>
          <m:rPr>
            <m:sty m:val="p"/>
          </m:rPr>
          <m:t>(</m:t>
        </m:r>
        <m:r>
          <m:t>.05</m:t>
        </m:r>
        <m:r>
          <m:rPr>
            <m:sty m:val="p"/>
          </m:rPr>
          <m:t>/</m:t>
        </m:r>
        <m:r>
          <m:t>13</m:t>
        </m:r>
        <m:sSup>
          <m:e>
            <m:r>
              <m:rPr>
                <m:sty m:val="p"/>
              </m:rPr>
              <m:t>)</m:t>
            </m:r>
          </m:e>
          <m:sup>
            <m:r>
              <m:t>1</m:t>
            </m:r>
            <m:r>
              <m:rPr>
                <m:sty m:val="p"/>
              </m:rPr>
              <m:t>/</m:t>
            </m:r>
            <m:r>
              <m:t>n</m:t>
            </m:r>
          </m:sup>
        </m:sSup>
      </m:oMath>
      <w:r>
        <w:t xml:space="preserve">; reaching</w:t>
      </w:r>
      <w:r>
        <w:t xml:space="preserve"> </w:t>
      </w:r>
      <m:oMath>
        <m:r>
          <m:t>.10</m:t>
        </m:r>
      </m:oMath>
      <w:r>
        <w:t xml:space="preserve"> </w:t>
      </w:r>
      <w:r>
        <w:t xml:space="preserve">needs</w:t>
      </w:r>
      <w:r>
        <w:t xml:space="preserve"> </w:t>
      </w:r>
      <m:oMath>
        <m:r>
          <m:t>n</m:t>
        </m:r>
        <m:r>
          <m:rPr>
            <m:sty m:val="p"/>
          </m:rPr>
          <m:t>≥</m:t>
        </m:r>
        <m:r>
          <m:t>53</m:t>
        </m:r>
      </m:oMath>
      <w:r>
        <w:t xml:space="preserve">, while the largest available calibration partition has 45 groups.</w:t>
      </w:r>
    </w:p>
    <w:bookmarkEnd w:id="185"/>
    <w:bookmarkStart w:id="186" w:name="corrections-and-fixed-authorities."/>
    <w:p>
      <w:pPr>
        <w:pStyle w:val="Heading2"/>
        <w:keepNext/>
        <w:widowControl/>
        <w:spacing w:before="100" w:after="20" w:line="252" w:lineRule="auto"/>
      </w:pPr>
      <w:r>
        <w:rPr>
          <w:rFonts w:ascii="Times New Roman" w:hAnsi="Times New Roman" w:eastAsia="Times New Roman" w:cs="Times New Roman"/>
          <w:b/>
          <w:sz w:val="19"/>
        </w:rPr>
        <w:t xml:space="preserve">Corrections and fixed authorities.</w:t>
      </w:r>
    </w:p>
    <w:p>
      <w:pPr>
        <w:pStyle w:val="FirstParagraph"/>
        <w:widowControl/>
      </w:pPr>
      <w:r>
        <w:t xml:space="preserve">An initial strict-JSON serialization failure stopped before scoring. A later</w:t>
      </w:r>
      <w:r>
        <w:t xml:space="preserve"> </w:t>
      </w:r>
      <w:r>
        <w:t xml:space="preserve">scoring correction separated committed false FREEZE (</w:t>
      </w:r>
      <m:oMath>
        <m:r>
          <m:t>B</m:t>
        </m:r>
        <m:r>
          <m:rPr>
            <m:sty m:val="p"/>
          </m:rPr>
          <m:t>≥</m:t>
        </m:r>
        <m:r>
          <m:t>0</m:t>
        </m:r>
      </m:oMath>
      <w:r>
        <w:t xml:space="preserve">) from abstention</w:t>
      </w:r>
      <w:r>
        <w:t xml:space="preserve"> </w:t>
      </w:r>
      <w:r>
        <w:t xml:space="preserve">and forgone helpful non-ADAPT; it rescored the same decision bytes. A source</w:t>
      </w:r>
      <w:r>
        <w:t xml:space="preserve"> </w:t>
      </w:r>
      <w:r>
        <w:t xml:space="preserve">identifier correction then removed only literal terminal repeat tags of the</w:t>
      </w:r>
      <w:r>
        <w:t xml:space="preserve"> </w:t>
      </w:r>
      <w:r>
        <w:t xml:space="preserve">form</w:t>
      </w:r>
      <w:r>
        <w:t xml:space="preserve"> </w:t>
      </w:r>
      <w:r>
        <w:rPr>
          <w:rStyle w:val="VerbatimChar"/>
        </w:rPr>
        <w:t xml:space="preserve">r</w:t>
      </w:r>
      <w:r>
        <w:t xml:space="preserve"> </w:t>
      </w:r>
      <w:r>
        <w:t xml:space="preserve">followed by digits. The earlier ImageNet parser had mistakenly</w:t>
      </w:r>
      <w:r>
        <w:t xml:space="preserve"> </w:t>
      </w:r>
      <w:r>
        <w:t xml:space="preserve">removed a composition field, creating coarser groups. Its nine-fold rerun used</w:t>
      </w:r>
      <w:r>
        <w:t xml:space="preserve"> </w:t>
      </w:r>
      <w:r>
        <w:t xml:space="preserve">unchanged statistical choices but occurred after outcomes were seen, and remains</w:t>
      </w:r>
      <w:r>
        <w:t xml:space="preserve"> </w:t>
      </w:r>
      <w:r>
        <w:t xml:space="preserve">retrospective. Finally, the semantic-group report supplied the held-out estimand</w:t>
      </w:r>
      <w:r>
        <w:t xml:space="preserve"> </w:t>
      </w:r>
      <w:r>
        <w:t xml:space="preserve">omitted from the original display; it changed no decision, prior metric, or</w:t>
      </w:r>
      <w:r>
        <w:t xml:space="preserve"> </w:t>
      </w:r>
      <w:r>
        <w:t xml:space="preserve">canonical result authority. Original outputs and executed source snapshots are</w:t>
      </w:r>
      <w:r>
        <w:t xml:space="preserve"> </w:t>
      </w:r>
      <w:r>
        <w:t xml:space="preserve">preserved rather than overwritten.</w:t>
      </w:r>
    </w:p>
    <w:p>
      <w:pPr>
        <w:pStyle w:val="BodyText"/>
        <w:widowControl/>
      </w:pPr>
      <w:r>
        <w:t xml:space="preserve">The byte-identical rendering authorities in</w:t>
      </w:r>
      <w:r>
        <w:t xml:space="preserve"> </w:t>
      </w:r>
      <w:r>
        <w:rPr>
          <w:rStyle w:val="VerbatimChar"/>
        </w:rPr>
        <w:t xml:space="preserve">next_phase/table_sources/</w:t>
      </w:r>
      <w:r>
        <w:t xml:space="preserve"> </w:t>
      </w:r>
      <w:r>
        <w:t xml:space="preserve">retain their original output paths and SHA-256</w:t>
      </w:r>
      <w:r>
        <w:t xml:space="preserve"> </w:t>
      </w:r>
      <w:r>
        <w:t xml:space="preserve">identities.</w:t>
      </w:r>
      <w:r>
        <w:t xml:space="preserve"> </w:t>
      </w:r>
      <w:r>
        <w:rPr>
          <w:rStyle w:val="VerbatimChar"/>
        </w:rPr>
        <w:t xml:space="preserve">scripts/make_next_phase_tables.py</w:t>
      </w:r>
      <w:r>
        <w:t xml:space="preserve"> </w:t>
      </w:r>
      <w:r>
        <w:t xml:space="preserve">verifies every pinned hash</w:t>
      </w:r>
      <w:r>
        <w:t xml:space="preserve"> </w:t>
      </w:r>
      <w:r>
        <w:t xml:space="preserve">before writing any table. The calibration study does not claim novelty for GBRT,</w:t>
      </w:r>
      <w:r>
        <w:t xml:space="preserve"> </w:t>
      </w:r>
      <w:r>
        <w:t xml:space="preserve">split conformal calibration, local residual scaling, or binomial risk selection.</w:t>
      </w:r>
      <w:r>
        <w:t xml:space="preserve"> </w:t>
      </w:r>
      <w:r>
        <w:t xml:space="preserve">Full native TTALine/AETTA comparisons and independent field replications remain</w:t>
      </w:r>
      <w:r>
        <w:t xml:space="preserve"> </w:t>
      </w:r>
      <w:r>
        <w:t xml:space="preserve">outside this saved-feature experiment.</w:t>
      </w:r>
    </w:p>
    <w:bookmarkEnd w:id="186"/>
    <w:bookmarkEnd w:id="187"/>
    <w:bookmarkStart w:id="194" w:name="X622f1e0657b6c8aed1038a204019230882022ef"/>
    <w:p>
      <w:pPr>
        <w:pStyle w:val="Heading1"/>
        <w:widowControl/>
      </w:pPr>
      <w:r>
        <w:t xml:space="preserve">P Paired-Transport Certificate: Construction and Scope</w:t>
      </w:r>
    </w:p>
    <w:bookmarkStart w:id="188" w:name="sampling-and-probability-intervals."/>
    <w:p>
      <w:pPr>
        <w:pStyle w:val="Heading2"/>
        <w:keepNext/>
        <w:widowControl/>
        <w:spacing w:before="100" w:after="20" w:line="252" w:lineRule="auto"/>
      </w:pPr>
      <w:r>
        <w:rPr>
          <w:rFonts w:ascii="Times New Roman" w:hAnsi="Times New Roman" w:eastAsia="Times New Roman" w:cs="Times New Roman"/>
          <w:b/>
          <w:sz w:val="19"/>
        </w:rPr>
        <w:t xml:space="preserve">Sampling and probability intervals.</w:t>
      </w:r>
    </w:p>
    <w:p>
      <w:pPr>
        <w:pStyle w:val="FirstParagraph"/>
        <w:widowControl/>
      </w:pPr>
      <w:r>
        <w:t xml:space="preserve">Fix</w:t>
      </w:r>
      <w:r>
        <w:t xml:space="preserve"> </w:t>
      </w:r>
      <m:oMath>
        <m:sSub>
          <m:e>
            <m:r>
              <m:t>f</m:t>
            </m:r>
          </m:e>
          <m:sub>
            <m:r>
              <m:t>0</m:t>
            </m:r>
          </m:sub>
        </m:sSub>
        <m:r>
          <m:rPr>
            <m:sty m:val="p"/>
          </m:rPr>
          <m:t>,</m:t>
        </m:r>
        <m:sSub>
          <m:e>
            <m:r>
              <m:t>f</m:t>
            </m:r>
          </m:e>
          <m:sub>
            <m:r>
              <m:t>a</m:t>
            </m:r>
          </m:sub>
        </m:sSub>
      </m:oMath>
      <w:r>
        <w:t xml:space="preserve"> </w:t>
      </w:r>
      <w:r>
        <w:t xml:space="preserve">before the evidence samples, or condition on an independent</w:t>
      </w:r>
      <w:r>
        <w:t xml:space="preserve"> </w:t>
      </w:r>
      <w:r>
        <w:t xml:space="preserve">adaptation sample that fixes them. Within source class</w:t>
      </w:r>
      <w:r>
        <w:t xml:space="preserve"> </w:t>
      </w:r>
      <m:oMath>
        <m:r>
          <m:t>y</m:t>
        </m:r>
      </m:oMath>
      <w:r>
        <w:t xml:space="preserve">, observations are</w:t>
      </w:r>
      <w:r>
        <w:t xml:space="preserve"> </w:t>
      </w:r>
      <w:r>
        <w:t xml:space="preserve">independent identically distributed conditional draws, with fixed or conditioned-on</w:t>
      </w:r>
      <w:r>
        <w:t xml:space="preserve"> </w:t>
      </w:r>
      <w:r>
        <w:t xml:space="preserve">class counts. Target evidence consists of independent identically distributed</w:t>
      </w:r>
      <w:r>
        <w:t xml:space="preserve"> </w:t>
      </w:r>
      <w:r>
        <w:t xml:space="preserve">draws from its joint-prediction marginal. Retain all</w:t>
      </w:r>
      <w:r>
        <w:t xml:space="preserve"> </w:t>
      </w:r>
      <m:oMath>
        <m:r>
          <m:t>R</m:t>
        </m:r>
      </m:oMath>
      <w:r>
        <w:t xml:space="preserve"> </w:t>
      </w:r>
      <w:r>
        <w:t xml:space="preserve">declared bins, including</w:t>
      </w:r>
      <w:r>
        <w:t xml:space="preserve"> </w:t>
      </w:r>
      <w:r>
        <w:t xml:space="preserve">unobserved bins; a bin can be coarsened only if its loss contrast is unchanged.</w:t>
      </w:r>
      <w:r>
        <w:t xml:space="preserve"> </w:t>
      </w:r>
      <w:r>
        <w:t xml:space="preserve">For the</w:t>
      </w:r>
      <w:r>
        <w:t xml:space="preserve"> </w:t>
      </w:r>
      <m:oMath>
        <m:r>
          <m:t>R</m:t>
        </m:r>
        <m:r>
          <m:t>K</m:t>
        </m:r>
        <m:r>
          <m:rPr>
            <m:sty m:val="p"/>
          </m:rPr>
          <m:t>+</m:t>
        </m:r>
        <m:r>
          <m:t>R</m:t>
        </m:r>
      </m:oMath>
      <w:r>
        <w:t xml:space="preserve"> </w:t>
      </w:r>
      <w:r>
        <w:t xml:space="preserve">probabilities</w:t>
      </w:r>
      <w:r>
        <w:t xml:space="preserve"> </w:t>
      </w:r>
      <m:oMath>
        <m:sSub>
          <m:e>
            <m:r>
              <m:t>A</m:t>
            </m:r>
          </m:e>
          <m:sub>
            <m:r>
              <m:t>r</m:t>
            </m:r>
            <m:r>
              <m:t>y</m:t>
            </m:r>
          </m:sub>
        </m:sSub>
      </m:oMath>
      <w:r>
        <w:t xml:space="preserve"> </w:t>
      </w:r>
      <w:r>
        <w:t xml:space="preserve">and</w:t>
      </w:r>
      <w:r>
        <w:t xml:space="preserve"> </w:t>
      </w:r>
      <m:oMath>
        <m:sSub>
          <m:e>
            <m:r>
              <m:t>q</m:t>
            </m:r>
          </m:e>
          <m:sub>
            <m:r>
              <m:t>r</m:t>
            </m:r>
          </m:sub>
        </m:sSub>
      </m:oMath>
      <w:r>
        <w:t xml:space="preserve">, take two-sided</w:t>
      </w:r>
      <w:r>
        <w:t xml:space="preserve"> </w:t>
      </w:r>
      <w:r>
        <w:t xml:space="preserve">Clopper–Pearson intervals at individual error</w:t>
      </w:r>
      <w:r>
        <w:t xml:space="preserve"> </w:t>
      </w:r>
      <m:oMath>
        <m:r>
          <m:t>α</m:t>
        </m:r>
        <m:r>
          <m:rPr>
            <m:sty m:val="p"/>
          </m:rPr>
          <m:t>/</m:t>
        </m:r>
        <m:r>
          <m:rPr>
            <m:sty m:val="p"/>
          </m:rPr>
          <m:t>(</m:t>
        </m:r>
        <m:r>
          <m:t>R</m:t>
        </m:r>
        <m:r>
          <m:t>K</m:t>
        </m:r>
        <m:r>
          <m:rPr>
            <m:sty m:val="p"/>
          </m:rPr>
          <m:t>+</m:t>
        </m:r>
        <m:r>
          <m:t>R</m:t>
        </m:r>
        <m:r>
          <m:rPr>
            <m:sty m:val="p"/>
          </m:rPr>
          <m:t>)</m:t>
        </m:r>
      </m:oMath>
      <w:r>
        <w:t xml:space="preserve">. A source class</w:t>
      </w:r>
      <w:r>
        <w:t xml:space="preserve"> </w:t>
      </w:r>
      <w:r>
        <w:t xml:space="preserve">with no observations receives</w:t>
      </w:r>
      <w:r>
        <w:t xml:space="preserve"> </w:t>
      </w:r>
      <m:oMath>
        <m:r>
          <m:rPr>
            <m:sty m:val="p"/>
          </m:rPr>
          <m:t>[</m:t>
        </m:r>
        <m:r>
          <m:t>0</m:t>
        </m:r>
        <m:r>
          <m:rPr>
            <m:sty m:val="p"/>
          </m:rPr>
          <m:t>,</m:t>
        </m:r>
        <m:r>
          <m:t>1</m:t>
        </m:r>
        <m:r>
          <m:rPr>
            <m:sty m:val="p"/>
          </m:rPr>
          <m:t>]</m:t>
        </m:r>
      </m:oMath>
      <w:r>
        <w:t xml:space="preserve"> </w:t>
      </w:r>
      <w:r>
        <w:t xml:space="preserve">bounds. A union bound gives simultaneous</w:t>
      </w:r>
      <w:r>
        <w:t xml:space="preserve"> </w:t>
      </w:r>
      <w:r>
        <w:t xml:space="preserve">containment probability at least</w:t>
      </w:r>
      <w:r>
        <w:t xml:space="preserve"> </w:t>
      </w:r>
      <m:oMath>
        <m:r>
          <m:t>1</m:t>
        </m:r>
        <m:r>
          <m:rPr>
            <m:sty m:val="p"/>
          </m:rPr>
          <m:t>−</m:t>
        </m:r>
        <m:r>
          <m:t>α</m:t>
        </m:r>
      </m:oMath>
      <w:r>
        <w:t xml:space="preserve">; multinomial cell independence is</w:t>
      </w:r>
      <w:r>
        <w:t xml:space="preserve"> </w:t>
      </w:r>
      <w:r>
        <w:t xml:space="preserve">unnecessary. Conditioning on class counts and averaging preserves this statement.</w:t>
      </w:r>
    </w:p>
    <w:bookmarkEnd w:id="188"/>
    <w:bookmarkStart w:id="189" w:name="linear-feasible-set."/>
    <w:p>
      <w:pPr>
        <w:pStyle w:val="Heading2"/>
        <w:keepNext/>
        <w:widowControl/>
        <w:spacing w:before="100" w:after="20" w:line="252" w:lineRule="auto"/>
      </w:pPr>
      <w:r>
        <w:rPr>
          <w:rFonts w:ascii="Times New Roman" w:hAnsi="Times New Roman" w:eastAsia="Times New Roman" w:cs="Times New Roman"/>
          <w:b/>
          <w:sz w:val="19"/>
        </w:rPr>
        <w:t xml:space="preserve">Linear feasible set.</w:t>
      </w:r>
    </w:p>
    <w:p>
      <w:pPr>
        <w:pStyle w:val="FirstParagraph"/>
        <w:widowControl/>
      </w:pPr>
      <w:r>
        <w:t xml:space="preserve">Writing source interval endpoints as</w:t>
      </w:r>
      <w:r>
        <w:t xml:space="preserve"> </w:t>
      </w:r>
      <m:oMath>
        <m:sSup>
          <m:e>
            <m:r>
              <m:t>L</m:t>
            </m:r>
          </m:e>
          <m:sup>
            <m:r>
              <m:t>A</m:t>
            </m:r>
          </m:sup>
        </m:sSup>
        <m:r>
          <m:rPr>
            <m:sty m:val="p"/>
          </m:rPr>
          <m:t>,</m:t>
        </m:r>
        <m:sSup>
          <m:e>
            <m:r>
              <m:t>U</m:t>
            </m:r>
          </m:e>
          <m:sup>
            <m:r>
              <m:t>A</m:t>
            </m:r>
          </m:sup>
        </m:sSup>
      </m:oMath>
      <w:r>
        <w:t xml:space="preserve"> </w:t>
      </w:r>
      <w:r>
        <w:t xml:space="preserve">and target endpoints as</w:t>
      </w:r>
      <w:r>
        <w:t xml:space="preserve"> </w:t>
      </w:r>
      <m:oMath>
        <m:sSup>
          <m:e>
            <m:r>
              <m:t>L</m:t>
            </m:r>
          </m:e>
          <m:sup>
            <m:r>
              <m:t>q</m:t>
            </m:r>
          </m:sup>
        </m:sSup>
        <m:r>
          <m:rPr>
            <m:sty m:val="p"/>
          </m:rPr>
          <m:t>,</m:t>
        </m:r>
        <m:sSup>
          <m:e>
            <m:r>
              <m:t>U</m:t>
            </m:r>
          </m:e>
          <m:sup>
            <m:r>
              <m:t>q</m:t>
            </m:r>
          </m:sup>
        </m:sSup>
      </m:oMath>
      <w:r>
        <w:t xml:space="preserve">, let</w:t>
      </w:r>
      <w:r>
        <w:t xml:space="preserve"> </w:t>
      </w:r>
      <m:oMath>
        <m:sSub>
          <m:e>
            <m:r>
              <m:rPr>
                <m:scr m:val="script"/>
                <m:sty m:val="p"/>
              </m:rPr>
              <m:t>P</m:t>
            </m:r>
          </m:e>
          <m:sub>
            <m:r>
              <m:t>ρ</m:t>
            </m:r>
          </m:sub>
        </m:sSub>
      </m:oMath>
      <w:r>
        <w:t xml:space="preserve"> </w:t>
      </w:r>
      <w:r>
        <w:t xml:space="preserve">contain variables</w:t>
      </w:r>
      <w:r>
        <w:t xml:space="preserve"> </w:t>
      </w:r>
      <m:oMath>
        <m:r>
          <m:t>t</m:t>
        </m:r>
        <m:r>
          <m:rPr>
            <m:sty m:val="p"/>
          </m:rPr>
          <m:t>,</m:t>
        </m:r>
        <m:r>
          <m:t>s</m:t>
        </m:r>
        <m:r>
          <m:rPr>
            <m:sty m:val="p"/>
          </m:rPr>
          <m:t>,</m:t>
        </m:r>
        <m:r>
          <m:t>π</m:t>
        </m:r>
        <m:r>
          <m:rPr>
            <m:sty m:val="p"/>
          </m:rPr>
          <m:t>,</m:t>
        </m:r>
        <m:r>
          <m:t>v</m:t>
        </m:r>
      </m:oMath>
      <w:r>
        <w:t xml:space="preserve"> </w:t>
      </w:r>
      <w:r>
        <w:t xml:space="preserve">satisfying</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m:t>
          </m:r>
          <m:r>
            <m:t>1</m:t>
          </m:r>
          <m:r>
            <m:rPr>
              <m:sty m:val="p"/>
            </m:rPr>
            <m:t>,</m:t>
          </m:r>
          <m:nary>
            <m:naryPr>
              <m:chr m:val="∑"/>
              <m:limLoc m:val="undOvr"/>
              <m:subHide m:val="off"/>
              <m:supHide m:val="on"/>
            </m:naryPr>
            <m:sub>
              <m:r>
                <m:t>r</m:t>
              </m:r>
            </m:sub>
            <m:sup>
              <m:r>
                <m:t>​</m:t>
              </m:r>
            </m:sup>
            <m:e>
              <m:sSub>
                <m:e>
                  <m:r>
                    <m:t>t</m:t>
                  </m:r>
                </m:e>
                <m:sub>
                  <m:r>
                    <m:t>r</m:t>
                  </m:r>
                  <m:r>
                    <m:t>y</m:t>
                  </m:r>
                </m:sub>
              </m:sSub>
            </m:e>
          </m:nary>
          <m:r>
            <m:rPr>
              <m:sty m:val="p"/>
            </m:rPr>
            <m:t>=</m:t>
          </m:r>
          <m:nary>
            <m:naryPr>
              <m:chr m:val="∑"/>
              <m:limLoc m:val="undOvr"/>
              <m:subHide m:val="off"/>
              <m:supHide m:val="on"/>
            </m:naryPr>
            <m:sub>
              <m:r>
                <m:t>r</m:t>
              </m:r>
            </m:sub>
            <m:sup>
              <m:r>
                <m:t>​</m:t>
              </m:r>
            </m:sup>
            <m:e>
              <m:sSub>
                <m:e>
                  <m:r>
                    <m:t>s</m:t>
                  </m:r>
                </m:e>
                <m:sub>
                  <m:r>
                    <m:t>r</m:t>
                  </m:r>
                  <m:r>
                    <m:t>y</m:t>
                  </m:r>
                </m:sub>
              </m:sSub>
            </m:e>
          </m:nary>
          <m:r>
            <m:rPr>
              <m:sty m:val="p"/>
            </m:rPr>
            <m:t>=</m:t>
          </m:r>
          <m:sSub>
            <m:e>
              <m:r>
                <m:t>π</m:t>
              </m:r>
            </m:e>
            <m:sub>
              <m:r>
                <m:t>y</m:t>
              </m:r>
            </m:sub>
          </m:sSub>
          <m:r>
            <m:rPr>
              <m:sty m:val="p"/>
            </m:rPr>
            <m:t>,</m:t>
          </m:r>
        </m:oMath>
      </m:oMathPara>
    </w:p>
    <w:p>
      <w:pPr>
        <w:pStyle w:val="FirstParagraph"/>
        <w:widowControl/>
      </w:pPr>
      <m:oMathPara>
        <m:oMathParaPr>
          <m:jc m:val="center"/>
        </m:oMathParaPr>
        <m:oMath>
          <m:sSubSup>
            <m:e>
              <m:r>
                <m:t>L</m:t>
              </m:r>
            </m:e>
            <m:sub>
              <m:r>
                <m:t>r</m:t>
              </m:r>
              <m:r>
                <m:t>y</m:t>
              </m:r>
            </m:sub>
            <m:sup>
              <m:r>
                <m:t>A</m:t>
              </m:r>
            </m:sup>
          </m:sSubSup>
          <m:sSub>
            <m:e>
              <m:r>
                <m:t>π</m:t>
              </m:r>
            </m:e>
            <m:sub>
              <m:r>
                <m:t>y</m:t>
              </m:r>
            </m:sub>
          </m:sSub>
          <m:r>
            <m:rPr>
              <m:sty m:val="p"/>
            </m:rPr>
            <m:t>≤</m:t>
          </m:r>
          <m:sSub>
            <m:e>
              <m:r>
                <m:t>s</m:t>
              </m:r>
            </m:e>
            <m:sub>
              <m:r>
                <m:t>r</m:t>
              </m:r>
              <m:r>
                <m:t>y</m:t>
              </m:r>
            </m:sub>
          </m:sSub>
          <m:r>
            <m:rPr>
              <m:sty m:val="p"/>
            </m:rPr>
            <m:t>≤</m:t>
          </m:r>
          <m:sSubSup>
            <m:e>
              <m:r>
                <m:t>U</m:t>
              </m:r>
            </m:e>
            <m:sub>
              <m:r>
                <m:t>r</m:t>
              </m:r>
              <m:r>
                <m:t>y</m:t>
              </m:r>
            </m:sub>
            <m:sup>
              <m:r>
                <m:t>A</m:t>
              </m:r>
            </m:sup>
          </m:sSubSup>
          <m:sSub>
            <m:e>
              <m:r>
                <m:t>π</m:t>
              </m:r>
            </m:e>
            <m:sub>
              <m:r>
                <m:t>y</m:t>
              </m:r>
            </m:sub>
          </m:sSub>
          <m:r>
            <m:rPr>
              <m:sty m:val="p"/>
            </m:rPr>
            <m:t>,</m:t>
          </m:r>
          <m:sSubSup>
            <m:e>
              <m:r>
                <m:t>L</m:t>
              </m:r>
            </m:e>
            <m:sub>
              <m:r>
                <m:t>r</m:t>
              </m:r>
            </m:sub>
            <m:sup>
              <m:r>
                <m:t>q</m:t>
              </m:r>
            </m:sup>
          </m:sSubSup>
          <m:r>
            <m:rPr>
              <m:sty m:val="p"/>
            </m:rPr>
            <m:t>≤</m:t>
          </m:r>
          <m:nary>
            <m:naryPr>
              <m:chr m:val="∑"/>
              <m:limLoc m:val="undOvr"/>
              <m:subHide m:val="off"/>
              <m:supHide m:val="on"/>
            </m:naryPr>
            <m:sub>
              <m:r>
                <m:t>y</m:t>
              </m:r>
            </m:sub>
            <m:sup>
              <m:r>
                <m:t>​</m:t>
              </m:r>
            </m:sup>
            <m:e>
              <m:sSub>
                <m:e>
                  <m:r>
                    <m:t>t</m:t>
                  </m:r>
                </m:e>
                <m:sub>
                  <m:r>
                    <m:t>r</m:t>
                  </m:r>
                  <m:r>
                    <m:t>y</m:t>
                  </m:r>
                </m:sub>
              </m:sSub>
            </m:e>
          </m:nary>
          <m:r>
            <m:rPr>
              <m:sty m:val="p"/>
            </m:rPr>
            <m:t>≤</m:t>
          </m:r>
          <m:sSubSup>
            <m:e>
              <m:r>
                <m:t>U</m:t>
              </m:r>
            </m:e>
            <m:sub>
              <m:r>
                <m:t>r</m:t>
              </m:r>
            </m:sub>
            <m:sup>
              <m:r>
                <m:t>q</m:t>
              </m:r>
            </m:sup>
          </m:sSubSup>
          <m:r>
            <m:rPr>
              <m:sty m:val="p"/>
            </m:rPr>
            <m:t>,</m:t>
          </m:r>
        </m:oMath>
      </m:oMathPara>
    </w:p>
    <w:p>
      <w:pPr>
        <w:pStyle w:val="FirstParagraph"/>
        <w:widowControl/>
      </w:pPr>
      <m:oMathPara>
        <m:oMathParaPr>
          <m:jc m:val="center"/>
        </m:oMathParaPr>
        <m:oMath>
          <m:sSub>
            <m:e>
              <m:r>
                <m:t>v</m:t>
              </m:r>
            </m:e>
            <m:sub>
              <m:r>
                <m:t>r</m:t>
              </m:r>
              <m:r>
                <m:t>y</m:t>
              </m:r>
            </m:sub>
          </m:sSub>
          <m:r>
            <m:rPr>
              <m:sty m:val="p"/>
            </m:rPr>
            <m:t>≥</m:t>
          </m:r>
          <m:sSub>
            <m:e>
              <m:r>
                <m:t>t</m:t>
              </m:r>
            </m:e>
            <m:sub>
              <m:r>
                <m:t>r</m:t>
              </m:r>
              <m:r>
                <m:t>y</m:t>
              </m:r>
            </m:sub>
          </m:sSub>
          <m:r>
            <m:rPr>
              <m:sty m:val="p"/>
            </m:rPr>
            <m:t>−</m:t>
          </m:r>
          <m:sSub>
            <m:e>
              <m:r>
                <m:t>s</m:t>
              </m:r>
            </m:e>
            <m:sub>
              <m:r>
                <m:t>r</m:t>
              </m:r>
              <m:r>
                <m:t>y</m:t>
              </m:r>
            </m:sub>
          </m:sSub>
          <m:r>
            <m:rPr>
              <m:sty m:val="p"/>
            </m:rPr>
            <m:t>,</m:t>
          </m:r>
          <m:sSub>
            <m:e>
              <m:r>
                <m:t>v</m:t>
              </m:r>
            </m:e>
            <m:sub>
              <m:r>
                <m:t>r</m:t>
              </m:r>
              <m:r>
                <m:t>y</m:t>
              </m:r>
            </m:sub>
          </m:sSub>
          <m:r>
            <m:rPr>
              <m:sty m:val="p"/>
            </m:rPr>
            <m:t>≥</m:t>
          </m:r>
          <m:sSub>
            <m:e>
              <m:r>
                <m:t>s</m:t>
              </m:r>
            </m:e>
            <m:sub>
              <m:r>
                <m:t>r</m:t>
              </m:r>
              <m:r>
                <m:t>y</m:t>
              </m:r>
            </m:sub>
          </m:sSub>
          <m:r>
            <m:rPr>
              <m:sty m:val="p"/>
            </m:rPr>
            <m:t>−</m:t>
          </m:r>
          <m:sSub>
            <m:e>
              <m:r>
                <m:t>t</m:t>
              </m:r>
            </m:e>
            <m:sub>
              <m:r>
                <m:t>r</m:t>
              </m:r>
              <m:r>
                <m:t>y</m:t>
              </m:r>
            </m:sub>
          </m:sSub>
          <m:r>
            <m:rPr>
              <m:sty m:val="p"/>
            </m:rPr>
            <m:t>,</m:t>
          </m:r>
        </m:oMath>
      </m:oMathPara>
    </w:p>
    <w:p>
      <w:pPr>
        <w:pStyle w:val="FirstParagraph"/>
        <w:widowControl/>
      </w:pPr>
      <m:oMathPara>
        <m:oMathParaPr>
          <m:jc m:val="center"/>
        </m:oMathParaPr>
        <m:oMath>
          <m:f>
            <m:fPr>
              <m:type m:val="lin"/>
            </m:fPr>
            <m:num>
              <m:r>
                <m:t>1</m:t>
              </m:r>
            </m:num>
            <m:den>
              <m:r>
                <m:t>2</m:t>
              </m:r>
            </m:den>
          </m:f>
          <m:nary>
            <m:naryPr>
              <m:chr m:val="∑"/>
              <m:limLoc m:val="undOvr"/>
              <m:subHide m:val="off"/>
              <m:supHide m:val="on"/>
            </m:naryPr>
            <m:sub>
              <m:r>
                <m:t>r</m:t>
              </m:r>
              <m:r>
                <m:rPr>
                  <m:sty m:val="p"/>
                </m:rPr>
                <m:t>,</m:t>
              </m:r>
              <m:r>
                <m:t>y</m:t>
              </m:r>
            </m:sub>
            <m:sup>
              <m:r>
                <m:t>​</m:t>
              </m:r>
            </m:sup>
            <m:e>
              <m:sSub>
                <m:e>
                  <m:r>
                    <m:t>v</m:t>
                  </m:r>
                </m:e>
                <m:sub>
                  <m:r>
                    <m:t>r</m:t>
                  </m:r>
                  <m:r>
                    <m:t>y</m:t>
                  </m:r>
                </m:sub>
              </m:sSub>
            </m:e>
          </m:nary>
          <m:r>
            <m:rPr>
              <m:sty m:val="p"/>
            </m:rPr>
            <m:t>≤</m:t>
          </m:r>
          <m:r>
            <m:t>ρ</m:t>
          </m:r>
          <m:r>
            <m:rPr>
              <m:sty m:val="p"/>
            </m:rPr>
            <m:t>,</m:t>
          </m:r>
          <m:r>
            <m:t>0</m:t>
          </m:r>
          <m:r>
            <m:rPr>
              <m:sty m:val="p"/>
            </m:rPr>
            <m:t>≤</m:t>
          </m:r>
          <m:r>
            <m:t>t</m:t>
          </m:r>
          <m:r>
            <m:rPr>
              <m:sty m:val="p"/>
            </m:rPr>
            <m:t>,</m:t>
          </m:r>
          <m:r>
            <m:t>s</m:t>
          </m:r>
          <m:r>
            <m:rPr>
              <m:sty m:val="p"/>
            </m:rPr>
            <m:t>,</m:t>
          </m:r>
          <m:r>
            <m:t>π</m:t>
          </m:r>
          <m:r>
            <m:rPr>
              <m:sty m:val="p"/>
            </m:rPr>
            <m:t>,</m:t>
          </m:r>
          <m:r>
            <m:t>v</m:t>
          </m:r>
          <m:r>
            <m:rPr>
              <m:sty m:val="p"/>
            </m:rPr>
            <m:t>≤</m:t>
          </m:r>
          <m:r>
            <m:t>1</m:t>
          </m:r>
          <m:r>
            <m:rPr>
              <m:nor/>
              <m:sty m:val="p"/>
            </m:rPr>
            <m:t xml:space="preserve">  (28)</m:t>
          </m:r>
        </m:oMath>
      </m:oMathPara>
    </w:p>
    <w:p>
      <w:pPr>
        <w:pStyle w:val="FirstParagraph"/>
        <w:widowControl/>
      </w:pPr>
      <w:r>
        <w:t xml:space="preserve">Minimal slacks are absolute differences of probabilities, so their unit upper</w:t>
      </w:r>
      <w:r>
        <w:t xml:space="preserve"> </w:t>
      </w:r>
      <w:r>
        <w:t xml:space="preserve">bounds remove no feasible table. Define</w:t>
      </w:r>
      <w:r>
        <w:t xml:space="preserve"> </w:t>
      </w:r>
      <m:oMath>
        <m:sSub>
          <m:e>
            <m:r>
              <m:t>c</m:t>
            </m:r>
          </m:e>
          <m:sub>
            <m:r>
              <m:t>r</m:t>
            </m:r>
            <m:r>
              <m:t>y</m:t>
            </m:r>
          </m:sub>
        </m:sSub>
        <m:r>
          <m:rPr>
            <m:sty m:val="p"/>
          </m:rPr>
          <m:t>=</m:t>
        </m:r>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oMath>
      <w:r>
        <w:t xml:space="preserve"> </w:t>
      </w:r>
      <w:r>
        <w:t xml:space="preserve">and exact extrema</w:t>
      </w:r>
      <w:r>
        <w:t xml:space="preserve"> </w:t>
      </w:r>
      <m:oMath>
        <m:r>
          <m:t>ℓ</m:t>
        </m:r>
        <m:r>
          <m:rPr>
            <m:sty m:val="p"/>
          </m:rPr>
          <m:t>=</m:t>
        </m:r>
        <m:sSub>
          <m:e>
            <m:r>
              <m:rPr>
                <m:sty m:val="p"/>
              </m:rPr>
              <m:t>min</m:t>
            </m:r>
          </m:e>
          <m:sub>
            <m:sSub>
              <m:e>
                <m:r>
                  <m:rPr>
                    <m:scr m:val="script"/>
                    <m:sty m:val="p"/>
                  </m:rPr>
                  <m:t>P</m:t>
                </m:r>
              </m:e>
              <m:sub>
                <m:r>
                  <m:t>ρ</m:t>
                </m:r>
              </m:sub>
            </m:sSub>
          </m:sub>
        </m:sSub>
        <m:sSup>
          <m:e>
            <m:r>
              <m:t>c</m:t>
            </m:r>
          </m:e>
          <m:sup>
            <m:r>
              <m:rPr>
                <m:sty m:val="p"/>
              </m:rPr>
              <m:t>⊤</m:t>
            </m:r>
          </m:sup>
        </m:sSup>
        <m:r>
          <m:t>t</m:t>
        </m:r>
      </m:oMath>
      <w:r>
        <w:t xml:space="preserve">,</w:t>
      </w:r>
      <w:r>
        <w:t xml:space="preserve"> </w:t>
      </w:r>
      <m:oMath>
        <m:r>
          <m:t>u</m:t>
        </m:r>
        <m:r>
          <m:rPr>
            <m:sty m:val="p"/>
          </m:rPr>
          <m:t>=</m:t>
        </m:r>
        <m:sSub>
          <m:e>
            <m:r>
              <m:rPr>
                <m:sty m:val="p"/>
              </m:rPr>
              <m:t>max</m:t>
            </m:r>
          </m:e>
          <m:sub>
            <m:sSub>
              <m:e>
                <m:r>
                  <m:rPr>
                    <m:scr m:val="script"/>
                    <m:sty m:val="p"/>
                  </m:rPr>
                  <m:t>P</m:t>
                </m:r>
              </m:e>
              <m:sub>
                <m:r>
                  <m:t>ρ</m:t>
                </m:r>
              </m:sub>
            </m:sSub>
          </m:sub>
        </m:sSub>
        <m:sSup>
          <m:e>
            <m:r>
              <m:t>c</m:t>
            </m:r>
          </m:e>
          <m:sup>
            <m:r>
              <m:rPr>
                <m:sty m:val="p"/>
              </m:rPr>
              <m:t>⊤</m:t>
            </m:r>
          </m:sup>
        </m:sSup>
        <m:r>
          <m:t>t</m:t>
        </m:r>
      </m:oMath>
      <w:r>
        <w:t xml:space="preserve"> </w:t>
      </w:r>
      <w:r>
        <w:t xml:space="preserve">when the set is nonempty.</w:t>
      </w:r>
    </w:p>
    <w:p>
      <w:pPr>
        <w:pStyle w:val="BodyText"/>
        <w:widowControl/>
      </w:pPr>
      <w:r>
        <w:rPr>
          <w:b/>
          <w:bCs/>
        </w:rPr>
        <w:t xml:space="preserve">Proposition 6</w:t>
      </w:r>
      <w:r>
        <w:t xml:space="preserve"> </w:t>
      </w:r>
      <w:r>
        <w:t xml:space="preserve">(Conditional paired-benefit coverage).</w:t>
      </w:r>
      <w:r>
        <w:t xml:space="preserve"> </w:t>
      </w:r>
      <w:r>
        <w:t xml:space="preserve"> </w:t>
      </w:r>
      <w:r>
        <w:rPr>
          <w:i/>
          <w:iCs/>
        </w:rPr>
        <w:t xml:space="preserve">Under the sampling assumptions and the declared aggregate conditional-TV bound,</w:t>
      </w:r>
      <w:r>
        <w:rPr>
          <w:i/>
          <w:iCs/>
        </w:rPr>
        <w:t xml:space="preserve"> </w:t>
      </w:r>
      <w:r>
        <w:rPr>
          <w:i/>
          <w:iCs/>
        </w:rPr>
        <w:t xml:space="preserve">the true benefit belongs to</w:t>
      </w:r>
      <w:r>
        <w:rPr>
          <w:i/>
          <w:iCs/>
        </w:rPr>
        <w:t xml:space="preserve"> </w:t>
      </w:r>
      <m:oMath>
        <m:r>
          <m:rPr>
            <m:sty m:val="p"/>
          </m:rPr>
          <m:t>[</m:t>
        </m:r>
        <m:r>
          <m:t>ℓ</m:t>
        </m:r>
        <m:r>
          <m:rPr>
            <m:sty m:val="p"/>
          </m:rPr>
          <m:t>,</m:t>
        </m:r>
        <m:r>
          <m:t>u</m:t>
        </m:r>
        <m:r>
          <m:rPr>
            <m:sty m:val="p"/>
          </m:rPr>
          <m:t>]</m:t>
        </m:r>
      </m:oMath>
      <w:r>
        <w:rPr>
          <w:i/>
          <w:iCs/>
        </w:rPr>
        <w:t xml:space="preserve"> </w:t>
      </w:r>
      <w:r>
        <w:rPr>
          <w:i/>
          <w:iCs/>
        </w:rPr>
        <w:t xml:space="preserve">with probability at least</w:t>
      </w:r>
      <w:r>
        <w:rPr>
          <w:i/>
          <w:iCs/>
        </w:rPr>
        <w:t xml:space="preserve"> </w:t>
      </w:r>
      <m:oMath>
        <m:r>
          <m:t>1</m:t>
        </m:r>
        <m:r>
          <m:rPr>
            <m:sty m:val="p"/>
          </m:rPr>
          <m:t>−</m:t>
        </m:r>
        <m:r>
          <m:t>α</m:t>
        </m:r>
      </m:oMath>
      <w:r>
        <w:rPr>
          <w:i/>
          <w:iCs/>
        </w:rPr>
        <w:t xml:space="preserve">.</w:t>
      </w:r>
      <w:r>
        <w:rPr>
          <w:i/>
          <w:iCs/>
        </w:rPr>
        <w:t xml:space="preserve"> </w:t>
      </w:r>
      <w:r>
        <w:rPr>
          <w:i/>
          <w:iCs/>
        </w:rPr>
        <w:t xml:space="preserve">Thus ADAPT for</w:t>
      </w:r>
      <w:r>
        <w:rPr>
          <w:i/>
          <w:iCs/>
        </w:rPr>
        <w:t xml:space="preserve"> </w:t>
      </w:r>
      <m:oMath>
        <m:r>
          <m:t>ℓ</m:t>
        </m:r>
        <m:r>
          <m:rPr>
            <m:sty m:val="p"/>
          </m:rPr>
          <m:t>&gt;</m:t>
        </m:r>
        <m:r>
          <m:t>0</m:t>
        </m:r>
      </m:oMath>
      <w:r>
        <w:rPr>
          <w:i/>
          <w:iCs/>
        </w:rPr>
        <w:t xml:space="preserve"> </w:t>
      </w:r>
      <w:r>
        <w:rPr>
          <w:i/>
          <w:iCs/>
        </w:rPr>
        <w:t xml:space="preserve">and FREEZE for</w:t>
      </w:r>
      <w:r>
        <w:rPr>
          <w:i/>
          <w:iCs/>
        </w:rPr>
        <w:t xml:space="preserve"> </w:t>
      </w:r>
      <m:oMath>
        <m:r>
          <m:t>u</m:t>
        </m:r>
        <m:r>
          <m:rPr>
            <m:sty m:val="p"/>
          </m:rPr>
          <m:t>&lt;</m:t>
        </m:r>
        <m:r>
          <m:t>0</m:t>
        </m:r>
      </m:oMath>
      <w:r>
        <w:rPr>
          <w:i/>
          <w:iCs/>
        </w:rPr>
        <w:t xml:space="preserve"> </w:t>
      </w:r>
      <w:r>
        <w:rPr>
          <w:i/>
          <w:iCs/>
        </w:rPr>
        <w:t xml:space="preserve">has unconditional wrong-direction</w:t>
      </w:r>
      <w:r>
        <w:rPr>
          <w:i/>
          <w:iCs/>
        </w:rPr>
        <w:t xml:space="preserve"> </w:t>
      </w:r>
      <w:r>
        <w:rPr>
          <w:i/>
          <w:iCs/>
        </w:rPr>
        <w:t xml:space="preserve">probability at most</w:t>
      </w:r>
      <w:r>
        <w:rPr>
          <w:i/>
          <w:iCs/>
        </w:rPr>
        <w:t xml:space="preserve"> </w:t>
      </w:r>
      <m:oMath>
        <m:r>
          <m:t>α</m:t>
        </m:r>
      </m:oMath>
      <w:r>
        <w:rPr>
          <w:i/>
          <w:iCs/>
        </w:rPr>
        <w:t xml:space="preserve">, with abstention otherwise and on an empty set.</w:t>
      </w:r>
    </w:p>
    <w:p>
      <w:pPr>
        <w:pStyle w:val="BodyText"/>
        <w:widowControl/>
      </w:pPr>
      <w:r>
        <w:rPr>
          <w:i/>
          <w:iCs/>
        </w:rPr>
        <w:t xml:space="preserve">Proof.</w:t>
      </w:r>
      <w:r>
        <w:t xml:space="preserve"> </w:t>
      </w:r>
      <w:r>
        <w:t xml:space="preserve">On the simultaneous interval event, set</w:t>
      </w:r>
      <w:r>
        <w:t xml:space="preserve"> </w:t>
      </w:r>
      <m:oMath>
        <m:r>
          <m:t>π</m:t>
        </m:r>
      </m:oMath>
      <w:r>
        <w:t xml:space="preserve"> </w:t>
      </w:r>
      <w:r>
        <w:t xml:space="preserve">to the true target prior,</w:t>
      </w:r>
      <w:r>
        <w:t xml:space="preserve"> </w:t>
      </w:r>
      <m:oMath>
        <m:sSub>
          <m:e>
            <m:r>
              <m:t>t</m:t>
            </m:r>
          </m:e>
          <m:sub>
            <m:r>
              <m:t>r</m:t>
            </m:r>
            <m:r>
              <m:t>y</m:t>
            </m:r>
          </m:sub>
        </m:sSub>
        <m:r>
          <m:rPr>
            <m:sty m:val="p"/>
          </m:rPr>
          <m:t>=</m:t>
        </m:r>
        <m:sSub>
          <m:e>
            <m:r>
              <m:t>P</m:t>
            </m:r>
          </m:e>
          <m:sub>
            <m:r>
              <m:t>T</m:t>
            </m:r>
          </m:sub>
        </m:sSub>
        <m:r>
          <m:rPr>
            <m:sty m:val="p"/>
          </m:rPr>
          <m:t>(</m:t>
        </m:r>
        <m:r>
          <m:t>r</m:t>
        </m:r>
        <m:r>
          <m:rPr>
            <m:sty m:val="p"/>
          </m:rPr>
          <m:t>,</m:t>
        </m:r>
        <m:r>
          <m:t>y</m:t>
        </m:r>
        <m:r>
          <m:rPr>
            <m:sty m:val="p"/>
          </m:rPr>
          <m:t>)</m:t>
        </m:r>
      </m:oMath>
      <w:r>
        <w:t xml:space="preserve">,</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and</w:t>
      </w:r>
      <w:r>
        <w:t xml:space="preserve"> </w:t>
      </w:r>
      <m:oMath>
        <m:sSub>
          <m:e>
            <m:r>
              <m:t>v</m:t>
            </m:r>
          </m:e>
          <m:sub>
            <m:r>
              <m:t>r</m:t>
            </m:r>
            <m:r>
              <m:t>y</m:t>
            </m:r>
          </m:sub>
        </m:sSub>
        <m:r>
          <m:rPr>
            <m:sty m:val="p"/>
          </m:rPr>
          <m:t>=</m:t>
        </m:r>
        <m:r>
          <m:rPr>
            <m:sty m:val="p"/>
          </m:rPr>
          <m:t>|</m:t>
        </m:r>
        <m:sSub>
          <m:e>
            <m:r>
              <m:t>t</m:t>
            </m:r>
          </m:e>
          <m:sub>
            <m:r>
              <m:t>r</m:t>
            </m:r>
            <m:r>
              <m:t>y</m:t>
            </m:r>
          </m:sub>
        </m:sSub>
        <m:r>
          <m:rPr>
            <m:sty m:val="p"/>
          </m:rPr>
          <m:t>−</m:t>
        </m:r>
        <m:sSub>
          <m:e>
            <m:r>
              <m:t>s</m:t>
            </m:r>
          </m:e>
          <m:sub>
            <m:r>
              <m:t>r</m:t>
            </m:r>
            <m:r>
              <m:t>y</m:t>
            </m:r>
          </m:sub>
        </m:sSub>
        <m:r>
          <m:rPr>
            <m:sty m:val="p"/>
          </m:rPr>
          <m:t>|</m:t>
        </m:r>
      </m:oMath>
      <w:r>
        <w:t xml:space="preserve">.</w:t>
      </w:r>
      <w:r>
        <w:t xml:space="preserve"> </w:t>
      </w:r>
      <w:r>
        <w:t xml:space="preserve">The marginal and probability-box constraints hold. The external transport bound</w:t>
      </w:r>
      <w:r>
        <w:t xml:space="preserve"> </w:t>
      </w:r>
      <w:r>
        <w:t xml:space="preserve">gives the slack budget. Hence the true table is feasible and its benefit lies</w:t>
      </w:r>
      <w:r>
        <w:t xml:space="preserve"> </w:t>
      </w:r>
      <w:r>
        <w:t xml:space="preserve">between the extrema. A wrong strict sign entails failure of the simultaneous</w:t>
      </w:r>
      <w:r>
        <w:t xml:space="preserve"> </w:t>
      </w:r>
      <w:r>
        <w:t xml:space="preserve">interval event. The proof uses no matrix invertibility or full-rank assumption. ◻</w:t>
      </w:r>
    </w:p>
    <w:p>
      <w:pPr>
        <w:pStyle w:val="BodyText"/>
        <w:widowControl/>
      </w:pPr>
      <w:r>
        <w:t xml:space="preserve">The exact nonempty polytope is compact, so its extrema are attained. A feasible</w:t>
      </w:r>
      <w:r>
        <w:t xml:space="preserve"> </w:t>
      </w:r>
      <w:r>
        <w:t xml:space="preserve">table realizes a finite probability model by taking source conditionals</w:t>
      </w:r>
      <w:r>
        <w:t xml:space="preserve"> </w:t>
      </w:r>
      <m:oMath>
        <m:sSub>
          <m:e>
            <m:r>
              <m:t>s</m:t>
            </m:r>
          </m:e>
          <m:sub>
            <m:r>
              <m:rPr>
                <m:sty m:val="p"/>
              </m:rPr>
              <m:t>⋅</m:t>
            </m:r>
            <m:r>
              <m:t>y</m:t>
            </m:r>
          </m:sub>
        </m:sSub>
        <m:r>
          <m:rPr>
            <m:sty m:val="p"/>
          </m:rPr>
          <m:t>/</m:t>
        </m:r>
        <m:sSub>
          <m:e>
            <m:r>
              <m:t>π</m:t>
            </m:r>
          </m:e>
          <m:sub>
            <m:r>
              <m:t>y</m:t>
            </m:r>
          </m:sub>
        </m:sSub>
      </m:oMath>
      <w:r>
        <w:t xml:space="preserve"> </w:t>
      </w:r>
      <w:r>
        <w:t xml:space="preserve">for positive-mass classes and any normalized column inside</w:t>
      </w:r>
      <w:r>
        <w:t xml:space="preserve"> </w:t>
      </w:r>
      <w:r>
        <w:t xml:space="preserve">the source box for zero-mass classes, whose existence is required. Sharpness is</w:t>
      </w:r>
      <w:r>
        <w:t xml:space="preserve"> </w:t>
      </w:r>
      <w:r>
        <w:t xml:space="preserve">relative to this finite-table model, not every underlying feature-space model or</w:t>
      </w:r>
      <w:r>
        <w:t xml:space="preserve"> </w:t>
      </w:r>
      <w:r>
        <w:t xml:space="preserve">every confidence procedure. Multiple candidates or repeated decisions require</w:t>
      </w:r>
      <w:r>
        <w:t xml:space="preserve"> </w:t>
      </w:r>
      <w:r>
        <w:t xml:space="preserve">another simultaneous construction or error allocation.</w:t>
      </w:r>
    </w:p>
    <w:bookmarkEnd w:id="189"/>
    <w:bookmarkStart w:id="190" w:name="a-decision-without-prior-identification."/>
    <w:p>
      <w:pPr>
        <w:pStyle w:val="Heading2"/>
        <w:keepNext/>
        <w:widowControl/>
        <w:spacing w:before="100" w:after="20" w:line="252" w:lineRule="auto"/>
      </w:pPr>
      <w:r>
        <w:rPr>
          <w:rFonts w:ascii="Times New Roman" w:hAnsi="Times New Roman" w:eastAsia="Times New Roman" w:cs="Times New Roman"/>
          <w:b/>
          <w:sz w:val="19"/>
        </w:rPr>
        <w:t xml:space="preserve">A decision without prior identification.</w:t>
      </w:r>
    </w:p>
    <w:p>
      <w:pPr>
        <w:pStyle w:val="FirstParagraph"/>
        <w:widowControl/>
      </w:pPr>
      <w:r>
        <w:t xml:space="preserve">For classes</w:t>
      </w:r>
      <w:r>
        <w:t xml:space="preserve"> </w:t>
      </w:r>
      <m:oMath>
        <m:r>
          <m:t>0</m:t>
        </m:r>
        <m:r>
          <m:rPr>
            <m:sty m:val="p"/>
          </m:rPr>
          <m:t>,</m:t>
        </m:r>
        <m:r>
          <m:t>1</m:t>
        </m:r>
        <m:r>
          <m:rPr>
            <m:sty m:val="p"/>
          </m:rPr>
          <m:t>,</m:t>
        </m:r>
        <m:r>
          <m:t>2</m:t>
        </m:r>
      </m:oMath>
      <w:r>
        <w:t xml:space="preserve"> </w:t>
      </w:r>
      <w:r>
        <w:t xml:space="preserve">and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2</m:t>
        </m:r>
        <m:r>
          <m:rPr>
            <m:sty m:val="p"/>
          </m:rPr>
          <m:t>)</m:t>
        </m:r>
      </m:oMath>
      <w:r>
        <w:t xml:space="preserve">, take</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.2</m:t>
                    </m:r>
                  </m:e>
                  <m:e>
                    <m:r>
                      <m:t>0</m:t>
                    </m:r>
                  </m:e>
                </m:mr>
                <m:mr>
                  <m:e>
                    <m:r>
                      <m:t>.8</m:t>
                    </m:r>
                  </m:e>
                  <m:e>
                    <m:r>
                      <m:t>.8</m:t>
                    </m:r>
                  </m:e>
                  <m:e>
                    <m:r>
                      <m:t>0</m:t>
                    </m:r>
                  </m:e>
                </m:mr>
                <m:mr>
                  <m:e>
                    <m:r>
                      <m:t>0</m:t>
                    </m:r>
                  </m:e>
                  <m:e>
                    <m:r>
                      <m:t>0</m:t>
                    </m:r>
                  </m:e>
                  <m:e>
                    <m:r>
                      <m:t>1</m:t>
                    </m:r>
                  </m:e>
                </m:mr>
              </m:m>
            </m:e>
          </m:d>
          <m:r>
            <m:rPr>
              <m:sty m:val="p"/>
            </m:rPr>
            <m:t>,</m:t>
          </m:r>
          <m:r>
            <m:t>  </m:t>
          </m:r>
          <m:r>
            <m:t>q</m:t>
          </m:r>
          <m:r>
            <m:rPr>
              <m:sty m:val="p"/>
            </m:rPr>
            <m:t>=</m:t>
          </m:r>
          <m:r>
            <m:rPr>
              <m:sty m:val="p"/>
            </m:rPr>
            <m:t>(</m:t>
          </m:r>
          <m:r>
            <m:t>.2</m:t>
          </m:r>
          <m:r>
            <m:rPr>
              <m:sty m:val="p"/>
            </m:rPr>
            <m:t>,</m:t>
          </m:r>
          <m:r>
            <m:t>.8</m:t>
          </m:r>
          <m:r>
            <m:rPr>
              <m:sty m:val="p"/>
            </m:rPr>
            <m:t>,</m:t>
          </m:r>
          <m:r>
            <m:t>0</m:t>
          </m:r>
          <m:sSup>
            <m:e>
              <m:r>
                <m:rPr>
                  <m:sty m:val="p"/>
                </m:rPr>
                <m:t>)</m:t>
              </m:r>
            </m:e>
            <m:sup>
              <m:r>
                <m:rPr>
                  <m:sty m:val="p"/>
                </m:rPr>
                <m:t>⊤</m:t>
              </m:r>
            </m:sup>
          </m:sSup>
          <m:r>
            <m:rPr>
              <m:sty m:val="p"/>
            </m:rPr>
            <m:t>.</m:t>
          </m:r>
        </m:oMath>
      </m:oMathPara>
    </w:p>
    <w:p>
      <w:pPr>
        <w:pStyle w:val="FirstParagraph"/>
        <w:widowControl/>
      </w:pPr>
      <w:r>
        <w:t xml:space="preserve">At</w:t>
      </w:r>
      <w:r>
        <w:t xml:space="preserve"> </w:t>
      </w:r>
      <m:oMath>
        <m:r>
          <m:t>ρ</m:t>
        </m:r>
        <m:r>
          <m:rPr>
            <m:sty m:val="p"/>
          </m:rPr>
          <m:t>=</m:t>
        </m:r>
        <m:r>
          <m:t>0</m:t>
        </m:r>
      </m:oMath>
      <w:r>
        <w:t xml:space="preserve">, every prior</w:t>
      </w:r>
      <w:r>
        <w:t xml:space="preserve"> </w:t>
      </w:r>
      <m:oMath>
        <m:r>
          <m:rPr>
            <m:sty m:val="p"/>
          </m:rPr>
          <m:t>(</m:t>
        </m:r>
        <m:r>
          <m:t>p</m:t>
        </m:r>
        <m:r>
          <m:rPr>
            <m:sty m:val="p"/>
          </m:rPr>
          <m:t>,</m:t>
        </m:r>
        <m:r>
          <m:t>1</m:t>
        </m:r>
        <m:r>
          <m:rPr>
            <m:sty m:val="p"/>
          </m:rPr>
          <m:t>−</m:t>
        </m:r>
        <m:r>
          <m:t>p</m:t>
        </m:r>
        <m:r>
          <m:rPr>
            <m:sty m:val="p"/>
          </m:rPr>
          <m:t>,</m:t>
        </m:r>
        <m:r>
          <m:t>0</m:t>
        </m:r>
        <m:r>
          <m:rPr>
            <m:sty m:val="p"/>
          </m:rPr>
          <m:t>)</m:t>
        </m:r>
      </m:oMath>
      <w:r>
        <w:t xml:space="preserve"> </w:t>
      </w:r>
      <w:r>
        <w:t xml:space="preserve">is compatible, while the benefit is</w:t>
      </w:r>
      <w:r>
        <w:t xml:space="preserve"> </w:t>
      </w:r>
      <m:oMath>
        <m:r>
          <m:t>.2</m:t>
        </m:r>
        <m:r>
          <m:t>p</m:t>
        </m:r>
        <m:r>
          <m:rPr>
            <m:sty m:val="p"/>
          </m:rPr>
          <m:t>+</m:t>
        </m:r>
        <m:r>
          <m:t>.8</m:t>
        </m:r>
        <m:r>
          <m:rPr>
            <m:sty m:val="p"/>
          </m:rPr>
          <m:t>(</m:t>
        </m:r>
        <m:r>
          <m:t>1</m:t>
        </m:r>
        <m:r>
          <m:rPr>
            <m:sty m:val="p"/>
          </m:rPr>
          <m:t>−</m:t>
        </m:r>
        <m:r>
          <m:t>p</m:t>
        </m:r>
        <m:r>
          <m:rPr>
            <m:sty m:val="p"/>
          </m:rPr>
          <m:t>)</m:t>
        </m:r>
        <m:r>
          <m:rPr>
            <m:sty m:val="p"/>
          </m:rPr>
          <m:t>∈</m:t>
        </m:r>
        <m:r>
          <m:rPr>
            <m:sty m:val="p"/>
          </m:rPr>
          <m:t>[</m:t>
        </m:r>
        <m:r>
          <m:t>.2</m:t>
        </m:r>
        <m:r>
          <m:rPr>
            <m:sty m:val="p"/>
          </m:rPr>
          <m:t>,</m:t>
        </m:r>
        <m:r>
          <m:t>.8</m:t>
        </m:r>
        <m:r>
          <m:rPr>
            <m:sty m:val="p"/>
          </m:rPr>
          <m:t>]</m:t>
        </m:r>
      </m:oMath>
      <w:r>
        <w:t xml:space="preserve">. The prior is unidentifiable but ADAPT is identified.</w:t>
      </w:r>
      <w:r>
        <w:t xml:space="preserve"> </w:t>
      </w:r>
      <w:r>
        <w:t xml:space="preserve">These are exact rational decimals in the mathematical example; floating-point</w:t>
      </w:r>
      <w:r>
        <w:t xml:space="preserve"> </w:t>
      </w:r>
      <w:r>
        <w:t xml:space="preserve">LP checks are not a separate proof of exact feasibility.</w:t>
      </w:r>
      <w:r>
        <w:t xml:space="preserve"> </w:t>
      </w:r>
      <w:r>
        <w:t xml:space="preserve">The smallest transport allowance admitting a nonpositive benefit is</w:t>
      </w:r>
      <w:r>
        <w:t xml:space="preserve"> </w:t>
      </w:r>
      <m:oMath>
        <m:r>
          <m:t>1</m:t>
        </m:r>
        <m:r>
          <m:rPr>
            <m:sty m:val="p"/>
          </m:rPr>
          <m:t>/</m:t>
        </m:r>
        <m:r>
          <m:t>6</m:t>
        </m:r>
      </m:oMath>
      <w:r>
        <w:t xml:space="preserve">.</w:t>
      </w:r>
      <w:r>
        <w:t xml:space="preserve"> </w:t>
      </w:r>
      <w:r>
        <w:t xml:space="preserve">Indeed, write the prior as</w:t>
      </w:r>
      <w:r>
        <w:t xml:space="preserve"> </w:t>
      </w:r>
      <m:oMath>
        <m:r>
          <m:rPr>
            <m:sty m:val="p"/>
          </m:rPr>
          <m:t>(</m:t>
        </m:r>
        <m:r>
          <m:t>a</m:t>
        </m:r>
        <m:r>
          <m:rPr>
            <m:sty m:val="p"/>
          </m:rPr>
          <m:t>,</m:t>
        </m:r>
        <m:r>
          <m:t>b</m:t>
        </m:r>
        <m:r>
          <m:rPr>
            <m:sty m:val="p"/>
          </m:rPr>
          <m:t>,</m:t>
        </m:r>
        <m:r>
          <m:t>g</m:t>
        </m:r>
        <m:r>
          <m:rPr>
            <m:sty m:val="p"/>
          </m:rPr>
          <m:t>)</m:t>
        </m:r>
      </m:oMath>
      <w:r>
        <w:t xml:space="preserve"> </w:t>
      </w:r>
      <w:r>
        <w:t xml:space="preserve">and let</w:t>
      </w:r>
      <w:r>
        <w:t xml:space="preserve"> </w:t>
      </w:r>
      <m:oMath>
        <m:r>
          <m:t>d</m:t>
        </m:r>
      </m:oMath>
      <w:r>
        <w:t xml:space="preserve"> </w:t>
      </w:r>
      <w:r>
        <w:t xml:space="preserve">be moved mass in the first two</w:t>
      </w:r>
      <w:r>
        <w:t xml:space="preserve"> </w:t>
      </w:r>
      <w:r>
        <w:t xml:space="preserve">columns. Nonpositive benefit requires</w:t>
      </w:r>
      <w:r>
        <w:t xml:space="preserve"> </w:t>
      </w:r>
      <m:oMath>
        <m:r>
          <m:t>d</m:t>
        </m:r>
        <m:r>
          <m:rPr>
            <m:sty m:val="p"/>
          </m:rPr>
          <m:t>≥</m:t>
        </m:r>
        <m:r>
          <m:t>.2</m:t>
        </m:r>
        <m:r>
          <m:t>a</m:t>
        </m:r>
        <m:r>
          <m:rPr>
            <m:sty m:val="p"/>
          </m:rPr>
          <m:t>+</m:t>
        </m:r>
        <m:r>
          <m:t>.8</m:t>
        </m:r>
        <m:r>
          <m:t>b</m:t>
        </m:r>
        <m:r>
          <m:rPr>
            <m:sty m:val="p"/>
          </m:rPr>
          <m:t>−</m:t>
        </m:r>
        <m:r>
          <m:t>g</m:t>
        </m:r>
      </m:oMath>
      <w:r>
        <w:t xml:space="preserve">; moving all third-column</w:t>
      </w:r>
      <w:r>
        <w:t xml:space="preserve"> </w:t>
      </w:r>
      <w:r>
        <w:t xml:space="preserve">mass out of its original row costs</w:t>
      </w:r>
      <w:r>
        <w:t xml:space="preserve"> </w:t>
      </w:r>
      <m:oMath>
        <m:r>
          <m:t>g</m:t>
        </m:r>
      </m:oMath>
      <w:r>
        <w:t xml:space="preserve">. Total variation is at least</w:t>
      </w:r>
      <w:r>
        <w:t xml:space="preserve"> </w:t>
      </w:r>
      <m:oMath>
        <m:r>
          <m:rPr>
            <m:sty m:val="p"/>
          </m:rPr>
          <m:t>max</m:t>
        </m:r>
        <m:r>
          <m:rPr>
            <m:sty m:val="p"/>
          </m:rPr>
          <m:t>(</m:t>
        </m:r>
        <m:r>
          <m:t>g</m:t>
        </m:r>
        <m:r>
          <m:rPr>
            <m:sty m:val="p"/>
          </m:rPr>
          <m:t>,</m:t>
        </m:r>
        <m:r>
          <m:t>.2</m:t>
        </m:r>
        <m:r>
          <m:t>a</m:t>
        </m:r>
        <m:r>
          <m:rPr>
            <m:sty m:val="p"/>
          </m:rPr>
          <m:t>+</m:t>
        </m:r>
        <m:r>
          <m:t>.8</m:t>
        </m:r>
        <m:r>
          <m:t>b</m:t>
        </m:r>
        <m:r>
          <m:rPr>
            <m:sty m:val="p"/>
          </m:rPr>
          <m:t>)</m:t>
        </m:r>
        <m:r>
          <m:rPr>
            <m:sty m:val="p"/>
          </m:rPr>
          <m:t>≥</m:t>
        </m:r>
        <m:r>
          <m:rPr>
            <m:sty m:val="p"/>
          </m:rPr>
          <m:t>max</m:t>
        </m:r>
        <m:r>
          <m:rPr>
            <m:sty m:val="p"/>
          </m:rPr>
          <m:t>(</m:t>
        </m:r>
        <m:r>
          <m:t>g</m:t>
        </m:r>
        <m:r>
          <m:rPr>
            <m:sty m:val="p"/>
          </m:rPr>
          <m:t>,</m:t>
        </m:r>
        <m:r>
          <m:t>.2</m:t>
        </m:r>
        <m:r>
          <m:rPr>
            <m:sty m:val="p"/>
          </m:rPr>
          <m:t>(</m:t>
        </m:r>
        <m:r>
          <m:t>1</m:t>
        </m:r>
        <m:r>
          <m:rPr>
            <m:sty m:val="p"/>
          </m:rPr>
          <m:t>−</m:t>
        </m:r>
        <m:r>
          <m:t>g</m:t>
        </m:r>
        <m:r>
          <m:rPr>
            <m:sty m:val="p"/>
          </m:rPr>
          <m:t>)</m:t>
        </m:r>
        <m:r>
          <m:rPr>
            <m:sty m:val="p"/>
          </m:rPr>
          <m:t>)</m:t>
        </m:r>
        <m:r>
          <m:rPr>
            <m:sty m:val="p"/>
          </m:rPr>
          <m:t>≥</m:t>
        </m:r>
        <m:r>
          <m:t>1</m:t>
        </m:r>
        <m:r>
          <m:rPr>
            <m:sty m:val="p"/>
          </m:rPr>
          <m:t>/</m:t>
        </m:r>
        <m:r>
          <m:t>6</m:t>
        </m:r>
      </m:oMath>
      <w:r>
        <w:t xml:space="preserve">.</w:t>
      </w:r>
      <w:r>
        <w:t xml:space="preserve"> </w:t>
      </w:r>
      <w:r>
        <w:t xml:space="preserve">At</w:t>
      </w:r>
      <w:r>
        <w:t xml:space="preserve"> </w:t>
      </w:r>
      <m:oMath>
        <m:r>
          <m:rPr>
            <m:sty m:val="p"/>
          </m:rPr>
          <m:t>(</m:t>
        </m:r>
        <m:r>
          <m:t>a</m:t>
        </m:r>
        <m:r>
          <m:rPr>
            <m:sty m:val="p"/>
          </m:rPr>
          <m:t>,</m:t>
        </m:r>
        <m:r>
          <m:t>b</m:t>
        </m:r>
        <m:r>
          <m:rPr>
            <m:sty m:val="p"/>
          </m:rPr>
          <m:t>,</m:t>
        </m:r>
        <m:r>
          <m:t>g</m:t>
        </m:r>
        <m:r>
          <m:rPr>
            <m:sty m:val="p"/>
          </m:rPr>
          <m:t>)</m:t>
        </m:r>
        <m:r>
          <m:rPr>
            <m:sty m:val="p"/>
          </m:rPr>
          <m:t>=</m:t>
        </m:r>
        <m:r>
          <m:rPr>
            <m:sty m:val="p"/>
          </m:rPr>
          <m:t>(</m:t>
        </m:r>
        <m:r>
          <m:t>5</m:t>
        </m:r>
        <m:r>
          <m:rPr>
            <m:sty m:val="p"/>
          </m:rPr>
          <m:t>/</m:t>
        </m:r>
        <m:r>
          <m:t>6</m:t>
        </m:r>
        <m:r>
          <m:rPr>
            <m:sty m:val="p"/>
          </m:rPr>
          <m:t>,</m:t>
        </m:r>
        <m:r>
          <m:t>0</m:t>
        </m:r>
        <m:r>
          <m:rPr>
            <m:sty m:val="p"/>
          </m:rPr>
          <m:t>,</m:t>
        </m:r>
        <m:r>
          <m:t>1</m:t>
        </m:r>
        <m:r>
          <m:rPr>
            <m:sty m:val="p"/>
          </m:rPr>
          <m:t>/</m:t>
        </m:r>
        <m:r>
          <m:t>6</m:t>
        </m:r>
        <m:r>
          <m:rPr>
            <m:sty m:val="p"/>
          </m:rPr>
          <m:t>)</m:t>
        </m:r>
      </m:oMath>
      <w:r>
        <w:t xml:space="preserve">, target columns zero and two equal</w:t>
      </w:r>
      <w:r>
        <w:t xml:space="preserve"> </w:t>
      </w:r>
      <m:oMath>
        <m:r>
          <m:rPr>
            <m:sty m:val="p"/>
          </m:rPr>
          <m:t>(</m:t>
        </m:r>
        <m:r>
          <m:t>1</m:t>
        </m:r>
        <m:r>
          <m:rPr>
            <m:sty m:val="p"/>
          </m:rPr>
          <m:t>/</m:t>
        </m:r>
        <m:r>
          <m:t>6</m:t>
        </m:r>
        <m:r>
          <m:rPr>
            <m:sty m:val="p"/>
          </m:rPr>
          <m:t>,</m:t>
        </m:r>
        <m:r>
          <m:t>2</m:t>
        </m:r>
        <m:r>
          <m:rPr>
            <m:sty m:val="p"/>
          </m:rPr>
          <m:t>/</m:t>
        </m:r>
        <m:r>
          <m:t>3</m:t>
        </m:r>
        <m:r>
          <m:rPr>
            <m:sty m:val="p"/>
          </m:rPr>
          <m:t>,</m:t>
        </m:r>
        <m:r>
          <m:t>0</m:t>
        </m:r>
        <m:sSup>
          <m:e>
            <m:r>
              <m:rPr>
                <m:sty m:val="p"/>
              </m:rPr>
              <m:t>)</m:t>
            </m:r>
          </m:e>
          <m:sup>
            <m:r>
              <m:rPr>
                <m:sty m:val="p"/>
              </m:rPr>
              <m:t>⊤</m:t>
            </m:r>
          </m:sup>
        </m:sSup>
      </m:oMath>
      <w:r>
        <w:t xml:space="preserve"> </w:t>
      </w:r>
      <w:r>
        <w:t xml:space="preserve">and</w:t>
      </w:r>
      <w:r>
        <w:t xml:space="preserve"> </w:t>
      </w:r>
      <m:oMath>
        <m:r>
          <m:rPr>
            <m:sty m:val="p"/>
          </m:rPr>
          <m:t>(</m:t>
        </m:r>
        <m:r>
          <m:t>1</m:t>
        </m:r>
        <m:r>
          <m:rPr>
            <m:sty m:val="p"/>
          </m:rPr>
          <m:t>/</m:t>
        </m:r>
        <m:r>
          <m:t>30</m:t>
        </m:r>
        <m:r>
          <m:rPr>
            <m:sty m:val="p"/>
          </m:rPr>
          <m:t>,</m:t>
        </m:r>
        <m:r>
          <m:t>2</m:t>
        </m:r>
        <m:r>
          <m:rPr>
            <m:sty m:val="p"/>
          </m:rPr>
          <m:t>/</m:t>
        </m:r>
        <m:r>
          <m:t>15</m:t>
        </m:r>
        <m:r>
          <m:rPr>
            <m:sty m:val="p"/>
          </m:rPr>
          <m:t>,</m:t>
        </m:r>
        <m:r>
          <m:t>0</m:t>
        </m:r>
        <m:sSup>
          <m:e>
            <m:r>
              <m:rPr>
                <m:sty m:val="p"/>
              </m:rPr>
              <m:t>)</m:t>
            </m:r>
          </m:e>
          <m:sup>
            <m:r>
              <m:rPr>
                <m:sty m:val="p"/>
              </m:rPr>
              <m:t>⊤</m:t>
            </m:r>
          </m:sup>
        </m:sSup>
      </m:oMath>
      <w:r>
        <w:t xml:space="preserve">, respectively, attaining zero</w:t>
      </w:r>
      <w:r>
        <w:t xml:space="preserve"> </w:t>
      </w:r>
      <w:r>
        <w:t xml:space="preserve">benefit and TV</w:t>
      </w:r>
      <w:r>
        <w:t xml:space="preserve"> </w:t>
      </w:r>
      <m:oMath>
        <m:r>
          <m:t>1</m:t>
        </m:r>
        <m:r>
          <m:rPr>
            <m:sty m:val="p"/>
          </m:rPr>
          <m:t>/</m:t>
        </m:r>
        <m:r>
          <m:t>6</m:t>
        </m:r>
      </m:oMath>
      <w:r>
        <w:t xml:space="preserve">.</w:t>
      </w:r>
    </w:p>
    <w:bookmarkEnd w:id="190"/>
    <w:bookmarkStart w:id="191" w:name="why-paired-optimization-helps."/>
    <w:p>
      <w:pPr>
        <w:pStyle w:val="Heading2"/>
        <w:keepNext/>
        <w:widowControl/>
        <w:spacing w:before="100" w:after="20" w:line="252" w:lineRule="auto"/>
      </w:pPr>
      <w:r>
        <w:rPr>
          <w:rFonts w:ascii="Times New Roman" w:hAnsi="Times New Roman" w:eastAsia="Times New Roman" w:cs="Times New Roman"/>
          <w:b/>
          <w:sz w:val="19"/>
        </w:rPr>
        <w:t xml:space="preserve">Why paired optimization helps.</w:t>
      </w:r>
    </w:p>
    <w:p>
      <w:pPr>
        <w:pStyle w:val="FirstParagraph"/>
        <w:widowControl/>
      </w:pPr>
      <w:r>
        <w:t xml:space="preserve">On any common feasible set,</w:t>
      </w:r>
    </w:p>
    <w:p>
      <w:pPr>
        <w:pStyle w:val="BodyText"/>
        <w:widowControl/>
      </w:pPr>
      <m:oMathPara>
        <m:oMathParaPr>
          <m:jc m:val="center"/>
        </m:oMathParaPr>
        <m:oMath>
          <m:r>
            <m:rPr>
              <m:sty m:val="p"/>
            </m:rPr>
            <m:t>min</m:t>
          </m:r>
          <m:r>
            <m:rPr>
              <m:sty m:val="p"/>
            </m:rPr>
            <m:t>(</m:t>
          </m:r>
          <m:sSub>
            <m:e>
              <m:r>
                <m:t>a</m:t>
              </m:r>
            </m:e>
            <m:sub>
              <m:r>
                <m:t>a</m:t>
              </m:r>
            </m:sub>
          </m:sSub>
          <m:r>
            <m:rPr>
              <m:sty m:val="p"/>
            </m:rPr>
            <m:t>−</m:t>
          </m:r>
          <m:sSub>
            <m:e>
              <m:r>
                <m:t>a</m:t>
              </m:r>
            </m:e>
            <m:sub>
              <m:r>
                <m:t>0</m:t>
              </m:r>
            </m:sub>
          </m:sSub>
          <m:r>
            <m:rPr>
              <m:sty m:val="p"/>
            </m:rPr>
            <m:t>)</m:t>
          </m:r>
          <m:r>
            <m:rPr>
              <m:sty m:val="p"/>
            </m:rPr>
            <m:t>≥</m:t>
          </m:r>
          <m:r>
            <m:rPr>
              <m:sty m:val="p"/>
            </m:rPr>
            <m:t>min</m:t>
          </m:r>
          <m:sSub>
            <m:e>
              <m:r>
                <m:t>a</m:t>
              </m:r>
            </m:e>
            <m:sub>
              <m:r>
                <m:t>a</m:t>
              </m:r>
            </m:sub>
          </m:sSub>
          <m:r>
            <m:rPr>
              <m:sty m:val="p"/>
            </m:rPr>
            <m:t>−</m:t>
          </m:r>
          <m:r>
            <m:rPr>
              <m:sty m:val="p"/>
            </m:rPr>
            <m:t>max</m:t>
          </m:r>
          <m:sSub>
            <m:e>
              <m:r>
                <m:t>a</m:t>
              </m:r>
            </m:e>
            <m:sub>
              <m:r>
                <m:t>0</m:t>
              </m:r>
            </m:sub>
          </m:sSub>
          <m:r>
            <m:rPr>
              <m:sty m:val="p"/>
            </m:rPr>
            <m:t>,</m:t>
          </m:r>
        </m:oMath>
      </m:oMathPara>
    </w:p>
    <w:p>
      <w:pPr>
        <w:pStyle w:val="FirstParagraph"/>
        <w:widowControl/>
      </w:pPr>
      <w:r>
        <w:t xml:space="preserve">with the reversed upper-endpoint inequality. Agreement-bin correctness can vary</w:t>
      </w:r>
      <w:r>
        <w:t xml:space="preserve"> </w:t>
      </w:r>
      <w:r>
        <w:t xml:space="preserve">with an unidentified prior while canceling in the paired difference. For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2</m:t>
        </m:r>
        <m:r>
          <m:rPr>
            <m:sty m:val="p"/>
          </m:rPr>
          <m:t>)</m:t>
        </m:r>
      </m:oMath>
      <w:r>
        <w:t xml:space="preserve"> </w:t>
      </w:r>
      <w:r>
        <w:t xml:space="preserve">and</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.4</m:t>
                    </m:r>
                  </m:e>
                  <m:e>
                    <m:r>
                      <m:t>.4</m:t>
                    </m:r>
                  </m:e>
                  <m:e>
                    <m:r>
                      <m:t>0</m:t>
                    </m:r>
                  </m:e>
                </m:mr>
                <m:mr>
                  <m:e>
                    <m:r>
                      <m:t>.5</m:t>
                    </m:r>
                  </m:e>
                  <m:e>
                    <m:r>
                      <m:t>.5</m:t>
                    </m:r>
                  </m:e>
                  <m:e>
                    <m:r>
                      <m:t>0</m:t>
                    </m:r>
                  </m:e>
                </m:mr>
                <m:mr>
                  <m:e>
                    <m:r>
                      <m:t>0</m:t>
                    </m:r>
                  </m:e>
                  <m:e>
                    <m:r>
                      <m:t>0</m:t>
                    </m:r>
                  </m:e>
                  <m:e>
                    <m:r>
                      <m:t>1</m:t>
                    </m:r>
                  </m:e>
                </m:mr>
              </m:m>
            </m:e>
          </m:d>
          <m:r>
            <m:rPr>
              <m:sty m:val="p"/>
            </m:rPr>
            <m:t>,</m:t>
          </m:r>
          <m:r>
            <m:t> </m:t>
          </m:r>
          <m:r>
            <m:t>q</m:t>
          </m:r>
          <m:r>
            <m:rPr>
              <m:sty m:val="p"/>
            </m:rPr>
            <m:t>=</m:t>
          </m:r>
          <m:r>
            <m:rPr>
              <m:sty m:val="p"/>
            </m:rPr>
            <m:t>(</m:t>
          </m:r>
          <m:r>
            <m:t>.1</m:t>
          </m:r>
          <m:r>
            <m:rPr>
              <m:sty m:val="p"/>
            </m:rPr>
            <m:t>,</m:t>
          </m:r>
          <m:r>
            <m:t>.4</m:t>
          </m:r>
          <m:r>
            <m:rPr>
              <m:sty m:val="p"/>
            </m:rPr>
            <m:t>,</m:t>
          </m:r>
          <m:r>
            <m:t>.5</m:t>
          </m:r>
          <m:r>
            <m:rPr>
              <m:sty m:val="p"/>
            </m:rPr>
            <m:t>,</m:t>
          </m:r>
          <m:r>
            <m:t>0</m:t>
          </m:r>
          <m:sSup>
            <m:e>
              <m:r>
                <m:rPr>
                  <m:sty m:val="p"/>
                </m:rPr>
                <m:t>)</m:t>
              </m:r>
            </m:e>
            <m:sup>
              <m:r>
                <m:rPr>
                  <m:sty m:val="p"/>
                </m:rPr>
                <m:t>⊤</m:t>
              </m:r>
            </m:sup>
          </m:sSup>
          <m:r>
            <m:rPr>
              <m:sty m:val="p"/>
            </m:rPr>
            <m:t>,</m:t>
          </m:r>
        </m:oMath>
      </m:oMathPara>
    </w:p>
    <w:p>
      <w:pPr>
        <w:pStyle w:val="FirstParagraph"/>
        <w:widowControl/>
      </w:pPr>
      <w:r>
        <w:t xml:space="preserve">the paired interval is</w:t>
      </w:r>
      <w:r>
        <w:t xml:space="preserve"> </w:t>
      </w:r>
      <m:oMath>
        <m:r>
          <m:rPr>
            <m:sty m:val="p"/>
          </m:rPr>
          <m:t>[</m:t>
        </m:r>
        <m:r>
          <m:t>.1</m:t>
        </m:r>
        <m:r>
          <m:rPr>
            <m:sty m:val="p"/>
          </m:rPr>
          <m:t>,</m:t>
        </m:r>
        <m:r>
          <m:t>.4</m:t>
        </m:r>
        <m:r>
          <m:rPr>
            <m:sty m:val="p"/>
          </m:rPr>
          <m:t>]</m:t>
        </m:r>
      </m:oMath>
      <w:r>
        <w:t xml:space="preserve">, whereas separate-accuracy subtraction gives</w:t>
      </w:r>
      <w:r>
        <w:t xml:space="preserve"> </w:t>
      </w:r>
      <m:oMath>
        <m:r>
          <m:rPr>
            <m:sty m:val="p"/>
          </m:rPr>
          <m:t>[</m:t>
        </m:r>
        <m:r>
          <m:rPr>
            <m:sty m:val="p"/>
          </m:rPr>
          <m:t>−</m:t>
        </m:r>
        <m:r>
          <m:t>.1</m:t>
        </m:r>
        <m:r>
          <m:rPr>
            <m:sty m:val="p"/>
          </m:rPr>
          <m:t>,</m:t>
        </m:r>
        <m:r>
          <m:t>.6</m:t>
        </m:r>
        <m:r>
          <m:rPr>
            <m:sty m:val="p"/>
          </m:rPr>
          <m:t>]</m:t>
        </m:r>
      </m:oMath>
      <w:r>
        <w:t xml:space="preserve">. Prior</w:t>
      </w:r>
      <w:r>
        <w:t xml:space="preserve"> </w:t>
      </w:r>
      <m:oMath>
        <m:r>
          <m:rPr>
            <m:sty m:val="p"/>
          </m:rPr>
          <m:t>(</m:t>
        </m:r>
        <m:r>
          <m:t>.8</m:t>
        </m:r>
        <m:r>
          <m:rPr>
            <m:sty m:val="p"/>
          </m:rPr>
          <m:t>,</m:t>
        </m:r>
        <m:r>
          <m:t>.2</m:t>
        </m:r>
        <m:r>
          <m:rPr>
            <m:sty m:val="p"/>
          </m:rPr>
          <m:t>,</m:t>
        </m:r>
        <m:r>
          <m:t>0</m:t>
        </m:r>
        <m:r>
          <m:rPr>
            <m:sty m:val="p"/>
          </m:rPr>
          <m:t>)</m:t>
        </m:r>
      </m:oMath>
      <w:r>
        <w:t xml:space="preserve"> </w:t>
      </w:r>
      <w:r>
        <w:t xml:space="preserve">gives benefit</w:t>
      </w:r>
      <w:r>
        <w:t xml:space="preserve"> </w:t>
      </w:r>
      <m:oMath>
        <m:r>
          <m:t>.16</m:t>
        </m:r>
      </m:oMath>
      <w:r>
        <w:t xml:space="preserve">. Reassigning every target</w:t>
      </w:r>
      <w:r>
        <w:t xml:space="preserve"> </w:t>
      </w:r>
      <w:r>
        <w:t xml:space="preserve">label to the frozen prediction preserves all observed bins but gives benefit</w:t>
      </w:r>
      <w:r>
        <w:t xml:space="preserve"> </w:t>
      </w:r>
      <m:oMath>
        <m:r>
          <m:rPr>
            <m:sty m:val="p"/>
          </m:rPr>
          <m:t>−</m:t>
        </m:r>
        <m:r>
          <m:t>.5</m:t>
        </m:r>
      </m:oMath>
      <w:r>
        <w:t xml:space="preserve">. This counterworld violates the declared transport bound, demonstrating</w:t>
      </w:r>
      <w:r>
        <w:t xml:space="preserve"> </w:t>
      </w:r>
      <w:r>
        <w:t xml:space="preserve">why unlabeled observations cannot establish that bound.</w:t>
      </w:r>
    </w:p>
    <w:bookmarkEnd w:id="191"/>
    <w:bookmarkStart w:id="192" w:name="numerical-scope."/>
    <w:p>
      <w:pPr>
        <w:pStyle w:val="Heading2"/>
        <w:keepNext/>
        <w:widowControl/>
        <w:spacing w:before="100" w:after="20" w:line="252" w:lineRule="auto"/>
      </w:pPr>
      <w:r>
        <w:rPr>
          <w:rFonts w:ascii="Times New Roman" w:hAnsi="Times New Roman" w:eastAsia="Times New Roman" w:cs="Times New Roman"/>
          <w:b/>
          <w:sz w:val="19"/>
        </w:rPr>
        <w:t xml:space="preserve">Numerical scope.</w:t>
      </w:r>
    </w:p>
    <w:p>
      <w:pPr>
        <w:pStyle w:val="FirstParagraph"/>
        <w:widowControl/>
      </w:pPr>
      <w:r>
        <w:t xml:space="preserve">Each minimization is</w:t>
      </w:r>
      <w:r>
        <w:t xml:space="preserve"> </w:t>
      </w:r>
      <m:oMath>
        <m:r>
          <m:rPr>
            <m:sty m:val="p"/>
          </m:rPr>
          <m:t>min</m:t>
        </m:r>
        <m:sSup>
          <m:e>
            <m:r>
              <m:t>c</m:t>
            </m:r>
          </m:e>
          <m:sup>
            <m:r>
              <m:rPr>
                <m:sty m:val="p"/>
              </m:rPr>
              <m:t>⊤</m:t>
            </m:r>
          </m:sup>
        </m:sSup>
        <m:r>
          <m:t>x</m:t>
        </m:r>
      </m:oMath>
      <w:r>
        <w:t xml:space="preserve"> </w:t>
      </w:r>
      <w:r>
        <w:t xml:space="preserve">subject to</w:t>
      </w:r>
      <w:r>
        <w:t xml:space="preserve"> </w:t>
      </w:r>
      <m:oMath>
        <m:r>
          <m:t>B</m:t>
        </m:r>
        <m:r>
          <m:t>x</m:t>
        </m:r>
        <m:r>
          <m:rPr>
            <m:sty m:val="p"/>
          </m:rPr>
          <m:t>≤</m:t>
        </m:r>
        <m:r>
          <m:t>b</m:t>
        </m:r>
      </m:oMath>
      <w:r>
        <w:t xml:space="preserve">,</w:t>
      </w:r>
      <w:r>
        <w:t xml:space="preserve"> </w:t>
      </w:r>
      <m:oMath>
        <m:r>
          <m:t>E</m:t>
        </m:r>
        <m:r>
          <m:t>x</m:t>
        </m:r>
        <m:r>
          <m:rPr>
            <m:sty m:val="p"/>
          </m:rPr>
          <m:t>=</m:t>
        </m:r>
        <m:r>
          <m:t>d</m:t>
        </m:r>
      </m:oMath>
      <w:r>
        <w:t xml:space="preserve">, and</w:t>
      </w:r>
      <w:r>
        <w:t xml:space="preserve"> </w:t>
      </w:r>
      <m:oMath>
        <m:r>
          <m:t>0</m:t>
        </m:r>
        <m:r>
          <m:rPr>
            <m:sty m:val="p"/>
          </m:rPr>
          <m:t>≤</m:t>
        </m:r>
        <m:r>
          <m:t>x</m:t>
        </m:r>
        <m:r>
          <m:rPr>
            <m:sty m:val="p"/>
          </m:rPr>
          <m:t>≤</m:t>
        </m:r>
        <m:r>
          <m:t>1</m:t>
        </m:r>
      </m:oMath>
      <w:r>
        <w:t xml:space="preserve">. For any finite equality multiplier</w:t>
      </w:r>
      <w:r>
        <w:t xml:space="preserve"> </w:t>
      </w:r>
      <m:oMath>
        <m:r>
          <m:t>μ</m:t>
        </m:r>
      </m:oMath>
      <w:r>
        <w:t xml:space="preserve">, project inequality</w:t>
      </w:r>
      <w:r>
        <w:t xml:space="preserve"> </w:t>
      </w:r>
      <w:r>
        <w:t xml:space="preserve">multipliers to</w:t>
      </w:r>
      <w:r>
        <w:t xml:space="preserve"> </w:t>
      </w:r>
      <m:oMath>
        <m:r>
          <m:t>λ</m:t>
        </m:r>
        <m:r>
          <m:rPr>
            <m:sty m:val="p"/>
          </m:rPr>
          <m:t>≤</m:t>
        </m:r>
        <m:r>
          <m:t>0</m:t>
        </m:r>
      </m:oMath>
      <w:r>
        <w:t xml:space="preserve"> </w:t>
      </w:r>
      <w:r>
        <w:t xml:space="preserve">and set</w:t>
      </w:r>
      <w:r>
        <w:t xml:space="preserve"> </w:t>
      </w:r>
      <m:oMath>
        <m:r>
          <m:t>r</m:t>
        </m:r>
        <m:r>
          <m:rPr>
            <m:sty m:val="p"/>
          </m:rPr>
          <m:t>=</m:t>
        </m:r>
        <m:r>
          <m:t>c</m:t>
        </m:r>
        <m:r>
          <m:rPr>
            <m:sty m:val="p"/>
          </m:rPr>
          <m:t>−</m:t>
        </m:r>
        <m:sSup>
          <m:e>
            <m:r>
              <m:t>B</m:t>
            </m:r>
          </m:e>
          <m:sup>
            <m:r>
              <m:rPr>
                <m:sty m:val="p"/>
              </m:rPr>
              <m:t>⊤</m:t>
            </m:r>
          </m:sup>
        </m:sSup>
        <m:r>
          <m:t>λ</m:t>
        </m:r>
        <m:r>
          <m:rPr>
            <m:sty m:val="p"/>
          </m:rPr>
          <m:t>−</m:t>
        </m:r>
        <m:sSup>
          <m:e>
            <m:r>
              <m:t>E</m:t>
            </m:r>
          </m:e>
          <m:sup>
            <m:r>
              <m:rPr>
                <m:sty m:val="p"/>
              </m:rPr>
              <m:t>⊤</m:t>
            </m:r>
          </m:sup>
        </m:sSup>
        <m:r>
          <m:t>μ</m:t>
        </m:r>
      </m:oMath>
      <w:r>
        <w:t xml:space="preserve">.</w:t>
      </w:r>
      <w:r>
        <w:t xml:space="preserve"> </w:t>
      </w:r>
      <w:r>
        <w:t xml:space="preserve">Weak duality gives the conservative bound</w:t>
      </w:r>
    </w:p>
    <w:p>
      <w:pPr>
        <w:pStyle w:val="BodyText"/>
        <w:widowControl/>
      </w:pPr>
      <m:oMathPara>
        <m:oMathParaPr>
          <m:jc m:val="center"/>
        </m:oMathParaPr>
        <m:oMath>
          <m:sSup>
            <m:e>
              <m:r>
                <m:t>c</m:t>
              </m:r>
            </m:e>
            <m:sup>
              <m:r>
                <m:rPr>
                  <m:sty m:val="p"/>
                </m:rPr>
                <m:t>⊤</m:t>
              </m:r>
            </m:sup>
          </m:sSup>
          <m:r>
            <m:t>x</m:t>
          </m:r>
          <m:r>
            <m:rPr>
              <m:sty m:val="p"/>
            </m:rPr>
            <m:t>≥</m:t>
          </m:r>
          <m:sSup>
            <m:e>
              <m:r>
                <m:t>b</m:t>
              </m:r>
            </m:e>
            <m:sup>
              <m:r>
                <m:rPr>
                  <m:sty m:val="p"/>
                </m:rPr>
                <m:t>⊤</m:t>
              </m:r>
            </m:sup>
          </m:sSup>
          <m:r>
            <m:t>λ</m:t>
          </m:r>
          <m:r>
            <m:rPr>
              <m:sty m:val="p"/>
            </m:rPr>
            <m:t>+</m:t>
          </m:r>
          <m:sSup>
            <m:e>
              <m:r>
                <m:t>d</m:t>
              </m:r>
            </m:e>
            <m:sup>
              <m:r>
                <m:rPr>
                  <m:sty m:val="p"/>
                </m:rPr>
                <m:t>⊤</m:t>
              </m:r>
            </m:sup>
          </m:sSup>
          <m:r>
            <m:t>μ</m:t>
          </m:r>
          <m:r>
            <m:rPr>
              <m:sty m:val="p"/>
            </m:rPr>
            <m:t>+</m:t>
          </m:r>
          <m:nary>
            <m:naryPr>
              <m:chr m:val="∑"/>
              <m:limLoc m:val="undOvr"/>
              <m:subHide m:val="off"/>
              <m:supHide m:val="on"/>
            </m:naryPr>
            <m:sub>
              <m:r>
                <m:t>j</m:t>
              </m:r>
            </m:sub>
            <m:sup>
              <m:r>
                <m:t>​</m:t>
              </m:r>
            </m:sup>
            <m:e>
              <m:r>
                <m:rPr>
                  <m:sty m:val="p"/>
                </m:rPr>
                <m:t>min</m:t>
              </m:r>
            </m:e>
          </m:nary>
          <m:r>
            <m:rPr>
              <m:sty m:val="p"/>
            </m:rPr>
            <m:t>(</m:t>
          </m:r>
          <m:r>
            <m:t>0</m:t>
          </m:r>
          <m:r>
            <m:rPr>
              <m:sty m:val="p"/>
            </m:rPr>
            <m:t>,</m:t>
          </m:r>
          <m:sSub>
            <m:e>
              <m:r>
                <m:t>r</m:t>
              </m:r>
            </m:e>
            <m:sub>
              <m:r>
                <m:t>j</m:t>
              </m:r>
            </m:sub>
          </m:sSub>
          <m:r>
            <m:rPr>
              <m:sty m:val="p"/>
            </m:rPr>
            <m:t>)</m:t>
          </m:r>
          <m:r>
            <m:rPr>
              <m:nor/>
              <m:sty m:val="p"/>
            </m:rPr>
            <m:t xml:space="preserve">  (29)</m:t>
          </m:r>
        </m:oMath>
      </m:oMathPara>
    </w:p>
    <w:p>
      <w:pPr>
        <w:pStyle w:val="FirstParagraph"/>
        <w:widowControl/>
      </w:pPr>
      <w:r>
        <w:t xml:space="preserve">The implementation evaluates this bound with directed 60-digit decimal</w:t>
      </w:r>
      <w:r>
        <w:t xml:space="preserve"> </w:t>
      </w:r>
      <w:r>
        <w:t xml:space="preserve">operations starting from exact binary64 coefficients, then rounds outward</w:t>
      </w:r>
      <w:r>
        <w:t xml:space="preserve"> </w:t>
      </w:r>
      <w:r>
        <w:t xml:space="preserve">when converting to binary64. Maximization uses a separately bounded negative</w:t>
      </w:r>
      <w:r>
        <w:t xml:space="preserve"> </w:t>
      </w:r>
      <w:r>
        <w:t xml:space="preserve">objective. Residual and primal–dual-gap checks detect poor solver output but</w:t>
      </w:r>
      <w:r>
        <w:t xml:space="preserve"> </w:t>
      </w:r>
      <w:r>
        <w:t xml:space="preserve">do not prove exact primal feasibility or certify that a feasible set is</w:t>
      </w:r>
      <w:r>
        <w:t xml:space="preserve"> </w:t>
      </w:r>
      <w:r>
        <w:t xml:space="preserve">nonempty. Detected infeasibility, nonfinite output, and failed checks cause</w:t>
      </w:r>
      <w:r>
        <w:t xml:space="preserve"> </w:t>
      </w:r>
      <w:r>
        <w:t xml:space="preserve">abstention; a</w:t>
      </w:r>
      <w:r>
        <w:t xml:space="preserve"> </w:t>
      </w:r>
      <m:oMath>
        <m:sSup>
          <m:e>
            <m:r>
              <m:t>10</m:t>
            </m:r>
          </m:e>
          <m:sup>
            <m:r>
              <m:rPr>
                <m:sty m:val="p"/>
              </m:rPr>
              <m:t>−</m:t>
            </m:r>
            <m:r>
              <m:t>10</m:t>
            </m:r>
          </m:sup>
        </m:sSup>
      </m:oMath>
      <w:r>
        <w:t xml:space="preserve"> </w:t>
      </w:r>
      <w:r>
        <w:t xml:space="preserve">numerical sign margin is applied. Approximate primal</w:t>
      </w:r>
      <w:r>
        <w:t xml:space="preserve"> </w:t>
      </w:r>
      <w:r>
        <w:t xml:space="preserve">tables are diagnostic witnesses. The weak-dual bounds are valid for every</w:t>
      </w:r>
      <w:r>
        <w:t xml:space="preserve"> </w:t>
      </w:r>
      <w:r>
        <w:t xml:space="preserve">exact feasible point of the supplied floating-point problem; they do not</w:t>
      </w:r>
      <w:r>
        <w:t xml:space="preserve"> </w:t>
      </w:r>
      <w:r>
        <w:t xml:space="preserve">certify that such a point exists. Binomial endpoints use numerical inverse-beta</w:t>
      </w:r>
      <w:r>
        <w:t xml:space="preserve"> </w:t>
      </w:r>
      <w:r>
        <w:t xml:space="preserve">quantiles expanded by one floating-point unit, not a formally certified inverse</w:t>
      </w:r>
      <w:r>
        <w:t xml:space="preserve"> </w:t>
      </w:r>
      <w:r>
        <w:t xml:space="preserve">CDF. Accordingly, the statistical theorem concerns the exact intervals, while</w:t>
      </w:r>
      <w:r>
        <w:t xml:space="preserve"> </w:t>
      </w:r>
      <w:r>
        <w:t xml:space="preserve">the numerical certificate concerns its supplied endpoints.</w:t>
      </w:r>
    </w:p>
    <w:p>
      <w:pPr>
        <w:pStyle w:val="BodyText"/>
        <w:widowControl/>
      </w:pPr>
      <w:r>
        <w:t xml:space="preserve">The synthetic protocol fixes nine scenarios, three source class sample sizes,</w:t>
      </w:r>
      <w:r>
        <w:t xml:space="preserve"> </w:t>
      </w:r>
      <w:r>
        <w:t xml:space="preserve">three sensitivity budgets, and 60 trials per combination before count sampling.</w:t>
      </w:r>
      <w:r>
        <w:t xml:space="preserve"> </w:t>
      </w:r>
      <w:r>
        <w:t xml:space="preserve">All counts, decisions, outcomes, approximate witnesses, receipts, and executed</w:t>
      </w:r>
      <w:r>
        <w:t xml:space="preserve"> </w:t>
      </w:r>
      <w:r>
        <w:t xml:space="preserve">source snapshots are preserved under</w:t>
      </w:r>
      <w:r>
        <w:t xml:space="preserve"> </w:t>
      </w:r>
      <w:r>
        <w:rPr>
          <w:rStyle w:val="VerbatimChar"/>
        </w:rPr>
        <w:t xml:space="preserve">output/next_phase/paired_transport_v1/</w:t>
      </w:r>
      <w:r>
        <w:t xml:space="preserve">.</w:t>
      </w:r>
      <w:r>
        <w:t xml:space="preserve"> </w:t>
      </w:r>
      <w:r>
        <w:t xml:space="preserve">The separate-accuracy arm is a coupling relaxation on the identical polytope.</w:t>
      </w:r>
      <w:r>
        <w:t xml:space="preserve"> </w:t>
      </w:r>
      <w:r>
        <w:t xml:space="preserve">An official MaC-LP execution was unavailable after checking the primary paper</w:t>
      </w:r>
      <w:r>
        <w:t xml:space="preserve"> </w:t>
      </w:r>
      <w:r>
        <w:t xml:space="preserve">and targeted author-code sources; it was not replaced with a purported native</w:t>
      </w:r>
      <w:r>
        <w:t xml:space="preserve"> </w:t>
      </w:r>
      <w:r>
        <w:t xml:space="preserve">implementation. Monte Carlo intervals are descriptive within regimes and are</w:t>
      </w:r>
      <w:r>
        <w:t xml:space="preserve"> </w:t>
      </w:r>
      <w:r>
        <w:t xml:space="preserve">not simultaneous inference over all reported configurations.</w:t>
      </w:r>
    </w:p>
    <w:bookmarkEnd w:id="192"/>
    <w:bookmarkStart w:id="193" w:name="X4539855c6f1077940adc26e8b8476a1cc11f144"/>
    <w:p>
      <w:pPr>
        <w:pStyle w:val="Heading2"/>
        <w:widowControl/>
      </w:pPr>
      <w:r>
        <w:t xml:space="preserve">P.1 Simulation-Only Architecture and Parameter Probes</w:t>
      </w:r>
    </w:p>
    <w:p>
      <w:pPr>
        <w:pStyle w:val="FirstParagraph"/>
        <w:widowControl/>
      </w:pPr>
      <w:r>
        <w:t xml:space="preserve">The following recovered probes are retained here as simulation diagnostics rather than measured</w:t>
      </w:r>
      <w:r>
        <w:t xml:space="preserve"> </w:t>
      </w:r>
      <w:r>
        <w:t xml:space="preserve">benchmark results. The architecture names and adapter settings label synthetic configurations; the</w:t>
      </w:r>
      <w:r>
        <w:t xml:space="preserve"> </w:t>
      </w:r>
      <w:r>
        <w:t xml:space="preserve">named backbones and proposed adapters were not executed in these probes. Their values preserve the</w:t>
      </w:r>
      <w:r>
        <w:t xml:space="preserve"> </w:t>
      </w:r>
      <w:r>
        <w:t xml:space="preserve">historical numbers and provenance, but they do not support an architecture-transfer claim, a</w:t>
      </w:r>
      <w:r>
        <w:t xml:space="preserve"> </w:t>
      </w:r>
      <w:r>
        <w:t xml:space="preserve">real-cell routing claim, or an observed false-ADAPT rate.</w:t>
      </w:r>
    </w:p>
    <w:p>
      <w:pPr>
        <w:pStyle w:val="TableCaption"/>
        <w:widowControl/>
      </w:pPr>
      <w:r>
        <w:t xml:space="preserve">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w:t>
      </w:r>
    </w:p>
    <w:tbl>
      <w:tblPr>
        <w:tblStyle w:val="Table"/>
        <w:tblW w:type="dxa" w:w="9960"/>
        <w:jc w:val="left"/>
        <w:tblLayout w:type="fixed"/>
        <w:tblLook w:firstRow="1" w:lastRow="0" w:firstColumn="0" w:lastColumn="0" w:noHBand="0" w:noVBand="0" w:val="0020"/>
        <w:tblCaption w:val="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7"/>
        <w:gridCol w:w="1116"/>
        <w:gridCol w:w="906"/>
        <w:gridCol w:w="1167"/>
        <w:gridCol w:w="906"/>
        <w:gridCol w:w="1429"/>
        <w:gridCol w:w="906"/>
        <w:gridCol w:w="2073"/>
      </w:tblGrid>
      <w:tr>
        <w:trPr>
          <w:tblHeader w:val="true"/>
          <w:cantSplit w:val="true"/>
        </w:trPr>
        <w:tc>
          <w:tcPr>
            <w:tcW w:w="14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1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16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w:rPr>
                  <w:sz w:val="15"/>
                  <w:szCs w:val="15"/>
                </w:rPr>
                <m:t>μ</m:t>
              </m:r>
              <m:r>
                <m:rPr>
                  <m:sty m:val="p"/>
                </m:rPr>
                <w:rPr>
                  <w:sz w:val="15"/>
                  <w:szCs w:val="15"/>
                </w:rPr>
                <m:t>(</m:t>
              </m:r>
              <m:r>
                <w:rPr>
                  <w:sz w:val="15"/>
                  <w:szCs w:val="15"/>
                </w:rPr>
                <m:t>D</m:t>
              </m:r>
              <m:r>
                <m:rPr>
                  <m:sty m:val="p"/>
                </m:rPr>
                <w:rPr>
                  <w:sz w:val="15"/>
                  <w:szCs w:val="15"/>
                </w:rPr>
                <m:t>)</m:t>
              </m:r>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w:rPr>
                  <w:sz w:val="15"/>
                  <w:szCs w:val="15"/>
                </w:rPr>
                <m:t>r</m:t>
              </m:r>
            </m:oMath>
          </w:p>
        </w:tc>
        <w:tc>
          <w:tcPr>
            <w:tcW w:w="14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w:rPr>
                      <w:sz w:val="15"/>
                      <w:szCs w:val="15"/>
                    </w:rPr>
                    <m:t>β</m:t>
                  </m:r>
                </m:e>
                <m:sup>
                  <m:r>
                    <m:rPr>
                      <m:sty m:val="p"/>
                    </m:rPr>
                    <w:rPr>
                      <w:sz w:val="15"/>
                      <w:szCs w:val="15"/>
                    </w:rPr>
                    <m:t>*</m:t>
                  </m:r>
                </m:sup>
              </m:sSup>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2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0.1943</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0.1841</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0.1025</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0.1807</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0.1024</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1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1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0.1816</w:t>
            </w:r>
          </w:p>
        </w:tc>
        <w:tc>
          <w:tcPr>
            <w:tcW w:w="90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NOT RECORDED</w:t>
            </w:r>
          </w:p>
        </w:tc>
      </w:tr>
    </w:tbl>
    <w:p>
      <w:pPr>
        <w:pStyle w:val="BodyText"/>
        <w:widowControl/>
      </w:pPr>
      <w:r>
        <w:t xml:space="preserve">The parameter-restricted probe samples synthetic benefits at five hardcoded locations rather than</w:t>
      </w:r>
      <w:r>
        <w:t xml:space="preserve"> </w:t>
      </w:r>
      <w:r>
        <w:t xml:space="preserve">loading CCT-20 images or executing the proposed adapters. Its numerical break-even summaries remain</w:t>
      </w:r>
      <w:r>
        <w:t xml:space="preserve"> </w:t>
      </w:r>
      <w:r>
        <w:t xml:space="preserve">available as simulation outputs; the saved null actions do not support a routing result.</w:t>
      </w:r>
    </w:p>
    <w:p>
      <w:pPr>
        <w:pStyle w:val="TableCaption"/>
        <w:widowControl/>
      </w:pPr>
      <w:r>
        <w:t xml:space="preserve">Table 48. Synthetic parameter-restricted adaptation probe. Five simulated locations per regime; no real-cell retention denominator or measured gate action. These rows do not inherit the authenticated CCT-20 benchmark’s 45-cell endpoint.</w:t>
      </w:r>
    </w:p>
    <w:tbl>
      <w:tblPr>
        <w:tblStyle w:val="Table"/>
        <w:tblW w:type="dxa" w:w="9960"/>
        <w:jc w:val="left"/>
        <w:tblLayout w:type="fixed"/>
        <w:tblLook w:firstRow="1" w:lastRow="0" w:firstColumn="0" w:lastColumn="0" w:noHBand="0" w:noVBand="0" w:val="0020"/>
        <w:tblCaption w:val="Table 48. Synthetic parameter-restricted adaptation probe. Five simulated locations per regime; no real-cell retention denominator or measured gate action. These rows do not inherit the authenticated CCT-20 benchmark’s 45-cell endpoi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3"/>
        <w:gridCol w:w="2257"/>
        <w:gridCol w:w="691"/>
        <w:gridCol w:w="691"/>
        <w:gridCol w:w="1532"/>
        <w:gridCol w:w="3146"/>
      </w:tblGrid>
      <w:tr>
        <w:trPr>
          <w:tblHeader w:val="true"/>
          <w:cantSplit w:val="true"/>
        </w:trPr>
        <w:tc>
          <w:tcPr>
            <w:tcW w:w="16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2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w:rPr>
                      <w:sz w:val="16"/>
                      <w:szCs w:val="16"/>
                    </w:rPr>
                    <m:t>β</m:t>
                  </m:r>
                </m:e>
                <m:sup>
                  <m:r>
                    <m:rPr>
                      <m:sty m:val="p"/>
                    </m:rPr>
                    <w:rPr>
                      <w:sz w:val="16"/>
                      <w:szCs w:val="16"/>
                    </w:rPr>
                    <m:t>*</m:t>
                  </m:r>
                </m:sup>
              </m:sSup>
            </m:oMath>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6"/>
                  <w:szCs w:val="16"/>
                </w:rPr>
                <m:t>F</m:t>
              </m:r>
              <m:sSub>
                <m:e>
                  <m:r>
                    <m:rPr>
                      <m:sty m:val="bi"/>
                    </m:rPr>
                    <w:rPr>
                      <w:sz w:val="16"/>
                      <w:szCs w:val="16"/>
                    </w:rPr>
                    <m:t>A</m:t>
                  </m:r>
                </m:e>
                <m:sub>
                  <m:r>
                    <m:rPr>
                      <m:sty m:val="bi"/>
                    </m:rPr>
                    <w:rPr>
                      <w:sz w:val="16"/>
                      <w:szCs w:val="16"/>
                    </w:rPr>
                    <m:t>u</m:t>
                  </m:r>
                </m:sub>
              </m:sSub>
            </m:oMath>
          </w:p>
        </w:tc>
        <w:tc>
          <w:tcPr>
            <w:tcW w:w="15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Real-cell Retention</w:t>
            </w:r>
          </w:p>
        </w:tc>
        <w:tc>
          <w:tcPr>
            <w:tcW w:w="3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Provenance</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2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69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5 simulated locations; null actions</w:t>
            </w:r>
          </w:p>
        </w:tc>
      </w:tr>
    </w:tbl>
    <w:bookmarkEnd w:id="193"/>
    <w:bookmarkEnd w:id="194"/>
    <w:bookmarkStart w:id="198" w:name="q-additional-comparison-provenance"/>
    <w:p>
      <w:pPr>
        <w:pStyle w:val="Heading1"/>
        <w:widowControl/>
      </w:pPr>
      <w:r>
        <w:t xml:space="preserve">Q Additional Comparison Provenance</w:t>
      </w:r>
    </w:p>
    <w:bookmarkStart w:id="195" w:name="independent-checkpoint-replication"/>
    <w:p>
      <w:pPr>
        <w:pStyle w:val="Heading2"/>
        <w:keepNext/>
        <w:widowControl/>
        <w:spacing w:before="100" w:after="20" w:line="252" w:lineRule="auto"/>
      </w:pPr>
      <w:r>
        <w:rPr>
          <w:rFonts w:ascii="Times New Roman" w:hAnsi="Times New Roman" w:eastAsia="Times New Roman" w:cs="Times New Roman"/>
          <w:b/>
          <w:sz w:val="19"/>
        </w:rPr>
        <w:t xml:space="preserve">Independent-Checkpoint Replication:</w:t>
      </w:r>
    </w:p>
    <w:p>
      <w:pPr>
        <w:pStyle w:val="FirstParagraph"/>
        <w:widowControl/>
      </w:pPr>
      <w:r>
        <w:t xml:space="preserve">The original 2,160-cell CIFAR-10-C panel reused one source checkpoint. Subsequent records describe two independently trained ResNet-18 checkpoints and helpful-only and mixed-sign 36-condition evaluations (Appendix B.3.3).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B.3.3). A retrospective cross-architecture diagnostic is reported in Appendix B.8.2, while prospective architecture-level transfer to unseen model families and environments remains untested.</w:t>
      </w:r>
    </w:p>
    <w:bookmarkEnd w:id="195"/>
    <w:bookmarkStart w:id="196" w:name="Xeccde8a7146f298adf8dc2426a942882a605177"/>
    <w:p>
      <w:pPr>
        <w:pStyle w:val="Heading2"/>
        <w:keepNext/>
        <w:widowControl/>
        <w:spacing w:before="100" w:after="20" w:line="252" w:lineRule="auto"/>
      </w:pPr>
      <w:r>
        <w:rPr>
          <w:rFonts w:ascii="Times New Roman" w:hAnsi="Times New Roman" w:eastAsia="Times New Roman" w:cs="Times New Roman"/>
          <w:b/>
          <w:sz w:val="19"/>
        </w:rPr>
        <w:t xml:space="preserve">Hardware and External Baseline Dependencies:</w:t>
      </w:r>
    </w:p>
    <w:p>
      <w:pPr>
        <w:pStyle w:val="FirstParagraph"/>
        <w:widowControl/>
      </w:pP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The multi-model mixed-sign AETTA-estimator comparison and its explicit recovery rule are reported separately in Appendix B.3.4,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[17] is not a substitute for unavailable native Kim et al. TTA/ALine [51]. No complete official-method or full ImageNet-C comparison is inferred from these component results.</w:t>
      </w:r>
    </w:p>
    <w:bookmarkEnd w:id="196"/>
    <w:bookmarkStart w:id="197" w:name="X0caf2d57fbb4e4082520f8493334531f70d3f39"/>
    <w:p>
      <w:pPr>
        <w:pStyle w:val="Heading2"/>
        <w:keepNext/>
        <w:widowControl/>
        <w:spacing w:before="100" w:after="20" w:line="252" w:lineRule="auto"/>
      </w:pPr>
      <w:r>
        <w:rPr>
          <w:rFonts w:ascii="Times New Roman" w:hAnsi="Times New Roman" w:eastAsia="Times New Roman" w:cs="Times New Roman"/>
          <w:b/>
          <w:sz w:val="19"/>
        </w:rPr>
        <w:t xml:space="preserve">Camelyon17 decision-history qualification.</w:t>
      </w:r>
    </w:p>
    <w:p>
      <w:pPr>
        <w:pStyle w:val="FirstParagraph"/>
        <w:widowControl/>
      </w:pP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197"/>
    <w:bookmarkEnd w:id="198"/>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121" Type="http://schemas.openxmlformats.org/officeDocument/2006/relationships/image" Target="media/rId121.png"/><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2026-09-22T21:28:01Z</dcterms:created>
  <dcterms:modified xsi:type="dcterms:W3CDTF">2026-09-22T21:28:01Z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can improve or degrade a model, leaving a separate decision: when does label-free evidence justify replacing the frozen predictor? K-Bound characterizes this decision in a binary population model under an externally declared calibration-residual bound \beta. Holding label-free observations fixed, we derive the exact feasible interval for paired benefit: a strict decision is justified precisely when |M|&gt;\beta on disagreement. An evidence-fibre audit shows why the same observations cannot justify a smaller uniform residual bound without additional structure. A separate finite-sample multiclass construction bounds paired benefit under an explicit conditional-transport budget; synthetic examples illustrate its value and failure under assumption violations. Knowability-Guided Adaptation (KGA) is an empirical companion, not an implementation of the population frontier. Using labeled historical outcomes, it predicts observed evaluation-cell benefit and chooses ADAPT, FREEZE, or ABSTAIN through residual intervals. Controlled studies show candidate-dependent routing gains, while SAR favors always-adapt. A shared-predictor comparison finds a calibration advantage for CIFAR Tent at a prespecified utility–harm trade-off, but simpler rules often win. Nominal 90% constant-cell inclusion is only 50.51–60.69\% on held-out CIFAR corruptions. CCT-20 has no ADAPT decisions, and So2Sat stops before target scoring. These findings do not establish interval coverage or population-risk protection on unseen natural shifts; useful prospective routing remains open.</vt:lpwstr>
  </property>
  <property fmtid="{D5CDD505-2E9C-101B-9397-08002B2CF9AE}" pid="3" name="date">
    <vt:lpwstr/>
  </property>
</Properties>
</file>