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0F1B2D"/>
          <w:sz w:val="32"/>
        </w:rPr>
        <w:t>Anuncio de Lanzamiento de Producto</w:t>
      </w:r>
    </w:p>
    <w:p>
      <w:r>
        <w:t>Estamos encantados de anunciar el lanzamiento de NovaPay, nuestra plataforma de procesamiento de pagos de próxima generación diseñada para simplificar las transacciones financieras para empresas de todos los tamaños. NovaPay combina tecnología de seguridad de vanguardia con una interfaz de usuario intuitiva para ofrecer una experiencia de pago sin interrupciones. Después de dos años de desarrollo y una extensa revisión beta con más de 500 empresas, NovaPay está ahora listo para su disponibilidad general.</w:t>
      </w:r>
    </w:p>
    <w:p>
      <w:pPr>
        <w:pStyle w:val="Heading1"/>
      </w:pPr>
      <w:r>
        <w:rPr>
          <w:rFonts w:ascii="Inter" w:hAnsi="Inter"/>
          <w:b/>
          <w:color w:val="0F1B2D"/>
          <w:sz w:val="32"/>
        </w:rPr>
        <w:t>Características Clave</w:t>
      </w:r>
    </w:p>
    <w:p>
      <w:r>
        <w:t>Procesamiento de Pagos Instantáneos — Las transacciones se liquidan en menos de 3 segundos con notificaciones de confirmación en tiempo real.</w:t>
      </w:r>
    </w:p>
    <w:p>
      <w:r>
        <w:t>Soporte Multimoneda — Acepte y procese pagos en más de 150 monedas con conversión automática del tipo de cambio.</w:t>
      </w:r>
    </w:p>
    <w:p>
      <w:r>
        <w:t>Detección Avanzada de Fraude — El monitoreo de fraude potenciado por inteligencia artificial analiza patrones de transacción y señala actividades sospechosas en tiempo real.</w:t>
      </w:r>
    </w:p>
    <w:p>
      <w:r>
        <w:t>API Amigable para Desarrolladores — API RESTful completa con SDKs para Python, JavaScript, Ruby y Java para una integración sin problemas.</w:t>
      </w:r>
    </w:p>
    <w:p>
      <w:r>
        <w:t>Panel de Cumplimiento — Las herramientas de cumplimiento integradas garantizan la adherencia a las regulaciones PCI DSS, GDPR y PSD2 en todos los mercados.</w:t>
      </w:r>
    </w:p>
    <w:p>
      <w:pPr>
        <w:pStyle w:val="Heading1"/>
      </w:pPr>
      <w:r>
        <w:rPr>
          <w:rFonts w:ascii="Inter" w:hAnsi="Inter"/>
          <w:b/>
          <w:color w:val="0F1B2D"/>
          <w:sz w:val="32"/>
        </w:rPr>
        <w:t>Precios</w:t>
      </w:r>
    </w:p>
    <w:p>
      <w:r>
        <w:t>NovaPay ofrece planes de precios flexibles para adaptarse a empresas en cada etapa de crecimiento:</w:t>
      </w:r>
    </w:p>
    <w:p>
      <w:pPr>
        <w:pStyle w:val="Heading1"/>
      </w:pPr>
      <w:r>
        <w:rPr>
          <w:rFonts w:ascii="Inter" w:hAnsi="Inter"/>
          <w:b/>
          <w:color w:val="0F1B2D"/>
          <w:sz w:val="32"/>
        </w:rPr>
        <w:t>Cronograma de Lanzamiento</w:t>
      </w:r>
    </w:p>
    <w:p>
      <w:r>
        <w:t>NovaPay estará disponible en tres fases para garantizar un despliegue global sin inconvenientes. La Fase 1 cubre América del Norte y Europa, lanzándose el 1 de mayo de 2026. La Fase 2 se expandirá a los mercados de Asia-Pacífico y América Latina para el 15 de julio de 2026, con la disponibilidad global completa programada para el 30 de septiembre de 2026.</w:t>
      </w:r>
    </w:p>
    <w:p>
      <w:pPr>
        <w:pStyle w:val="Heading1"/>
      </w:pPr>
      <w:r>
        <w:rPr>
          <w:rFonts w:ascii="Inter" w:hAnsi="Inter"/>
          <w:b/>
          <w:color w:val="0F1B2D"/>
          <w:sz w:val="32"/>
        </w:rPr>
        <w:t>Contacto</w:t>
      </w:r>
    </w:p>
    <w:p>
      <w:r>
        <w:t>Para obtener más información sobre NovaPay, visite nuestro sitio web en www.novapay.example.com o envíe un correo electrónico a nuestro equipo de ventas a sales@novapay.example.com. Los clientes empresariales pueden programar una demostración personalizada contactando a enterprise@novapay.example.com.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Exported by TranslateIQ</w:t>
      <w:tab/>
      <w:tab/>
      <w:t>2026-04-05 02:33:13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