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Employee Code of Conduct</w:t>
      </w:r>
    </w:p>
    <w:p>
      <w:r>
        <w:t>The company maintains a strict zero-tolerance policy regarding harassment, discrimination, and unethical behavior in the workplace. All employees are expected to conduct themselves with professionalism, integrity, and respect toward their colleagues, clients, and business partners. Employees must comply with all workplace health and safety regulations as outlined in this document and any applicable local laws.</w:t>
      </w:r>
    </w:p>
    <w:p>
      <w:pPr>
        <w:pStyle w:val="Heading1"/>
      </w:pPr>
      <w:r>
        <w:t>Leave Policy</w:t>
      </w:r>
    </w:p>
    <w:p>
      <w:r>
        <w:t>Employees are entitled to 20 days of annual leave per year, accrued on a monthly basis. Leave requests must be submitted at least two weeks in advance through the company's HR management portal. Unused annual leave may be carried forward to the following year, up to a maximum of five additional days.</w:t>
      </w:r>
    </w:p>
    <w:p>
      <w:pPr>
        <w:pStyle w:val="ListBullet"/>
      </w:pPr>
      <w:r>
        <w:t>Annual Leave — 20 working days per calendar year</w:t>
      </w:r>
    </w:p>
    <w:p>
      <w:pPr>
        <w:pStyle w:val="ListBullet"/>
      </w:pPr>
      <w:r>
        <w:t>Sick Leave — 10 working days per calendar year with valid medical certification</w:t>
      </w:r>
    </w:p>
    <w:p>
      <w:pPr>
        <w:pStyle w:val="ListBullet"/>
      </w:pPr>
      <w:r>
        <w:t>Maternity Leave — 26 weeks of paid leave as per statutory requirements</w:t>
      </w:r>
    </w:p>
    <w:p>
      <w:pPr>
        <w:pStyle w:val="ListBullet"/>
      </w:pPr>
      <w:r>
        <w:t>Paternity Leave — 2 weeks of paid leave following the birth or adoption of a child</w:t>
      </w:r>
    </w:p>
    <w:p>
      <w:pPr>
        <w:pStyle w:val="ListBullet"/>
      </w:pPr>
      <w:r>
        <w:t>Emergency Leave — Up to 5 days per year for unforeseen personal emergencies</w:t>
      </w:r>
    </w:p>
    <w:p>
      <w:pPr>
        <w:pStyle w:val="Heading1"/>
      </w:pPr>
      <w:r>
        <w:t>Performance Review Process</w:t>
      </w:r>
    </w:p>
    <w:p>
      <w:r>
        <w:t>Performance reviews are conducted on a quarterly basis to assess employee progress against established goals. Each review includes a self-assessment component, a manager evaluation, and a collaborative goal-setting session. All grievances related to performance evaluations must be submitted in writing to HR within 10 business days of the review meeting.</w:t>
      </w:r>
    </w:p>
    <w:p>
      <w:pPr>
        <w:pStyle w:val="Heading1"/>
      </w:pPr>
      <w:r>
        <w:t>Grievance Procedure</w:t>
      </w:r>
    </w:p>
    <w:p>
      <w:r>
        <w:t>All grievances must be submitted in writing to HR using the official grievance form available on the company intranet. The HR department will acknowledge receipt of the grievance within three business days and initiate an investigation. A formal response will be provided within 15 business days of the initial submission, and the employee will be informed of any further actions or resolutions.</w:t>
      </w:r>
    </w:p>
    <w:tbl>
      <w:tblPr>
        <w:tblStyle w:val="TableGrid"/>
        <w:tblW w:type="auto" w:w="0"/>
        <w:tblLook w:firstColumn="1" w:firstRow="1" w:lastColumn="0" w:lastRow="0" w:noHBand="0" w:noVBand="1" w:val="04A0"/>
      </w:tblPr>
      <w:tblGrid>
        <w:gridCol w:w="2880"/>
        <w:gridCol w:w="2880"/>
        <w:gridCol w:w="2880"/>
      </w:tblGrid>
      <w:tr>
        <w:tc>
          <w:tcPr>
            <w:tcW w:type="dxa" w:w="2880"/>
          </w:tcPr>
          <w:p>
            <w:r>
              <w:t>Review Type</w:t>
            </w:r>
          </w:p>
        </w:tc>
        <w:tc>
          <w:tcPr>
            <w:tcW w:type="dxa" w:w="2880"/>
          </w:tcPr>
          <w:p>
            <w:r>
              <w:t>Frequency</w:t>
            </w:r>
          </w:p>
        </w:tc>
        <w:tc>
          <w:tcPr>
            <w:tcW w:type="dxa" w:w="2880"/>
          </w:tcPr>
          <w:p>
            <w:r>
              <w:t>Responsible Party</w:t>
            </w:r>
          </w:p>
        </w:tc>
      </w:tr>
      <w:tr>
        <w:tc>
          <w:tcPr>
            <w:tcW w:type="dxa" w:w="2880"/>
          </w:tcPr>
          <w:p>
            <w:r>
              <w:t>Quarterly Performance Review</w:t>
            </w:r>
          </w:p>
        </w:tc>
        <w:tc>
          <w:tcPr>
            <w:tcW w:type="dxa" w:w="2880"/>
          </w:tcPr>
          <w:p>
            <w:r>
              <w:t>Every 3 months</w:t>
            </w:r>
          </w:p>
        </w:tc>
        <w:tc>
          <w:tcPr>
            <w:tcW w:type="dxa" w:w="2880"/>
          </w:tcPr>
          <w:p>
            <w:r>
              <w:t>Direct Manager</w:t>
            </w:r>
          </w:p>
        </w:tc>
      </w:tr>
      <w:tr>
        <w:tc>
          <w:tcPr>
            <w:tcW w:type="dxa" w:w="2880"/>
          </w:tcPr>
          <w:p>
            <w:r>
              <w:t>Annual Comprehensive Review</w:t>
            </w:r>
          </w:p>
        </w:tc>
        <w:tc>
          <w:tcPr>
            <w:tcW w:type="dxa" w:w="2880"/>
          </w:tcPr>
          <w:p>
            <w:r>
              <w:t>Once per year</w:t>
            </w:r>
          </w:p>
        </w:tc>
        <w:tc>
          <w:tcPr>
            <w:tcW w:type="dxa" w:w="2880"/>
          </w:tcPr>
          <w:p>
            <w:r>
              <w:t>HR Department</w:t>
            </w:r>
          </w:p>
        </w:tc>
      </w:tr>
      <w:tr>
        <w:tc>
          <w:tcPr>
            <w:tcW w:type="dxa" w:w="2880"/>
          </w:tcPr>
          <w:p>
            <w:r>
              <w:t>Probation Review</w:t>
            </w:r>
          </w:p>
        </w:tc>
        <w:tc>
          <w:tcPr>
            <w:tcW w:type="dxa" w:w="2880"/>
          </w:tcPr>
          <w:p>
            <w:r>
              <w:t>End of probation period</w:t>
            </w:r>
          </w:p>
        </w:tc>
        <w:tc>
          <w:tcPr>
            <w:tcW w:type="dxa" w:w="2880"/>
          </w:tcPr>
          <w:p>
            <w:r>
              <w:t>Direct Manager &amp; HR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