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Terms and Conditions</w:t>
      </w:r>
    </w:p>
    <w:p>
      <w:r>
        <w:t>This agreement is governed by applicable law and establishes the terms and conditions under which services will be provided by the Company to the Client. By signing this document, all parties acknowledge that they have read, understood, and agreed to the provisions contained herein.</w:t>
      </w:r>
    </w:p>
    <w:p>
      <w:pPr>
        <w:pStyle w:val="Heading1"/>
      </w:pPr>
      <w:r>
        <w:t>Payment Terms</w:t>
      </w:r>
    </w:p>
    <w:p>
      <w:r>
        <w:t>Payment shall be made within thirty days of invoice in accordance with the schedule outlined below. All payments must be made in the agreed-upon currency via wire transfer or other approved payment methods. Late payments will incur a penalty of 1.5% per month on the outstanding balance, calculated from the due date.</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Amount</w:t>
            </w:r>
          </w:p>
        </w:tc>
        <w:tc>
          <w:tcPr>
            <w:tcW w:type="dxa" w:w="2880"/>
          </w:tcPr>
          <w:p>
            <w:r>
              <w:t>Due Date</w:t>
            </w:r>
          </w:p>
        </w:tc>
      </w:tr>
      <w:tr>
        <w:tc>
          <w:tcPr>
            <w:tcW w:type="dxa" w:w="2880"/>
          </w:tcPr>
          <w:p>
            <w:r>
              <w:t>Project Initiation</w:t>
            </w:r>
          </w:p>
        </w:tc>
        <w:tc>
          <w:tcPr>
            <w:tcW w:type="dxa" w:w="2880"/>
          </w:tcPr>
          <w:p>
            <w:r>
              <w:t>$25,000</w:t>
            </w:r>
          </w:p>
        </w:tc>
        <w:tc>
          <w:tcPr>
            <w:tcW w:type="dxa" w:w="2880"/>
          </w:tcPr>
          <w:p>
            <w:r>
              <w:t>Upon contract signing</w:t>
            </w:r>
          </w:p>
        </w:tc>
      </w:tr>
      <w:tr>
        <w:tc>
          <w:tcPr>
            <w:tcW w:type="dxa" w:w="2880"/>
          </w:tcPr>
          <w:p>
            <w:r>
              <w:t>Mid-Project Delivery</w:t>
            </w:r>
          </w:p>
        </w:tc>
        <w:tc>
          <w:tcPr>
            <w:tcW w:type="dxa" w:w="2880"/>
          </w:tcPr>
          <w:p>
            <w:r>
              <w:t>$50,000</w:t>
            </w:r>
          </w:p>
        </w:tc>
        <w:tc>
          <w:tcPr>
            <w:tcW w:type="dxa" w:w="2880"/>
          </w:tcPr>
          <w:p>
            <w:r>
              <w:t>90 days after initiation</w:t>
            </w:r>
          </w:p>
        </w:tc>
      </w:tr>
      <w:tr>
        <w:tc>
          <w:tcPr>
            <w:tcW w:type="dxa" w:w="2880"/>
          </w:tcPr>
          <w:p>
            <w:r>
              <w:t>Final Delivery</w:t>
            </w:r>
          </w:p>
        </w:tc>
        <w:tc>
          <w:tcPr>
            <w:tcW w:type="dxa" w:w="2880"/>
          </w:tcPr>
          <w:p>
            <w:r>
              <w:t>$25,000</w:t>
            </w:r>
          </w:p>
        </w:tc>
        <w:tc>
          <w:tcPr>
            <w:tcW w:type="dxa" w:w="2880"/>
          </w:tcPr>
          <w:p>
            <w:r>
              <w:t>Upon project completion</w:t>
            </w:r>
          </w:p>
        </w:tc>
      </w:tr>
    </w:tbl>
    <w:p>
      <w:pPr>
        <w:pStyle w:val="Heading1"/>
      </w:pPr>
      <w:r>
        <w:t>Termination Clause</w:t>
      </w:r>
    </w:p>
    <w:p>
      <w:r>
        <w:t>Either party may terminate this agreement with written notice of at least thirty calendar days. In the event of termination, all work completed up to the date of termination shall be compensated in accordance with the payment schedule. The terminating party shall not be liable for any consequential damages arising from the termination of this agreement.</w:t>
      </w:r>
    </w:p>
    <w:p>
      <w:pPr>
        <w:pStyle w:val="Heading1"/>
      </w:pPr>
      <w:r>
        <w:t>Governing Law</w:t>
      </w:r>
    </w:p>
    <w:p>
      <w:r>
        <w:t>This agreement is governed by applicable law of the State of California, United States of America. The parties agree to resolve disputes through arbitration in San Francisco, California, in accordance with the rules of the American Arbitration Association.</w:t>
      </w:r>
    </w:p>
    <w:p>
      <w:pPr>
        <w:pStyle w:val="Heading1"/>
      </w:pPr>
      <w:r>
        <w:t>Confidentiality</w:t>
      </w:r>
    </w:p>
    <w:p>
      <w:r>
        <w:t>All confidential information must be protected from disclosure to unauthorized third parties for the duration of this agreement and for a period of five years following its termination. Confidential information includes, but is not limited to, trade secrets, business strategies, financial data, and proprietary technology. Any breach of this confidentiality clause may result in immediate termination of the agreement and legal action for damages.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