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Code of Conduct</w:t>
      </w:r>
    </w:p>
    <w:p>
      <w:r>
        <w:t>Our organization enforces a strict zero-tolerance approach to harassment, discrimination, and any form of unethical conduct. All staff members are expected to behave with professionalism and respect toward colleagues and clients. Staff members must follow all applicable health and safety rules.</w:t>
      </w:r>
    </w:p>
    <w:p>
      <w:pPr>
        <w:pStyle w:val="Heading1"/>
      </w:pPr>
      <w:r>
        <w:t>Leave Policy</w:t>
      </w:r>
    </w:p>
    <w:p>
      <w:r>
        <w:t>Each employee is eligible for 20 working days of annual leave every calendar year. Leave applications must be filed at least 14 days before the start date via the HR portal. The deadline for carrying forward unused leave for 2025 is 31/03/2026.</w:t>
      </w:r>
    </w:p>
    <w:p>
      <w:pPr>
        <w:pStyle w:val="ListBullet"/>
      </w:pPr>
      <w:r>
        <w:t>Annual Leave — 20 working days per year</w:t>
      </w:r>
    </w:p>
    <w:p>
      <w:pPr>
        <w:pStyle w:val="ListBullet"/>
      </w:pPr>
      <w:r>
        <w:t>Sick Leave — 10 days per year (medical certificate required)</w:t>
      </w:r>
    </w:p>
    <w:p>
      <w:pPr>
        <w:pStyle w:val="ListBullet"/>
      </w:pPr>
      <w:r>
        <w:t>Maternity Leave — 26 weeks as per legal requirements</w:t>
      </w:r>
    </w:p>
    <w:p>
      <w:pPr>
        <w:pStyle w:val="ListBullet"/>
      </w:pPr>
      <w:r>
        <w:t>Paternity Leave — 2 weeks following the birth or adoption of a child</w:t>
      </w:r>
    </w:p>
    <w:p>
      <w:pPr>
        <w:pStyle w:val="ListBullet"/>
      </w:pPr>
      <w:r>
        <w:t>Emergency Leave — Up to 5 days for personal emergencies</w:t>
      </w:r>
    </w:p>
    <w:p>
      <w:pPr>
        <w:pStyle w:val="Heading1"/>
      </w:pPr>
      <w:r>
        <w:t>Performance Review Process</w:t>
      </w:r>
    </w:p>
    <w:p>
      <w:r>
        <w:t>Employee performance reviews take place every three months to track progress against targets. Each review consists of a self-assessment, manager feedback, and a goal-setting discussion. The next review cycle for all staff members begins on January 15 2026.</w:t>
      </w:r>
    </w:p>
    <w:p>
      <w:pPr>
        <w:pStyle w:val="Heading1"/>
      </w:pPr>
      <w:r>
        <w:t>Grievance Procedure</w:t>
      </w:r>
    </w:p>
    <w:p>
      <w:r>
        <w:t>All workplace complaints must be filed in writing through the official grievance form on the intranet. HR will confirm receipt within three working days and begin the investigation process. All grievances submitted before 15/06/2026 will be processed under the current policy framework.</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Type</w:t>
            </w:r>
          </w:p>
        </w:tc>
        <w:tc>
          <w:tcPr>
            <w:tcW w:type="dxa" w:w="2880"/>
          </w:tcPr>
          <w:p>
            <w:r>
              <w:t>Frequency</w:t>
            </w:r>
          </w:p>
        </w:tc>
        <w:tc>
          <w:tcPr>
            <w:tcW w:type="dxa" w:w="2880"/>
          </w:tcPr>
          <w:p>
            <w:r>
              <w:t>Responsible Party</w:t>
            </w:r>
          </w:p>
        </w:tc>
      </w:tr>
      <w:tr>
        <w:tc>
          <w:tcPr>
            <w:tcW w:type="dxa" w:w="2880"/>
          </w:tcPr>
          <w:p>
            <w:r>
              <w:t>Quarterly Review</w:t>
            </w:r>
          </w:p>
        </w:tc>
        <w:tc>
          <w:tcPr>
            <w:tcW w:type="dxa" w:w="2880"/>
          </w:tcPr>
          <w:p>
            <w:r>
              <w:t>Every 3 months</w:t>
            </w:r>
          </w:p>
        </w:tc>
        <w:tc>
          <w:tcPr>
            <w:tcW w:type="dxa" w:w="2880"/>
          </w:tcPr>
          <w:p>
            <w:r>
              <w:t>Direct Manager</w:t>
            </w:r>
          </w:p>
        </w:tc>
      </w:tr>
      <w:tr>
        <w:tc>
          <w:tcPr>
            <w:tcW w:type="dxa" w:w="2880"/>
          </w:tcPr>
          <w:p>
            <w:r>
              <w:t>Annual Review</w:t>
            </w:r>
          </w:p>
        </w:tc>
        <w:tc>
          <w:tcPr>
            <w:tcW w:type="dxa" w:w="2880"/>
          </w:tcPr>
          <w:p>
            <w:r>
              <w:t>Once per year</w:t>
            </w:r>
          </w:p>
        </w:tc>
        <w:tc>
          <w:tcPr>
            <w:tcW w:type="dxa" w:w="2880"/>
          </w:tcPr>
          <w:p>
            <w:r>
              <w:t>HR Department</w:t>
            </w:r>
          </w:p>
        </w:tc>
      </w:tr>
      <w:tr>
        <w:tc>
          <w:tcPr>
            <w:tcW w:type="dxa" w:w="2880"/>
          </w:tcPr>
          <w:p>
            <w:r>
              <w:t>Probation Review</w:t>
            </w:r>
          </w:p>
        </w:tc>
        <w:tc>
          <w:tcPr>
            <w:tcW w:type="dxa" w:w="2880"/>
          </w:tcPr>
          <w:p>
            <w:r>
              <w:t>End of probation</w:t>
            </w:r>
          </w:p>
        </w:tc>
        <w:tc>
          <w:tcPr>
            <w:tcW w:type="dxa" w:w="2880"/>
          </w:tcPr>
          <w:p>
            <w:r>
              <w:t>Manager &amp; HR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