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596A7" w14:textId="4BA2CF77" w:rsidR="009B4647" w:rsidRDefault="009B4647" w:rsidP="00E475FB">
      <w:pPr>
        <w:rPr>
          <w:rFonts w:ascii="Calibri" w:hAnsi="Calibri" w:cs="Calibri"/>
          <w:b/>
          <w:bCs/>
          <w:sz w:val="30"/>
          <w:szCs w:val="30"/>
        </w:rPr>
      </w:pPr>
      <w:r w:rsidRPr="00E475FB">
        <w:rPr>
          <w:rFonts w:ascii="Calibri" w:hAnsi="Calibri" w:cs="Calibri"/>
          <w:b/>
          <w:bCs/>
          <w:sz w:val="30"/>
          <w:szCs w:val="30"/>
        </w:rPr>
        <w:t>Migrating Azure SQL Managed Instance (</w:t>
      </w:r>
      <w:r w:rsidR="002B1DF0">
        <w:rPr>
          <w:rFonts w:ascii="Calibri" w:hAnsi="Calibri" w:cs="Calibri"/>
          <w:b/>
          <w:bCs/>
          <w:sz w:val="30"/>
          <w:szCs w:val="30"/>
        </w:rPr>
        <w:t>Data Warehouse</w:t>
      </w:r>
      <w:r w:rsidRPr="00E475FB">
        <w:rPr>
          <w:rFonts w:ascii="Calibri" w:hAnsi="Calibri" w:cs="Calibri"/>
          <w:b/>
          <w:bCs/>
          <w:sz w:val="30"/>
          <w:szCs w:val="30"/>
        </w:rPr>
        <w:t xml:space="preserve">) from CSP (Cloud Solution Provider) </w:t>
      </w:r>
      <w:r w:rsidR="0044083A" w:rsidRPr="00E475FB">
        <w:rPr>
          <w:rFonts w:ascii="Calibri" w:hAnsi="Calibri" w:cs="Calibri"/>
          <w:b/>
          <w:bCs/>
          <w:sz w:val="30"/>
          <w:szCs w:val="30"/>
        </w:rPr>
        <w:t>T</w:t>
      </w:r>
      <w:r w:rsidRPr="00E475FB">
        <w:rPr>
          <w:rFonts w:ascii="Calibri" w:hAnsi="Calibri" w:cs="Calibri"/>
          <w:b/>
          <w:bCs/>
          <w:sz w:val="30"/>
          <w:szCs w:val="30"/>
        </w:rPr>
        <w:t xml:space="preserve">enant to an EA (Enterprise Agreement) </w:t>
      </w:r>
      <w:r w:rsidR="0044083A" w:rsidRPr="00E475FB">
        <w:rPr>
          <w:rFonts w:ascii="Calibri" w:hAnsi="Calibri" w:cs="Calibri"/>
          <w:b/>
          <w:bCs/>
          <w:sz w:val="30"/>
          <w:szCs w:val="30"/>
        </w:rPr>
        <w:t>T</w:t>
      </w:r>
      <w:r w:rsidRPr="00E475FB">
        <w:rPr>
          <w:rFonts w:ascii="Calibri" w:hAnsi="Calibri" w:cs="Calibri"/>
          <w:b/>
          <w:bCs/>
          <w:sz w:val="30"/>
          <w:szCs w:val="30"/>
        </w:rPr>
        <w:t>enant</w:t>
      </w:r>
    </w:p>
    <w:p w14:paraId="5E540AB1" w14:textId="1F7CE4EF" w:rsidR="00223D50" w:rsidRPr="00E475FB" w:rsidRDefault="00223D50">
      <w:pPr>
        <w:rPr>
          <w:rFonts w:ascii="Calibri" w:hAnsi="Calibri" w:cs="Calibri"/>
        </w:rPr>
      </w:pPr>
      <w:r w:rsidRPr="00E475FB">
        <w:rPr>
          <w:rFonts w:ascii="Calibri" w:hAnsi="Calibri" w:cs="Calibri"/>
        </w:rPr>
        <w:t>Migrating Azure SQL Managed Instance (MI) from a CSP (Cloud Solution Provider) tenant to an EA (Enterprise Agreement) tenant is a complex and high-impact project that involves both technical and stakeholder management layers. Below is a breakdown that includes Scrum practices, stakeholder engagement strategies, and actionable steps with designated owners.</w:t>
      </w:r>
    </w:p>
    <w:p w14:paraId="20BC231F" w14:textId="77777777" w:rsidR="00607F97" w:rsidRPr="00E475FB" w:rsidRDefault="00607F97" w:rsidP="00607F97">
      <w:pPr>
        <w:rPr>
          <w:rFonts w:ascii="Calibri" w:hAnsi="Calibri" w:cs="Calibri"/>
          <w:b/>
          <w:bCs/>
        </w:rPr>
      </w:pPr>
      <w:r w:rsidRPr="00E475FB">
        <w:rPr>
          <w:rFonts w:ascii="Calibri" w:hAnsi="Calibri" w:cs="Calibri"/>
          <w:b/>
          <w:bCs/>
        </w:rPr>
        <w:t>1. Overview</w:t>
      </w:r>
    </w:p>
    <w:p w14:paraId="6C9C13C8" w14:textId="77777777" w:rsidR="00607F97" w:rsidRPr="00E475FB" w:rsidRDefault="00607F97" w:rsidP="00607F97">
      <w:pPr>
        <w:numPr>
          <w:ilvl w:val="0"/>
          <w:numId w:val="2"/>
        </w:numPr>
        <w:rPr>
          <w:rFonts w:ascii="Calibri" w:hAnsi="Calibri" w:cs="Calibri"/>
        </w:rPr>
      </w:pPr>
      <w:r w:rsidRPr="00E475FB">
        <w:rPr>
          <w:rFonts w:ascii="Calibri" w:hAnsi="Calibri" w:cs="Calibri"/>
          <w:b/>
          <w:bCs/>
        </w:rPr>
        <w:t>What’s Happening</w:t>
      </w:r>
      <w:r w:rsidRPr="00E475FB">
        <w:rPr>
          <w:rFonts w:ascii="Calibri" w:hAnsi="Calibri" w:cs="Calibri"/>
        </w:rPr>
        <w:t>: Migration of Azure SQL Managed Instance (MI) from the current Cloud Solution Provider (CSP) tenant to a new Enterprise Agreement (EA) tenant.</w:t>
      </w:r>
    </w:p>
    <w:p w14:paraId="3AAFD059" w14:textId="77777777" w:rsidR="00607F97" w:rsidRPr="00E475FB" w:rsidRDefault="00607F97" w:rsidP="00607F97">
      <w:pPr>
        <w:numPr>
          <w:ilvl w:val="0"/>
          <w:numId w:val="2"/>
        </w:numPr>
        <w:rPr>
          <w:rFonts w:ascii="Calibri" w:hAnsi="Calibri" w:cs="Calibri"/>
        </w:rPr>
      </w:pPr>
      <w:r w:rsidRPr="00E475FB">
        <w:rPr>
          <w:rFonts w:ascii="Calibri" w:hAnsi="Calibri" w:cs="Calibri"/>
          <w:b/>
          <w:bCs/>
        </w:rPr>
        <w:t>Why It Matters</w:t>
      </w:r>
      <w:r w:rsidRPr="00E475FB">
        <w:rPr>
          <w:rFonts w:ascii="Calibri" w:hAnsi="Calibri" w:cs="Calibri"/>
        </w:rPr>
        <w:t>: This migration supports long-term scalability, cost optimization, and centralized governance under the EA model.</w:t>
      </w:r>
    </w:p>
    <w:p w14:paraId="490B633B" w14:textId="77777777" w:rsidR="00607F97" w:rsidRPr="00E475FB" w:rsidRDefault="00607F97" w:rsidP="00607F97">
      <w:pPr>
        <w:rPr>
          <w:rFonts w:ascii="Calibri" w:hAnsi="Calibri" w:cs="Calibri"/>
          <w:b/>
          <w:bCs/>
        </w:rPr>
      </w:pPr>
      <w:r w:rsidRPr="00E475FB">
        <w:rPr>
          <w:rFonts w:ascii="Calibri" w:hAnsi="Calibri" w:cs="Calibri"/>
          <w:b/>
          <w:bCs/>
        </w:rPr>
        <w:t>2. Business Impact</w:t>
      </w:r>
    </w:p>
    <w:p w14:paraId="54EAAECA" w14:textId="09FDA35D" w:rsidR="00607F97" w:rsidRPr="00E475FB" w:rsidRDefault="00607F97" w:rsidP="00607F97">
      <w:pPr>
        <w:numPr>
          <w:ilvl w:val="0"/>
          <w:numId w:val="3"/>
        </w:numPr>
        <w:rPr>
          <w:rFonts w:ascii="Calibri" w:hAnsi="Calibri" w:cs="Calibri"/>
        </w:rPr>
      </w:pPr>
      <w:r w:rsidRPr="00E475FB">
        <w:rPr>
          <w:rFonts w:ascii="Calibri" w:hAnsi="Calibri" w:cs="Calibri"/>
          <w:b/>
          <w:bCs/>
        </w:rPr>
        <w:t>Downtime</w:t>
      </w:r>
      <w:r w:rsidRPr="00E475FB">
        <w:rPr>
          <w:rFonts w:ascii="Calibri" w:hAnsi="Calibri" w:cs="Calibri"/>
        </w:rPr>
        <w:t>: Minimal downtime expected (~1-2 non-business hours during cutover) so no business impact.</w:t>
      </w:r>
    </w:p>
    <w:p w14:paraId="4A406BDA" w14:textId="76320908" w:rsidR="00607F97" w:rsidRDefault="002B1DF0" w:rsidP="00607F97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Timeline</w:t>
      </w:r>
      <w:r w:rsidR="00607F97" w:rsidRPr="00E475FB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2B1DF0">
        <w:rPr>
          <w:rFonts w:ascii="Calibri" w:hAnsi="Calibri" w:cs="Calibri"/>
        </w:rPr>
        <w:t>2025-05-31 to 2025-06-13</w:t>
      </w:r>
    </w:p>
    <w:p w14:paraId="2224EE45" w14:textId="07E18B84" w:rsidR="00256CC2" w:rsidRDefault="00782770" w:rsidP="00607F97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</w:t>
      </w:r>
      <w:r w:rsidR="00256CC2">
        <w:rPr>
          <w:rFonts w:ascii="Calibri" w:hAnsi="Calibri" w:cs="Calibri"/>
          <w:b/>
          <w:bCs/>
        </w:rPr>
        <w:t xml:space="preserve">ownstream applications: </w:t>
      </w:r>
      <w:r w:rsidR="00B9275D">
        <w:rPr>
          <w:rFonts w:ascii="Calibri" w:hAnsi="Calibri" w:cs="Calibri"/>
          <w:b/>
          <w:bCs/>
        </w:rPr>
        <w:t>D</w:t>
      </w:r>
      <w:r w:rsidR="00256CC2" w:rsidRPr="00256CC2">
        <w:rPr>
          <w:rFonts w:ascii="Calibri" w:hAnsi="Calibri" w:cs="Calibri"/>
        </w:rPr>
        <w:t xml:space="preserve">ependent </w:t>
      </w:r>
      <w:r w:rsidR="00B9275D">
        <w:rPr>
          <w:rFonts w:ascii="Calibri" w:hAnsi="Calibri" w:cs="Calibri"/>
        </w:rPr>
        <w:t xml:space="preserve">applications </w:t>
      </w:r>
      <w:r w:rsidR="00256CC2" w:rsidRPr="00256CC2">
        <w:rPr>
          <w:rFonts w:ascii="Calibri" w:hAnsi="Calibri" w:cs="Calibri"/>
        </w:rPr>
        <w:t xml:space="preserve">on Azure SQL MI need connection change to </w:t>
      </w:r>
      <w:r>
        <w:rPr>
          <w:rFonts w:ascii="Calibri" w:hAnsi="Calibri" w:cs="Calibri"/>
        </w:rPr>
        <w:t xml:space="preserve">EA tenant new Azure SQL MI IP </w:t>
      </w:r>
      <w:r w:rsidR="00256CC2" w:rsidRPr="00256CC2">
        <w:rPr>
          <w:rFonts w:ascii="Calibri" w:hAnsi="Calibri" w:cs="Calibri"/>
        </w:rPr>
        <w:t xml:space="preserve">so if well handled with proper testing on </w:t>
      </w:r>
      <w:r w:rsidR="0065557C" w:rsidRPr="00256CC2">
        <w:rPr>
          <w:rFonts w:ascii="Calibri" w:hAnsi="Calibri" w:cs="Calibri"/>
        </w:rPr>
        <w:t>connection</w:t>
      </w:r>
      <w:r w:rsidR="00B9275D">
        <w:rPr>
          <w:rFonts w:ascii="Calibri" w:hAnsi="Calibri" w:cs="Calibri"/>
        </w:rPr>
        <w:t xml:space="preserve"> during the timeline mentioned above, could reduce the outage</w:t>
      </w:r>
      <w:r w:rsidR="009D1F22">
        <w:rPr>
          <w:rFonts w:ascii="Calibri" w:hAnsi="Calibri" w:cs="Calibri"/>
        </w:rPr>
        <w:t xml:space="preserve">. Nominate SPOC for each application </w:t>
      </w:r>
      <w:r w:rsidR="00B9275D">
        <w:rPr>
          <w:rFonts w:ascii="Calibri" w:hAnsi="Calibri" w:cs="Calibri"/>
        </w:rPr>
        <w:t xml:space="preserve">for </w:t>
      </w:r>
      <w:r w:rsidR="009D1F22">
        <w:rPr>
          <w:rFonts w:ascii="Calibri" w:hAnsi="Calibri" w:cs="Calibri"/>
        </w:rPr>
        <w:t>new connection testing.</w:t>
      </w:r>
    </w:p>
    <w:p w14:paraId="34E0361E" w14:textId="1B361706" w:rsidR="00EF0C2D" w:rsidRDefault="00EF0C2D" w:rsidP="00EF0C2D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CRM</w:t>
      </w:r>
    </w:p>
    <w:p w14:paraId="6D86D16D" w14:textId="34835C26" w:rsidR="00EF0C2D" w:rsidRDefault="00EF0C2D" w:rsidP="00EF0C2D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Infinity</w:t>
      </w:r>
    </w:p>
    <w:p w14:paraId="09F8391C" w14:textId="0011881F" w:rsidR="00EF0C2D" w:rsidRDefault="00EF0C2D" w:rsidP="00EF0C2D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MS Fabric</w:t>
      </w:r>
    </w:p>
    <w:p w14:paraId="345B1756" w14:textId="39E3E0E2" w:rsidR="00EF0C2D" w:rsidRDefault="00EF0C2D" w:rsidP="00EF0C2D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Qlik Sence</w:t>
      </w:r>
    </w:p>
    <w:p w14:paraId="374E5060" w14:textId="0A3EA7DB" w:rsidR="00EF0C2D" w:rsidRDefault="00EF0C2D" w:rsidP="00EF0C2D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Bon a payer </w:t>
      </w:r>
    </w:p>
    <w:p w14:paraId="2119A338" w14:textId="619867DA" w:rsidR="00EF0C2D" w:rsidRDefault="00EF0C2D" w:rsidP="00EF0C2D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Others (if another team used Azure SQL MI except Data &amp; AI)</w:t>
      </w:r>
    </w:p>
    <w:p w14:paraId="5176ACF7" w14:textId="77777777" w:rsidR="005D5698" w:rsidRDefault="00B9275D" w:rsidP="00B9275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CSP Tenant Data Warehouse: </w:t>
      </w:r>
      <w:r w:rsidRPr="00B9275D">
        <w:rPr>
          <w:rFonts w:ascii="Calibri" w:hAnsi="Calibri" w:cs="Calibri"/>
        </w:rPr>
        <w:t>sqlmi-san-prod-tdl-001.ad8a92cc1b23.database.windows.net</w:t>
      </w:r>
    </w:p>
    <w:p w14:paraId="55599F8C" w14:textId="77777777" w:rsidR="005D5698" w:rsidRDefault="005D5698" w:rsidP="005D5698">
      <w:pPr>
        <w:rPr>
          <w:rFonts w:ascii="Calibri" w:hAnsi="Calibri" w:cs="Calibri"/>
        </w:rPr>
      </w:pPr>
      <w:r w:rsidRPr="005D5698">
        <w:rPr>
          <w:rFonts w:ascii="Calibri" w:hAnsi="Calibri" w:cs="Calibri"/>
        </w:rPr>
        <w:t>[10.245.1.17]</w:t>
      </w:r>
    </w:p>
    <w:p w14:paraId="798A380A" w14:textId="6E7338DE" w:rsidR="005D5698" w:rsidRPr="005D5698" w:rsidRDefault="00B9275D" w:rsidP="005D569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EA </w:t>
      </w:r>
      <w:r>
        <w:rPr>
          <w:rFonts w:ascii="Calibri" w:hAnsi="Calibri" w:cs="Calibri"/>
        </w:rPr>
        <w:t>Tenant Data Warehouse:</w:t>
      </w:r>
      <w:r>
        <w:rPr>
          <w:rFonts w:ascii="Calibri" w:hAnsi="Calibri" w:cs="Calibri"/>
        </w:rPr>
        <w:t xml:space="preserve"> </w:t>
      </w:r>
      <w:r w:rsidR="005D5698" w:rsidRPr="005D5698">
        <w:rPr>
          <w:rFonts w:ascii="Calibri" w:hAnsi="Calibri" w:cs="Calibri"/>
        </w:rPr>
        <w:t>sqlmi-san-prod-tdl-01.cbbc35edb43b.database.windows.net [10.221.11.73]</w:t>
      </w:r>
    </w:p>
    <w:p w14:paraId="24765653" w14:textId="57A3D6F4" w:rsidR="00607F97" w:rsidRPr="00E475FB" w:rsidRDefault="00607F97" w:rsidP="00607F97">
      <w:pPr>
        <w:numPr>
          <w:ilvl w:val="0"/>
          <w:numId w:val="3"/>
        </w:numPr>
        <w:rPr>
          <w:rFonts w:ascii="Calibri" w:hAnsi="Calibri" w:cs="Calibri"/>
        </w:rPr>
      </w:pPr>
      <w:r w:rsidRPr="00E475FB">
        <w:rPr>
          <w:rFonts w:ascii="Calibri" w:hAnsi="Calibri" w:cs="Calibri"/>
          <w:b/>
          <w:bCs/>
        </w:rPr>
        <w:t>Benefits post-migration</w:t>
      </w:r>
      <w:r w:rsidRPr="00E475FB">
        <w:rPr>
          <w:rFonts w:ascii="Calibri" w:hAnsi="Calibri" w:cs="Calibri"/>
        </w:rPr>
        <w:t>:</w:t>
      </w:r>
    </w:p>
    <w:p w14:paraId="6ADA769B" w14:textId="77777777" w:rsidR="00607F97" w:rsidRPr="00E475FB" w:rsidRDefault="00607F97" w:rsidP="00607F97">
      <w:pPr>
        <w:numPr>
          <w:ilvl w:val="1"/>
          <w:numId w:val="3"/>
        </w:numPr>
        <w:rPr>
          <w:rFonts w:ascii="Calibri" w:hAnsi="Calibri" w:cs="Calibri"/>
        </w:rPr>
      </w:pPr>
      <w:r w:rsidRPr="00E475FB">
        <w:rPr>
          <w:rFonts w:ascii="Calibri" w:hAnsi="Calibri" w:cs="Calibri"/>
        </w:rPr>
        <w:t>Improved cost management via EA pricing.</w:t>
      </w:r>
    </w:p>
    <w:p w14:paraId="5A050AF3" w14:textId="77777777" w:rsidR="00607F97" w:rsidRPr="00E475FB" w:rsidRDefault="00607F97" w:rsidP="00607F97">
      <w:pPr>
        <w:numPr>
          <w:ilvl w:val="1"/>
          <w:numId w:val="3"/>
        </w:numPr>
        <w:rPr>
          <w:rFonts w:ascii="Calibri" w:hAnsi="Calibri" w:cs="Calibri"/>
        </w:rPr>
      </w:pPr>
      <w:r w:rsidRPr="00E475FB">
        <w:rPr>
          <w:rFonts w:ascii="Calibri" w:hAnsi="Calibri" w:cs="Calibri"/>
        </w:rPr>
        <w:t>Enhanced security and compliance alignment.</w:t>
      </w:r>
    </w:p>
    <w:p w14:paraId="3D19E0E0" w14:textId="55769B50" w:rsidR="00256CC2" w:rsidRPr="005D5698" w:rsidRDefault="00607F97" w:rsidP="00C35BAF">
      <w:pPr>
        <w:numPr>
          <w:ilvl w:val="1"/>
          <w:numId w:val="3"/>
        </w:numPr>
        <w:rPr>
          <w:rFonts w:ascii="Calibri" w:hAnsi="Calibri" w:cs="Calibri"/>
        </w:rPr>
      </w:pPr>
      <w:r w:rsidRPr="005D5698">
        <w:rPr>
          <w:rFonts w:ascii="Calibri" w:hAnsi="Calibri" w:cs="Calibri"/>
        </w:rPr>
        <w:t>Centralized identity and access management.</w:t>
      </w:r>
    </w:p>
    <w:sectPr w:rsidR="00256CC2" w:rsidRPr="005D5698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EA26C" w14:textId="77777777" w:rsidR="009A29E7" w:rsidRDefault="009A29E7" w:rsidP="000A6F23">
      <w:pPr>
        <w:spacing w:after="0" w:line="240" w:lineRule="auto"/>
      </w:pPr>
      <w:r>
        <w:separator/>
      </w:r>
    </w:p>
  </w:endnote>
  <w:endnote w:type="continuationSeparator" w:id="0">
    <w:p w14:paraId="545FFF6E" w14:textId="77777777" w:rsidR="009A29E7" w:rsidRDefault="009A29E7" w:rsidP="000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4F4CB" w14:textId="77777777" w:rsidR="009A29E7" w:rsidRDefault="009A29E7" w:rsidP="000A6F23">
      <w:pPr>
        <w:spacing w:after="0" w:line="240" w:lineRule="auto"/>
      </w:pPr>
      <w:r>
        <w:separator/>
      </w:r>
    </w:p>
  </w:footnote>
  <w:footnote w:type="continuationSeparator" w:id="0">
    <w:p w14:paraId="2812ACC5" w14:textId="77777777" w:rsidR="009A29E7" w:rsidRDefault="009A29E7" w:rsidP="000A6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CB034" w14:textId="63582364" w:rsidR="000A6F23" w:rsidRDefault="000A6F2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529748" wp14:editId="341AF24E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83740" cy="370205"/>
              <wp:effectExtent l="0" t="0" r="0" b="10795"/>
              <wp:wrapNone/>
              <wp:docPr id="1196432947" name="Text Box 4" descr="Public Information from Rawban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3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C2E0D0" w14:textId="53376E9E" w:rsidR="000A6F23" w:rsidRPr="000A6F23" w:rsidRDefault="000A6F23" w:rsidP="000A6F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A6F2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 Information from Rawbank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2974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Public Information from Rawbank" style="position:absolute;margin-left:105pt;margin-top:0;width:156.2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Z1DgIAABsEAAAOAAAAZHJzL2Uyb0RvYy54bWysU1tv2yAUfp+0/4B4X+ykzdpacaqsVaZJ&#10;UVspnfpMMMSWgIOAxM5+/Q7YTrZuT9Ne4Nw4l+98LO47rchRON+AKel0klMiDIeqMfuSfn9df7ql&#10;xAdmKqbAiJKehKf3y48fFq0txAxqUJVwBJMYX7S2pHUItsgyz2uhmZ+AFQadEpxmAVW3zyrHWsyu&#10;VTbL889ZC66yDrjwHq2PvZMuU34pBQ/PUnoRiCop9hbS6dK5i2e2XLBi75itGz60wf6hC80ag0XP&#10;qR5ZYOTgmj9S6YY78CDDhIPOQMqGizQDTjPN302zrZkVaRYEx9szTP7/peVPx619cSR0X6DDBUZA&#10;WusLj8Y4Tyedjjd2StCPEJ7OsIkuEB4f3d1e3Vyji6Pv6iaf5fOYJru8ts6HrwI0iUJJHa4locWO&#10;Gx/60DEkFjOwbpRKq1HmNwPmjJbs0mKUQrfrhr53UJ1wHAf9pr3l6wZrbpgPL8zharFNpGt4xkMq&#10;aEsKg0RJDe7H3+wxHhFHLyUtUqWkBrlMifpmcBORVUmY3uXzHDWXtNn8Oo/abgwyB/0AyMIpfgjL&#10;kxiDgxpF6UC/IZtXsRq6mOFYs6RhFB9CT1z8DVysVikIWWRZ2Jit5TF1BCsi+dq9MWcHuAMu6glG&#10;MrHiHep9bHzp7eoQEPu0kghsj+aANzIwLXX4LZHiv+op6vKnlz8BAAD//wMAUEsDBBQABgAIAAAA&#10;IQCwbaKv3gAAAAQBAAAPAAAAZHJzL2Rvd25yZXYueG1sTI/BasMwEETvhf6D2EIvJZETN8F1LYcQ&#10;CDSHHpLWh95ka2ObWisjKY7991V7aS4Lwwwzb7PNqDs2oHWtIQGLeQQMqTKqpVrA58d+lgBzXpKS&#10;nSEUMKGDTX5/l8lUmSsdcTj5moUScqkU0Hjfp5y7qkEt3dz0SME7G6ulD9LWXFl5DeW648soWnMt&#10;WwoLjexx12D1fbpoAcVon973L4e3qfxqhyk6FHFyLoR4fBi3r8A8jv4/DL/4AR3ywFSaCynHOgHh&#10;Ef93gxcvls/ASgGrJAaeZ/wWPv8BAAD//wMAUEsBAi0AFAAGAAgAAAAhALaDOJL+AAAA4QEAABMA&#10;AAAAAAAAAAAAAAAAAAAAAFtDb250ZW50X1R5cGVzXS54bWxQSwECLQAUAAYACAAAACEAOP0h/9YA&#10;AACUAQAACwAAAAAAAAAAAAAAAAAvAQAAX3JlbHMvLnJlbHNQSwECLQAUAAYACAAAACEALb8WdQ4C&#10;AAAbBAAADgAAAAAAAAAAAAAAAAAuAgAAZHJzL2Uyb0RvYy54bWxQSwECLQAUAAYACAAAACEAsG2i&#10;r94AAAAEAQAADwAAAAAAAAAAAAAAAABoBAAAZHJzL2Rvd25yZXYueG1sUEsFBgAAAAAEAAQA8wAA&#10;AHMFAAAAAA==&#10;" filled="f" stroked="f">
              <v:textbox style="mso-fit-shape-to-text:t" inset="0,15pt,20pt,0">
                <w:txbxContent>
                  <w:p w14:paraId="54C2E0D0" w14:textId="53376E9E" w:rsidR="000A6F23" w:rsidRPr="000A6F23" w:rsidRDefault="000A6F23" w:rsidP="000A6F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A6F2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 Information from Rawbank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0FCF8" w14:textId="6FE1DB55" w:rsidR="000A6F23" w:rsidRDefault="000A6F2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A83E72" wp14:editId="241FD9C5">
              <wp:simplePos x="904875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983740" cy="370205"/>
              <wp:effectExtent l="0" t="0" r="0" b="10795"/>
              <wp:wrapNone/>
              <wp:docPr id="1600645885" name="Text Box 5" descr="Public Information from Rawban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3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3B84FF" w14:textId="586A11E3" w:rsidR="000A6F23" w:rsidRPr="000A6F23" w:rsidRDefault="000A6F23" w:rsidP="000A6F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A6F2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 Information from Rawbank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A83E7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 Information from Rawbank" style="position:absolute;margin-left:105pt;margin-top:0;width:156.2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L0EgIAACIEAAAOAAAAZHJzL2Uyb0RvYy54bWysU01v2zAMvQ/YfxB0X+ykzdoacYqsRYYB&#10;QVsgHXpWZDk2IImCxMTOfv0oOUk/ttOwi0yKND/ee5rd9kazvfKhBVvy8SjnTFkJVWu3Jf/5vPxy&#10;zVlAYSuhwaqSH1Tgt/PPn2adK9QEGtCV8oyK2FB0ruQNoiuyLMhGGRFG4JSlYA3eCCTXb7PKi46q&#10;G51N8vxr1oGvnAepQqDb+yHI56l+XSuJj3UdFDJdcpoN0+nTuYlnNp+JYuuFa1p5HEP8wxRGtJaa&#10;nkvdCxRs59s/SplWeghQ40iCyaCuW6nSDrTNOP+wzboRTqVdCJzgzjCF/1dWPuzX7skz7L9BTwRG&#10;QDoXikCXcZ++9iZ+aVJGcYLwcIZN9chk/Onm+uLqkkKSYhdX+SSfxjLZ69/OB/yuwLBolNwTLQkt&#10;sV8FHFJPKbGZhWWrdaJG23cXVDPeZK8jRgv7Tc/a6s34G6gOtJWHgfDg5LKl1isR8El4YpimJdXi&#10;Ix21hq7kcLQ4a8D/+tt9zCfgKcpZR4opuSVJc6Z/WCIkiisZ45t8mpPnkzeZXubR25yS7M7cAYlx&#10;TO/CyWTGZNQns/ZgXkjUi9iNQsJK6llyPJl3OOiXHoVUi0VKIjE5gSu7djKWjphFQJ/7F+HdEXUk&#10;vh7gpClRfAB/yI1/BrfYIVGQmIn4DmgeYSchJm6PjyYq/a2fsl6f9vw3AAAA//8DAFBLAwQUAAYA&#10;CAAAACEAsG2ir94AAAAEAQAADwAAAGRycy9kb3ducmV2LnhtbEyPwWrDMBBE74X+g9hCLyWREzfB&#10;dS2HEAg0hx6S1ofeZGtjm1orIymO/fdVe2kuC8MMM2+zzag7NqB1rSEBi3kEDKkyqqVawOfHfpYA&#10;c16Skp0hFDChg01+f5fJVJkrHXE4+ZqFEnKpFNB436ecu6pBLd3c9EjBOxurpQ/S1lxZeQ3luuPL&#10;KFpzLVsKC43scddg9X26aAHFaJ/e9y+Ht6n8aocpOhRxci6EeHwYt6/API7+Pwy/+AEd8sBUmgsp&#10;xzoB4RH/d4MXL5bPwEoBqyQGnmf8Fj7/AQAA//8DAFBLAQItABQABgAIAAAAIQC2gziS/gAAAOEB&#10;AAATAAAAAAAAAAAAAAAAAAAAAABbQ29udGVudF9UeXBlc10ueG1sUEsBAi0AFAAGAAgAAAAhADj9&#10;If/WAAAAlAEAAAsAAAAAAAAAAAAAAAAALwEAAF9yZWxzLy5yZWxzUEsBAi0AFAAGAAgAAAAhACa3&#10;AvQSAgAAIgQAAA4AAAAAAAAAAAAAAAAALgIAAGRycy9lMm9Eb2MueG1sUEsBAi0AFAAGAAgAAAAh&#10;ALBtoq/eAAAABAEAAA8AAAAAAAAAAAAAAAAAbAQAAGRycy9kb3ducmV2LnhtbFBLBQYAAAAABAAE&#10;APMAAAB3BQAAAAA=&#10;" filled="f" stroked="f">
              <v:textbox style="mso-fit-shape-to-text:t" inset="0,15pt,20pt,0">
                <w:txbxContent>
                  <w:p w14:paraId="7A3B84FF" w14:textId="586A11E3" w:rsidR="000A6F23" w:rsidRPr="000A6F23" w:rsidRDefault="000A6F23" w:rsidP="000A6F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A6F2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 Information from Rawbank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43822" w14:textId="646BEB2A" w:rsidR="000A6F23" w:rsidRDefault="000A6F2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298C44" wp14:editId="71CE327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983740" cy="370205"/>
              <wp:effectExtent l="0" t="0" r="0" b="10795"/>
              <wp:wrapNone/>
              <wp:docPr id="1749816231" name="Text Box 3" descr="Public Information from Rawbank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83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97E31" w14:textId="3B7AE954" w:rsidR="000A6F23" w:rsidRPr="000A6F23" w:rsidRDefault="000A6F23" w:rsidP="000A6F2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A6F23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Public Information from Rawbank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98C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Public Information from Rawbank" style="position:absolute;margin-left:105pt;margin-top:0;width:156.2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G2FAIAACIEAAAOAAAAZHJzL2Uyb0RvYy54bWysU01v2zAMvQ/YfxB0X+y4zdoacYqsRYYB&#10;QVsgHXpWZCk2IImCpMTOfv0oOU62bqdhF5kUaX689zS/77UiB+F8C6ai00lOiTAc6tbsKvr9dfXp&#10;lhIfmKmZAiMqehSe3i8+fph3thQFNKBq4QgWMb7sbEWbEGyZZZ43QjM/ASsMBiU4zQK6bpfVjnVY&#10;XausyPPPWQeutg648B5vH4cgXaT6UgoenqX0IhBVUZwtpNOlcxvPbDFn5c4x27T8NAb7hyk0aw02&#10;PZd6ZIGRvWv/KKVb7sCDDBMOOgMpWy7SDrjNNH+3zaZhVqRdEBxvzzD5/1eWPx029sWR0H+BHgmM&#10;gHTWlx4v4z69dDp+cVKCcYTweIZN9IHw+NPd7dXNNYY4xq5u8iKfxTLZ5W/rfPgqQJNoVNQhLQkt&#10;dlj7MKSOKbGZgVWrVKJGmd8usGa8yS4jRiv02560dUWLcfwt1EfcysFAuLd81WLrNfPhhTlkGKdF&#10;1YZnPKSCrqJwsihpwP34233MR+AxSkmHiqmoQUlTor4ZJCSKKxnTu3yWo+eSV8yu8+htxySz1w+A&#10;Ypziu7A8mTE5qNGUDvQbinoZu2GIGY49KxpG8yEM+sVHwcVymZJQTJaFtdlYHktHzCKgr/0bc/aE&#10;ekC+nmDUFCvfgT/kxj+9Xe4DUpCYifgOaJ5gRyEmbk+PJir9Vz9lXZ724icAAAD//wMAUEsDBBQA&#10;BgAIAAAAIQCwbaKv3gAAAAQBAAAPAAAAZHJzL2Rvd25yZXYueG1sTI/BasMwEETvhf6D2EIvJZET&#10;N8F1LYcQCDSHHpLWh95ka2ObWisjKY7991V7aS4Lwwwzb7PNqDs2oHWtIQGLeQQMqTKqpVrA58d+&#10;lgBzXpKSnSEUMKGDTX5/l8lUmSsdcTj5moUScqkU0Hjfp5y7qkEt3dz0SME7G6ulD9LWXFl5DeW6&#10;48soWnMtWwoLjexx12D1fbpoAcVon973L4e3qfxqhyk6FHFyLoR4fBi3r8A8jv4/DL/4AR3ywFSa&#10;CynHOgHhEf93gxcvls/ASgGrJAaeZ/wWPv8BAAD//wMAUEsBAi0AFAAGAAgAAAAhALaDOJL+AAAA&#10;4QEAABMAAAAAAAAAAAAAAAAAAAAAAFtDb250ZW50X1R5cGVzXS54bWxQSwECLQAUAAYACAAAACEA&#10;OP0h/9YAAACUAQAACwAAAAAAAAAAAAAAAAAvAQAAX3JlbHMvLnJlbHNQSwECLQAUAAYACAAAACEA&#10;dyHxthQCAAAiBAAADgAAAAAAAAAAAAAAAAAuAgAAZHJzL2Uyb0RvYy54bWxQSwECLQAUAAYACAAA&#10;ACEAsG2ir94AAAAEAQAADwAAAAAAAAAAAAAAAABuBAAAZHJzL2Rvd25yZXYueG1sUEsFBgAAAAAE&#10;AAQA8wAAAHkFAAAAAA==&#10;" filled="f" stroked="f">
              <v:textbox style="mso-fit-shape-to-text:t" inset="0,15pt,20pt,0">
                <w:txbxContent>
                  <w:p w14:paraId="41497E31" w14:textId="3B7AE954" w:rsidR="000A6F23" w:rsidRPr="000A6F23" w:rsidRDefault="000A6F23" w:rsidP="000A6F2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A6F23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Public Information from Rawbank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AC0"/>
    <w:multiLevelType w:val="multilevel"/>
    <w:tmpl w:val="90E2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1F5FA0"/>
    <w:multiLevelType w:val="multilevel"/>
    <w:tmpl w:val="775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18298B"/>
    <w:multiLevelType w:val="multilevel"/>
    <w:tmpl w:val="E8C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545686">
    <w:abstractNumId w:val="2"/>
  </w:num>
  <w:num w:numId="2" w16cid:durableId="2035616821">
    <w:abstractNumId w:val="1"/>
  </w:num>
  <w:num w:numId="3" w16cid:durableId="91050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50"/>
    <w:rsid w:val="000A6F23"/>
    <w:rsid w:val="000F777C"/>
    <w:rsid w:val="00125DA5"/>
    <w:rsid w:val="0013340F"/>
    <w:rsid w:val="00201D50"/>
    <w:rsid w:val="00223D50"/>
    <w:rsid w:val="00256CC2"/>
    <w:rsid w:val="002A6225"/>
    <w:rsid w:val="002B1DF0"/>
    <w:rsid w:val="0044083A"/>
    <w:rsid w:val="004C785F"/>
    <w:rsid w:val="004D53AB"/>
    <w:rsid w:val="00587572"/>
    <w:rsid w:val="005D5698"/>
    <w:rsid w:val="00607F97"/>
    <w:rsid w:val="0065557C"/>
    <w:rsid w:val="006B5D8D"/>
    <w:rsid w:val="00782770"/>
    <w:rsid w:val="00942659"/>
    <w:rsid w:val="00956FE3"/>
    <w:rsid w:val="00997D0E"/>
    <w:rsid w:val="009A29E7"/>
    <w:rsid w:val="009B4647"/>
    <w:rsid w:val="009D1F22"/>
    <w:rsid w:val="009F031E"/>
    <w:rsid w:val="00A43AEB"/>
    <w:rsid w:val="00AB4108"/>
    <w:rsid w:val="00B9275D"/>
    <w:rsid w:val="00BA0DD4"/>
    <w:rsid w:val="00C35303"/>
    <w:rsid w:val="00CD3CA0"/>
    <w:rsid w:val="00DA7CCE"/>
    <w:rsid w:val="00E475FB"/>
    <w:rsid w:val="00E57C85"/>
    <w:rsid w:val="00EF0C2D"/>
    <w:rsid w:val="00FA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FB99169"/>
  <w15:chartTrackingRefBased/>
  <w15:docId w15:val="{AD2E3E37-82F6-48E2-8351-BCA8BEF6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D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6F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78ce356-74c2-4e25-add9-283ecce2ac1d}" enabled="1" method="Privileged" siteId="{42156718-6915-4446-a641-5428427cbb48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Susanta Kumar</dc:creator>
  <cp:keywords/>
  <dc:description/>
  <cp:lastModifiedBy>Susanta Kumar</cp:lastModifiedBy>
  <cp:revision>2</cp:revision>
  <dcterms:created xsi:type="dcterms:W3CDTF">2025-05-30T10:34:00Z</dcterms:created>
  <dcterms:modified xsi:type="dcterms:W3CDTF">2025-05-30T10:34:00Z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684c13a7,47501e33,5f67eafd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Public Information from Rawbank</vt:lpwstr>
  </property>
</Properties>
</file>