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02A41">
        <w:rPr>
          <w:rFonts w:ascii="Gill Sans MT" w:hAnsi="Gill Sans MT"/>
          <w:b/>
          <w:color w:val="auto"/>
          <w:sz w:val="32"/>
        </w:rPr>
        <w:t xml:space="preserve">Annex G: </w:t>
      </w:r>
      <w:bookmarkStart w:id="0" w:name="_GoBack"/>
      <w:bookmarkEnd w:id="0"/>
      <w:r w:rsidR="00B260B4">
        <w:rPr>
          <w:rFonts w:ascii="Gill Sans MT" w:hAnsi="Gill Sans MT"/>
          <w:b/>
          <w:color w:val="auto"/>
          <w:sz w:val="32"/>
        </w:rPr>
        <w:t>Using</w:t>
      </w:r>
      <w:r w:rsidR="002C20C6" w:rsidRPr="007740F4">
        <w:rPr>
          <w:rFonts w:ascii="Gill Sans MT" w:hAnsi="Gill Sans MT"/>
          <w:b/>
          <w:color w:val="auto"/>
          <w:sz w:val="32"/>
        </w:rPr>
        <w:t xml:space="preserve"> the Pratt Pouch</w:t>
      </w:r>
      <w:r w:rsidR="00AB414B">
        <w:rPr>
          <w:rFonts w:ascii="Gill Sans MT" w:hAnsi="Gill Sans MT"/>
          <w:b/>
          <w:color w:val="auto"/>
          <w:sz w:val="32"/>
        </w:rPr>
        <w:t xml:space="preserve"> </w:t>
      </w:r>
      <w:r w:rsidR="007622CF">
        <w:rPr>
          <w:rFonts w:ascii="Gill Sans MT" w:hAnsi="Gill Sans MT"/>
          <w:b/>
          <w:color w:val="auto"/>
          <w:sz w:val="32"/>
        </w:rPr>
        <w:t xml:space="preserve">in the </w:t>
      </w:r>
      <w:r w:rsidR="00AB414B">
        <w:rPr>
          <w:rFonts w:ascii="Gill Sans MT" w:hAnsi="Gill Sans MT"/>
          <w:b/>
          <w:color w:val="auto"/>
          <w:sz w:val="32"/>
        </w:rPr>
        <w:t>Community</w:t>
      </w:r>
      <w:r w:rsidR="004E3A24" w:rsidRPr="007740F4">
        <w:rPr>
          <w:rFonts w:ascii="Gill Sans MT" w:hAnsi="Gill Sans MT"/>
          <w:b/>
          <w:color w:val="auto"/>
          <w:sz w:val="32"/>
        </w:rPr>
        <w:t xml:space="preserve">: </w:t>
      </w:r>
      <w:r w:rsidR="00AB414B">
        <w:rPr>
          <w:rFonts w:ascii="Gill Sans MT" w:hAnsi="Gill Sans MT"/>
          <w:b/>
          <w:color w:val="auto"/>
          <w:sz w:val="32"/>
        </w:rPr>
        <w:br/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EF08D5" w:rsidRPr="00AB2421" w:rsidTr="00603C6A">
        <w:trPr>
          <w:gridAfter w:val="3"/>
          <w:wAfter w:w="2970" w:type="dxa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603C6A">
        <w:tc>
          <w:tcPr>
            <w:tcW w:w="782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 w:rsidRPr="00EF08D5"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Pouch</w:t>
            </w:r>
            <w:r>
              <w:rPr>
                <w:rFonts w:ascii="Arial" w:hAnsi="Arial"/>
                <w:b/>
                <w:sz w:val="24"/>
                <w:szCs w:val="20"/>
              </w:rPr>
              <w:br/>
            </w:r>
            <w:r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603C6A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6E15F9" w:rsidRDefault="00EF08D5" w:rsidP="00CF532F">
            <w:pPr>
              <w:pStyle w:val="lgnumber"/>
              <w:rPr>
                <w:rFonts w:ascii="Arial Unicode MS" w:hAnsi="Arial Unicode MS"/>
                <w:position w:val="-2"/>
                <w:sz w:val="20"/>
              </w:rPr>
            </w:pPr>
            <w:r w:rsidRPr="00AB2421">
              <w:t xml:space="preserve">1. </w:t>
            </w:r>
            <w:r w:rsidRPr="006E15F9">
              <w:t>Assemble equipment and supplies:</w:t>
            </w:r>
          </w:p>
          <w:p w:rsidR="006E15F9" w:rsidRPr="004E3A24" w:rsidRDefault="00EF08D5" w:rsidP="006E15F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9C5CE9" w:rsidRPr="004E3A24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  <w:r w:rsidR="004E3A24">
              <w:rPr>
                <w:rFonts w:ascii="Arial" w:hAnsi="Arial" w:cs="Arial"/>
                <w:color w:val="auto"/>
                <w:sz w:val="21"/>
                <w:szCs w:val="21"/>
              </w:rPr>
              <w:t>5</w:t>
            </w:r>
            <w:r w:rsidR="008170B6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Filled/sealed Pouches</w:t>
            </w:r>
          </w:p>
          <w:p w:rsidR="00C23EFD" w:rsidRPr="004E3A24" w:rsidRDefault="008170B6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234DEF" w:rsidRPr="004E3A24">
              <w:rPr>
                <w:rFonts w:ascii="Arial" w:hAnsi="Arial" w:cs="Arial"/>
                <w:color w:val="auto"/>
                <w:sz w:val="21"/>
                <w:szCs w:val="21"/>
              </w:rPr>
              <w:t>Specimen c</w:t>
            </w: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>up</w:t>
            </w:r>
            <w:r w:rsidR="00EF08D5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 </w:t>
            </w:r>
          </w:p>
          <w:p w:rsidR="00B260B4" w:rsidRPr="004E3A24" w:rsidRDefault="00C23EFD" w:rsidP="00B260B4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EF08D5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Tissues </w:t>
            </w:r>
          </w:p>
          <w:p w:rsidR="003100B9" w:rsidRPr="004E3A24" w:rsidRDefault="003100B9" w:rsidP="003100B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Printed instructions for mother</w:t>
            </w:r>
          </w:p>
          <w:p w:rsidR="003100B9" w:rsidRPr="004E3A24" w:rsidRDefault="003100B9" w:rsidP="00271038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0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Provision of Pratt Pouch Register</w:t>
            </w:r>
          </w:p>
          <w:p w:rsidR="00EF08D5" w:rsidRPr="00AB2421" w:rsidRDefault="00EF08D5" w:rsidP="00B260B4">
            <w:pPr>
              <w:pStyle w:val="Bullettextindent"/>
              <w:numPr>
                <w:ilvl w:val="0"/>
                <w:numId w:val="0"/>
              </w:numPr>
              <w:spacing w:after="0" w:line="276" w:lineRule="auto"/>
              <w:ind w:left="624" w:hanging="284"/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8170B6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 w:rsidR="008170B6"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23EFD">
            <w:pPr>
              <w:pStyle w:val="lgnumber"/>
            </w:pPr>
            <w:r>
              <w:t>2.</w:t>
            </w:r>
            <w:r w:rsidRPr="00AB2421">
              <w:t xml:space="preserve">1. </w:t>
            </w:r>
            <w:r w:rsidR="00C23EFD">
              <w:t>Wash and dry hands</w:t>
            </w:r>
            <w:r>
              <w:t>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EF08D5" w:rsidP="008704E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 xml:space="preserve">2.2. </w:t>
            </w:r>
            <w:r w:rsidR="008704E3">
              <w:rPr>
                <w:szCs w:val="21"/>
              </w:rPr>
              <w:t xml:space="preserve">Place baby on his/her back. </w:t>
            </w:r>
            <w:r w:rsidR="008704E3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5C7B95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3:</w:t>
            </w:r>
            <w:r w:rsidRPr="00935A57">
              <w:rPr>
                <w:b/>
                <w:sz w:val="24"/>
              </w:rPr>
              <w:t xml:space="preserve"> </w:t>
            </w:r>
            <w:r w:rsidR="005C7B95">
              <w:rPr>
                <w:b/>
              </w:rPr>
              <w:t>Using</w:t>
            </w:r>
            <w:r>
              <w:rPr>
                <w:b/>
              </w:rPr>
              <w:t xml:space="preserve">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3.1</w:t>
            </w:r>
            <w:r w:rsidR="008170B6">
              <w:rPr>
                <w:szCs w:val="21"/>
              </w:rPr>
              <w:t>. Squeeze medicine into bottom of pouch, away from the notches.</w:t>
            </w:r>
            <w:r w:rsidR="008170B6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8170B6">
              <w:rPr>
                <w:szCs w:val="21"/>
              </w:rPr>
              <w:t>. Firmly grasp pouch with one hand on one side of notch and the other hand on other side of notch.</w:t>
            </w:r>
          </w:p>
          <w:p w:rsidR="008170B6" w:rsidRPr="00935A57" w:rsidRDefault="008170B6" w:rsidP="008170B6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3.3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3.4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3.5</w:t>
            </w:r>
            <w:r w:rsidR="008170B6">
              <w:rPr>
                <w:rFonts w:ascii="Arial" w:hAnsi="Arial" w:cs="Arial"/>
                <w:sz w:val="21"/>
                <w:szCs w:val="21"/>
              </w:rPr>
              <w:t>. With other hand, hold pouch just above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3.6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Slide fingers from bottom of pouch toward opening, slowly squeezing medicine into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4E3A24">
              <w:rPr>
                <w:rFonts w:ascii="Arial" w:hAnsi="Arial" w:cs="Arial"/>
                <w:sz w:val="21"/>
                <w:szCs w:val="21"/>
              </w:rPr>
              <w:t>and allowing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7622CF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3.7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Ensure baby </w:t>
            </w:r>
            <w:r w:rsidR="00D92C2C">
              <w:rPr>
                <w:rFonts w:ascii="Arial" w:hAnsi="Arial" w:cs="Arial"/>
                <w:sz w:val="21"/>
                <w:szCs w:val="21"/>
              </w:rPr>
              <w:t xml:space="preserve">(cup) </w:t>
            </w:r>
            <w:r w:rsidR="008170B6">
              <w:rPr>
                <w:rFonts w:ascii="Arial" w:hAnsi="Arial" w:cs="Arial"/>
                <w:sz w:val="21"/>
                <w:szCs w:val="21"/>
              </w:rPr>
              <w:t>receives sufficient amount of medicine</w:t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by emptying the pouch 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3100B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3.8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3100B9">
              <w:rPr>
                <w:rFonts w:ascii="Arial" w:hAnsi="Arial" w:cs="Arial"/>
                <w:sz w:val="21"/>
                <w:szCs w:val="21"/>
              </w:rPr>
              <w:t>Place used pouch in second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100B9">
              <w:rPr>
                <w:rFonts w:ascii="Arial" w:hAnsi="Arial" w:cs="Arial"/>
                <w:sz w:val="21"/>
                <w:szCs w:val="21"/>
              </w:rPr>
              <w:t>bag provided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for return to </w:t>
            </w:r>
            <w:r w:rsidR="007622CF">
              <w:rPr>
                <w:rFonts w:ascii="Arial" w:hAnsi="Arial" w:cs="Arial"/>
                <w:sz w:val="21"/>
                <w:szCs w:val="21"/>
              </w:rPr>
              <w:t>IntraHealth.</w:t>
            </w:r>
            <w:r w:rsidR="004E3A24">
              <w:rPr>
                <w:rFonts w:ascii="Arial" w:hAnsi="Arial" w:cs="Arial"/>
                <w:sz w:val="21"/>
                <w:szCs w:val="21"/>
              </w:rPr>
              <w:t xml:space="preserve">  Unused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3.9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 w:rsidR="008170B6">
              <w:rPr>
                <w:rFonts w:ascii="Arial" w:hAnsi="Arial" w:cs="Arial"/>
                <w:sz w:val="21"/>
                <w:szCs w:val="21"/>
              </w:rPr>
              <w:br/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="008170B6">
              <w:rPr>
                <w:rFonts w:ascii="Arial" w:hAnsi="Arial" w:cs="Arial"/>
                <w:sz w:val="21"/>
                <w:szCs w:val="21"/>
              </w:rPr>
              <w:t>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8071B" w:rsidRDefault="0098071B"/>
    <w:sectPr w:rsidR="0098071B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E1E4F"/>
    <w:multiLevelType w:val="hybridMultilevel"/>
    <w:tmpl w:val="DC60FEC6"/>
    <w:lvl w:ilvl="0" w:tplc="E0AA7ED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5730B"/>
    <w:rsid w:val="00074E1D"/>
    <w:rsid w:val="000A2919"/>
    <w:rsid w:val="000C462B"/>
    <w:rsid w:val="000D0720"/>
    <w:rsid w:val="00151662"/>
    <w:rsid w:val="00153078"/>
    <w:rsid w:val="00181F84"/>
    <w:rsid w:val="001C013F"/>
    <w:rsid w:val="00234DEF"/>
    <w:rsid w:val="00271038"/>
    <w:rsid w:val="002C20C6"/>
    <w:rsid w:val="002C3030"/>
    <w:rsid w:val="002F6D4C"/>
    <w:rsid w:val="003100B9"/>
    <w:rsid w:val="00453AA9"/>
    <w:rsid w:val="004717DB"/>
    <w:rsid w:val="004E3A24"/>
    <w:rsid w:val="005765D4"/>
    <w:rsid w:val="005C7B95"/>
    <w:rsid w:val="005D477E"/>
    <w:rsid w:val="00603C6A"/>
    <w:rsid w:val="0067189F"/>
    <w:rsid w:val="006E15F9"/>
    <w:rsid w:val="007622CF"/>
    <w:rsid w:val="00762F52"/>
    <w:rsid w:val="007740F4"/>
    <w:rsid w:val="007A7BBE"/>
    <w:rsid w:val="00806055"/>
    <w:rsid w:val="008170B6"/>
    <w:rsid w:val="008704E3"/>
    <w:rsid w:val="00884604"/>
    <w:rsid w:val="00935A57"/>
    <w:rsid w:val="00936DCE"/>
    <w:rsid w:val="0098071B"/>
    <w:rsid w:val="009C5CE9"/>
    <w:rsid w:val="009E4276"/>
    <w:rsid w:val="00A45B6B"/>
    <w:rsid w:val="00A85507"/>
    <w:rsid w:val="00AA1DA7"/>
    <w:rsid w:val="00AB414B"/>
    <w:rsid w:val="00B260B4"/>
    <w:rsid w:val="00B77864"/>
    <w:rsid w:val="00B933ED"/>
    <w:rsid w:val="00BF691C"/>
    <w:rsid w:val="00C02A41"/>
    <w:rsid w:val="00C23EFD"/>
    <w:rsid w:val="00C92C57"/>
    <w:rsid w:val="00CF532F"/>
    <w:rsid w:val="00D92C2C"/>
    <w:rsid w:val="00DF6E74"/>
    <w:rsid w:val="00E0597A"/>
    <w:rsid w:val="00E94A27"/>
    <w:rsid w:val="00EF08D5"/>
    <w:rsid w:val="00F27731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8</cp:revision>
  <cp:lastPrinted>2013-11-11T20:17:00Z</cp:lastPrinted>
  <dcterms:created xsi:type="dcterms:W3CDTF">2013-10-31T16:16:00Z</dcterms:created>
  <dcterms:modified xsi:type="dcterms:W3CDTF">2013-11-11T20:17:00Z</dcterms:modified>
</cp:coreProperties>
</file>