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3877" w14:textId="77777777" w:rsidR="00435FB1" w:rsidRDefault="00435FB1">
      <w:pPr>
        <w:widowControl/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47E2F3" w14:textId="77777777" w:rsidR="00435FB1" w:rsidRDefault="00000000">
      <w:pPr>
        <w:widowControl/>
        <w:spacing w:line="276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Model Development Phase Template</w:t>
      </w:r>
    </w:p>
    <w:p w14:paraId="6CDA8D8B" w14:textId="77777777" w:rsidR="00435FB1" w:rsidRDefault="00435FB1">
      <w:pPr>
        <w:widowControl/>
        <w:spacing w:after="160" w:line="276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35FB1" w14:paraId="3267B26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504B6" w14:textId="77777777" w:rsidR="00435F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26D4A" w14:textId="2D5C04E7" w:rsidR="00435FB1" w:rsidRDefault="005C76A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June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435FB1" w14:paraId="40B1661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429CE" w14:textId="77777777" w:rsidR="00435F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49E80" w14:textId="69F42BEF" w:rsidR="00435FB1" w:rsidRDefault="005C7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C76A6">
              <w:rPr>
                <w:rFonts w:ascii="Times New Roman" w:eastAsia="Times New Roman" w:hAnsi="Times New Roman" w:cs="Times New Roman"/>
                <w:sz w:val="24"/>
                <w:szCs w:val="24"/>
              </w:rPr>
              <w:t>SWTID1749709268</w:t>
            </w:r>
          </w:p>
        </w:tc>
      </w:tr>
      <w:tr w:rsidR="00435FB1" w14:paraId="52C2E51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69F80" w14:textId="77777777" w:rsidR="00435F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1EA36" w14:textId="2EE28F1E" w:rsidR="00435FB1" w:rsidRDefault="005C76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Credit Card Approval Prediction</w:t>
            </w:r>
          </w:p>
        </w:tc>
      </w:tr>
      <w:tr w:rsidR="00435FB1" w14:paraId="6E623DF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ABA02" w14:textId="77777777" w:rsidR="00435F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EA9BA" w14:textId="77777777" w:rsidR="00435FB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49EF9D5F" w14:textId="77777777" w:rsidR="00435FB1" w:rsidRDefault="00435FB1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75165D" w14:textId="77777777" w:rsidR="00435FB1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Feature Selection Report Template</w:t>
      </w:r>
    </w:p>
    <w:p w14:paraId="0EE7A0E4" w14:textId="77777777" w:rsidR="00435FB1" w:rsidRDefault="00000000">
      <w:pPr>
        <w:widowControl/>
        <w:spacing w:after="16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the forthcoming update, each feature will be accompanied by a brief description. Users will indicate whether it's selected or not, providing reasoning for their decision. This process will streamline decision-making and enhance transparency in feature selection.</w:t>
      </w:r>
    </w:p>
    <w:p w14:paraId="6713F9A8" w14:textId="77777777" w:rsidR="00435FB1" w:rsidRDefault="00435FB1">
      <w:pPr>
        <w:widowControl/>
        <w:spacing w:after="16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3"/>
        <w:gridCol w:w="2113"/>
        <w:gridCol w:w="1223"/>
        <w:gridCol w:w="2851"/>
      </w:tblGrid>
      <w:tr w:rsidR="005C76A6" w:rsidRPr="005C76A6" w14:paraId="1376DBFD" w14:textId="77777777" w:rsidTr="005C76A6">
        <w:tc>
          <w:tcPr>
            <w:tcW w:w="0" w:type="auto"/>
            <w:hideMark/>
          </w:tcPr>
          <w:p w14:paraId="0F75F28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3AE51A80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02367FF6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Selected (Yes/No)</w:t>
            </w:r>
          </w:p>
        </w:tc>
        <w:tc>
          <w:tcPr>
            <w:tcW w:w="0" w:type="auto"/>
            <w:hideMark/>
          </w:tcPr>
          <w:p w14:paraId="7FD7C393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Reasoning</w:t>
            </w:r>
          </w:p>
        </w:tc>
      </w:tr>
      <w:tr w:rsidR="005C76A6" w:rsidRPr="005C76A6" w14:paraId="69C6B64B" w14:textId="77777777" w:rsidTr="005C76A6">
        <w:tc>
          <w:tcPr>
            <w:tcW w:w="0" w:type="auto"/>
            <w:hideMark/>
          </w:tcPr>
          <w:p w14:paraId="51E22D95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CODE_GENDER</w:t>
            </w:r>
          </w:p>
        </w:tc>
        <w:tc>
          <w:tcPr>
            <w:tcW w:w="0" w:type="auto"/>
            <w:hideMark/>
          </w:tcPr>
          <w:p w14:paraId="6CFBA191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Gender of the applicant (Male/Female)</w:t>
            </w:r>
          </w:p>
        </w:tc>
        <w:tc>
          <w:tcPr>
            <w:tcW w:w="0" w:type="auto"/>
            <w:hideMark/>
          </w:tcPr>
          <w:p w14:paraId="0C721BDC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0A374DB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Gender can influence risk profile and income stability patterns in some scoring models.</w:t>
            </w:r>
          </w:p>
        </w:tc>
      </w:tr>
      <w:tr w:rsidR="005C76A6" w:rsidRPr="005C76A6" w14:paraId="6A3B50C6" w14:textId="77777777" w:rsidTr="005C76A6">
        <w:tc>
          <w:tcPr>
            <w:tcW w:w="0" w:type="auto"/>
            <w:hideMark/>
          </w:tcPr>
          <w:p w14:paraId="074C590E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FLAG_OWN_CAR</w:t>
            </w:r>
          </w:p>
        </w:tc>
        <w:tc>
          <w:tcPr>
            <w:tcW w:w="0" w:type="auto"/>
            <w:hideMark/>
          </w:tcPr>
          <w:p w14:paraId="17012097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Whether the applicant owns a car</w:t>
            </w:r>
          </w:p>
        </w:tc>
        <w:tc>
          <w:tcPr>
            <w:tcW w:w="0" w:type="auto"/>
            <w:hideMark/>
          </w:tcPr>
          <w:p w14:paraId="214C04AB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7C5BD65B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Ownership of assets like a car may indicate financial stability and creditworthiness.</w:t>
            </w:r>
          </w:p>
        </w:tc>
      </w:tr>
      <w:tr w:rsidR="005C76A6" w:rsidRPr="005C76A6" w14:paraId="40C4C822" w14:textId="77777777" w:rsidTr="005C76A6">
        <w:tc>
          <w:tcPr>
            <w:tcW w:w="0" w:type="auto"/>
            <w:hideMark/>
          </w:tcPr>
          <w:p w14:paraId="0096B58B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FLAG_OWN_REALTY</w:t>
            </w:r>
          </w:p>
        </w:tc>
        <w:tc>
          <w:tcPr>
            <w:tcW w:w="0" w:type="auto"/>
            <w:hideMark/>
          </w:tcPr>
          <w:p w14:paraId="30BF4168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Whether the applicant owns property</w:t>
            </w:r>
          </w:p>
        </w:tc>
        <w:tc>
          <w:tcPr>
            <w:tcW w:w="0" w:type="auto"/>
            <w:hideMark/>
          </w:tcPr>
          <w:p w14:paraId="343CF731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21E3F1ED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Real estate ownership is a strong indicator of long-term asset value and stability.</w:t>
            </w:r>
          </w:p>
        </w:tc>
      </w:tr>
      <w:tr w:rsidR="005C76A6" w:rsidRPr="005C76A6" w14:paraId="702206EB" w14:textId="77777777" w:rsidTr="005C76A6">
        <w:tc>
          <w:tcPr>
            <w:tcW w:w="0" w:type="auto"/>
            <w:hideMark/>
          </w:tcPr>
          <w:p w14:paraId="583E96EE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CNT_CHILDREN</w:t>
            </w:r>
          </w:p>
        </w:tc>
        <w:tc>
          <w:tcPr>
            <w:tcW w:w="0" w:type="auto"/>
            <w:hideMark/>
          </w:tcPr>
          <w:p w14:paraId="7431110F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Number of children the applicant has</w:t>
            </w:r>
          </w:p>
        </w:tc>
        <w:tc>
          <w:tcPr>
            <w:tcW w:w="0" w:type="auto"/>
            <w:hideMark/>
          </w:tcPr>
          <w:p w14:paraId="19685C2C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53A4B0DE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Dropped to reduce noise; may not directly influence credit approval decisions in this dataset.</w:t>
            </w:r>
          </w:p>
        </w:tc>
      </w:tr>
      <w:tr w:rsidR="005C76A6" w:rsidRPr="005C76A6" w14:paraId="38711561" w14:textId="77777777" w:rsidTr="005C76A6">
        <w:tc>
          <w:tcPr>
            <w:tcW w:w="0" w:type="auto"/>
            <w:hideMark/>
          </w:tcPr>
          <w:p w14:paraId="64705024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AMT_INCOME_TOTAL</w:t>
            </w:r>
          </w:p>
        </w:tc>
        <w:tc>
          <w:tcPr>
            <w:tcW w:w="0" w:type="auto"/>
            <w:hideMark/>
          </w:tcPr>
          <w:p w14:paraId="43BF6F23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Total annual income of the applicant</w:t>
            </w:r>
          </w:p>
        </w:tc>
        <w:tc>
          <w:tcPr>
            <w:tcW w:w="0" w:type="auto"/>
            <w:hideMark/>
          </w:tcPr>
          <w:p w14:paraId="2217676F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76E7DF5E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A direct indicator of the applicant's repayment ability and financial status.</w:t>
            </w:r>
          </w:p>
        </w:tc>
      </w:tr>
      <w:tr w:rsidR="005C76A6" w:rsidRPr="005C76A6" w14:paraId="51F339E4" w14:textId="77777777" w:rsidTr="005C76A6">
        <w:tc>
          <w:tcPr>
            <w:tcW w:w="0" w:type="auto"/>
            <w:hideMark/>
          </w:tcPr>
          <w:p w14:paraId="654E0A5F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NAME_INCOME_TYPE</w:t>
            </w:r>
          </w:p>
        </w:tc>
        <w:tc>
          <w:tcPr>
            <w:tcW w:w="0" w:type="auto"/>
            <w:hideMark/>
          </w:tcPr>
          <w:p w14:paraId="7DF0BA1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Type of income source (e.g., Working, Pensioner)</w:t>
            </w:r>
          </w:p>
        </w:tc>
        <w:tc>
          <w:tcPr>
            <w:tcW w:w="0" w:type="auto"/>
            <w:hideMark/>
          </w:tcPr>
          <w:p w14:paraId="171F4365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2569411A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 xml:space="preserve">Determines income stability and risk; key feature in risk </w:t>
            </w:r>
            <w:proofErr w:type="spellStart"/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modeling</w:t>
            </w:r>
            <w:proofErr w:type="spellEnd"/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</w:tc>
      </w:tr>
      <w:tr w:rsidR="005C76A6" w:rsidRPr="005C76A6" w14:paraId="433EDE50" w14:textId="77777777" w:rsidTr="005C76A6">
        <w:tc>
          <w:tcPr>
            <w:tcW w:w="0" w:type="auto"/>
            <w:hideMark/>
          </w:tcPr>
          <w:p w14:paraId="7B00C98C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NAME_EDUCATION_TYPE</w:t>
            </w:r>
          </w:p>
        </w:tc>
        <w:tc>
          <w:tcPr>
            <w:tcW w:w="0" w:type="auto"/>
            <w:hideMark/>
          </w:tcPr>
          <w:p w14:paraId="68410B60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Highest education level</w:t>
            </w:r>
          </w:p>
        </w:tc>
        <w:tc>
          <w:tcPr>
            <w:tcW w:w="0" w:type="auto"/>
            <w:hideMark/>
          </w:tcPr>
          <w:p w14:paraId="225E441C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5679EAC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Education level often correlates with earning potential and job stability.</w:t>
            </w:r>
          </w:p>
        </w:tc>
      </w:tr>
      <w:tr w:rsidR="005C76A6" w:rsidRPr="005C76A6" w14:paraId="4179F38C" w14:textId="77777777" w:rsidTr="005C76A6">
        <w:tc>
          <w:tcPr>
            <w:tcW w:w="0" w:type="auto"/>
            <w:hideMark/>
          </w:tcPr>
          <w:p w14:paraId="5DE374E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NAME_FAMILY_STATUS</w:t>
            </w:r>
          </w:p>
        </w:tc>
        <w:tc>
          <w:tcPr>
            <w:tcW w:w="0" w:type="auto"/>
            <w:hideMark/>
          </w:tcPr>
          <w:p w14:paraId="7A07E96D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Marital status of the applicant</w:t>
            </w:r>
          </w:p>
        </w:tc>
        <w:tc>
          <w:tcPr>
            <w:tcW w:w="0" w:type="auto"/>
            <w:hideMark/>
          </w:tcPr>
          <w:p w14:paraId="1C92E6F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4AB29E91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Marital status can influence financial responsibilities and household income dynamics.</w:t>
            </w:r>
          </w:p>
        </w:tc>
      </w:tr>
      <w:tr w:rsidR="005C76A6" w:rsidRPr="005C76A6" w14:paraId="0BD382EA" w14:textId="77777777" w:rsidTr="005C76A6">
        <w:tc>
          <w:tcPr>
            <w:tcW w:w="0" w:type="auto"/>
            <w:hideMark/>
          </w:tcPr>
          <w:p w14:paraId="7E8117A6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NAME_HOUSING_TYPE</w:t>
            </w:r>
          </w:p>
        </w:tc>
        <w:tc>
          <w:tcPr>
            <w:tcW w:w="0" w:type="auto"/>
            <w:hideMark/>
          </w:tcPr>
          <w:p w14:paraId="39753AAF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Type of housing the applicant lives in</w:t>
            </w:r>
          </w:p>
        </w:tc>
        <w:tc>
          <w:tcPr>
            <w:tcW w:w="0" w:type="auto"/>
            <w:hideMark/>
          </w:tcPr>
          <w:p w14:paraId="61591D5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32C6B326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Indicates housing security; helps in understanding fixed living costs.</w:t>
            </w:r>
          </w:p>
        </w:tc>
      </w:tr>
      <w:tr w:rsidR="005C76A6" w:rsidRPr="005C76A6" w14:paraId="5D34C125" w14:textId="77777777" w:rsidTr="005C76A6">
        <w:tc>
          <w:tcPr>
            <w:tcW w:w="0" w:type="auto"/>
            <w:hideMark/>
          </w:tcPr>
          <w:p w14:paraId="4C51F0C5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DAYS_BIRTH</w:t>
            </w:r>
          </w:p>
        </w:tc>
        <w:tc>
          <w:tcPr>
            <w:tcW w:w="0" w:type="auto"/>
            <w:hideMark/>
          </w:tcPr>
          <w:p w14:paraId="7E8EA46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Age of the applicant (converted from days)</w:t>
            </w:r>
          </w:p>
        </w:tc>
        <w:tc>
          <w:tcPr>
            <w:tcW w:w="0" w:type="auto"/>
            <w:hideMark/>
          </w:tcPr>
          <w:p w14:paraId="4145363E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73EBF1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Age influences risk—very young or old applicants may have different approval patterns.</w:t>
            </w:r>
          </w:p>
        </w:tc>
      </w:tr>
      <w:tr w:rsidR="005C76A6" w:rsidRPr="005C76A6" w14:paraId="5D9F8C88" w14:textId="77777777" w:rsidTr="005C76A6">
        <w:tc>
          <w:tcPr>
            <w:tcW w:w="0" w:type="auto"/>
            <w:hideMark/>
          </w:tcPr>
          <w:p w14:paraId="4BE29DB4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DAYS_EMPLOYED</w:t>
            </w:r>
          </w:p>
        </w:tc>
        <w:tc>
          <w:tcPr>
            <w:tcW w:w="0" w:type="auto"/>
            <w:hideMark/>
          </w:tcPr>
          <w:p w14:paraId="4FC8E67F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Duration of employment (in days, converted to years)</w:t>
            </w:r>
          </w:p>
        </w:tc>
        <w:tc>
          <w:tcPr>
            <w:tcW w:w="0" w:type="auto"/>
            <w:hideMark/>
          </w:tcPr>
          <w:p w14:paraId="693F6363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3FD4B138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Longer employment generally suggests more stable income and better creditworthiness.</w:t>
            </w:r>
          </w:p>
        </w:tc>
      </w:tr>
      <w:tr w:rsidR="005C76A6" w:rsidRPr="005C76A6" w14:paraId="546907E8" w14:textId="77777777" w:rsidTr="005C76A6">
        <w:tc>
          <w:tcPr>
            <w:tcW w:w="0" w:type="auto"/>
            <w:hideMark/>
          </w:tcPr>
          <w:p w14:paraId="4CDF196B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CNT_FAM_MEMBERS</w:t>
            </w:r>
          </w:p>
        </w:tc>
        <w:tc>
          <w:tcPr>
            <w:tcW w:w="0" w:type="auto"/>
            <w:hideMark/>
          </w:tcPr>
          <w:p w14:paraId="25DEF9CF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Total number of family members</w:t>
            </w:r>
          </w:p>
        </w:tc>
        <w:tc>
          <w:tcPr>
            <w:tcW w:w="0" w:type="auto"/>
            <w:hideMark/>
          </w:tcPr>
          <w:p w14:paraId="76224F2A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1D43FDB7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May impact disposable income and financial burden; useful for understanding repayment capacity.</w:t>
            </w:r>
          </w:p>
        </w:tc>
      </w:tr>
      <w:tr w:rsidR="005C76A6" w:rsidRPr="005C76A6" w14:paraId="7B1B8321" w14:textId="77777777" w:rsidTr="005C76A6">
        <w:tc>
          <w:tcPr>
            <w:tcW w:w="0" w:type="auto"/>
            <w:hideMark/>
          </w:tcPr>
          <w:p w14:paraId="5C61327C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OCCUPATION_TYPE</w:t>
            </w:r>
          </w:p>
        </w:tc>
        <w:tc>
          <w:tcPr>
            <w:tcW w:w="0" w:type="auto"/>
            <w:hideMark/>
          </w:tcPr>
          <w:p w14:paraId="17DAABC5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Applicant’s job type</w:t>
            </w:r>
          </w:p>
        </w:tc>
        <w:tc>
          <w:tcPr>
            <w:tcW w:w="0" w:type="auto"/>
            <w:hideMark/>
          </w:tcPr>
          <w:p w14:paraId="3AFC6D8C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01036A8E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 xml:space="preserve">Dropped due to many missing values and difficulty in clean </w:t>
            </w: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encoding; introduces inconsistency.</w:t>
            </w:r>
          </w:p>
        </w:tc>
      </w:tr>
      <w:tr w:rsidR="005C76A6" w:rsidRPr="005C76A6" w14:paraId="7E1637AA" w14:textId="77777777" w:rsidTr="005C76A6">
        <w:tc>
          <w:tcPr>
            <w:tcW w:w="0" w:type="auto"/>
            <w:hideMark/>
          </w:tcPr>
          <w:p w14:paraId="6982760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FLAG_MOBIL</w:t>
            </w:r>
          </w:p>
        </w:tc>
        <w:tc>
          <w:tcPr>
            <w:tcW w:w="0" w:type="auto"/>
            <w:hideMark/>
          </w:tcPr>
          <w:p w14:paraId="4CF61B3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Whether the mobile number is provided</w:t>
            </w:r>
          </w:p>
        </w:tc>
        <w:tc>
          <w:tcPr>
            <w:tcW w:w="0" w:type="auto"/>
            <w:hideMark/>
          </w:tcPr>
          <w:p w14:paraId="187E194B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389D1AB4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Dropped due to constant or near-constant value across all entries; low information gain.</w:t>
            </w:r>
          </w:p>
        </w:tc>
      </w:tr>
      <w:tr w:rsidR="005C76A6" w:rsidRPr="005C76A6" w14:paraId="4EEA62C3" w14:textId="77777777" w:rsidTr="005C76A6">
        <w:tc>
          <w:tcPr>
            <w:tcW w:w="0" w:type="auto"/>
            <w:hideMark/>
          </w:tcPr>
          <w:p w14:paraId="35627184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FLAG_WORK_PHONE</w:t>
            </w:r>
          </w:p>
        </w:tc>
        <w:tc>
          <w:tcPr>
            <w:tcW w:w="0" w:type="auto"/>
            <w:hideMark/>
          </w:tcPr>
          <w:p w14:paraId="1CA99911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Whether the applicant provided a work phone</w:t>
            </w:r>
          </w:p>
        </w:tc>
        <w:tc>
          <w:tcPr>
            <w:tcW w:w="0" w:type="auto"/>
            <w:hideMark/>
          </w:tcPr>
          <w:p w14:paraId="3161D8EC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11CBB4F9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Low predictive power and correlation with target variable.</w:t>
            </w:r>
          </w:p>
        </w:tc>
      </w:tr>
      <w:tr w:rsidR="005C76A6" w:rsidRPr="005C76A6" w14:paraId="6093A8DF" w14:textId="77777777" w:rsidTr="005C76A6">
        <w:tc>
          <w:tcPr>
            <w:tcW w:w="0" w:type="auto"/>
            <w:hideMark/>
          </w:tcPr>
          <w:p w14:paraId="10DBB66C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FLAG_PHONE</w:t>
            </w:r>
          </w:p>
        </w:tc>
        <w:tc>
          <w:tcPr>
            <w:tcW w:w="0" w:type="auto"/>
            <w:hideMark/>
          </w:tcPr>
          <w:p w14:paraId="57F21012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Whether a phone number was provided</w:t>
            </w:r>
          </w:p>
        </w:tc>
        <w:tc>
          <w:tcPr>
            <w:tcW w:w="0" w:type="auto"/>
            <w:hideMark/>
          </w:tcPr>
          <w:p w14:paraId="7C5F5D46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718A455B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Same as above; dropped to reduce noise.</w:t>
            </w:r>
          </w:p>
        </w:tc>
      </w:tr>
      <w:tr w:rsidR="005C76A6" w:rsidRPr="005C76A6" w14:paraId="50EE289F" w14:textId="77777777" w:rsidTr="005C76A6">
        <w:tc>
          <w:tcPr>
            <w:tcW w:w="0" w:type="auto"/>
            <w:hideMark/>
          </w:tcPr>
          <w:p w14:paraId="1BC253BF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FLAG_EMAIL</w:t>
            </w:r>
          </w:p>
        </w:tc>
        <w:tc>
          <w:tcPr>
            <w:tcW w:w="0" w:type="auto"/>
            <w:hideMark/>
          </w:tcPr>
          <w:p w14:paraId="09138CF9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Whether email was provided</w:t>
            </w:r>
          </w:p>
        </w:tc>
        <w:tc>
          <w:tcPr>
            <w:tcW w:w="0" w:type="auto"/>
            <w:hideMark/>
          </w:tcPr>
          <w:p w14:paraId="4E13E3FA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C76A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  <w:t>No_</w:t>
            </w:r>
          </w:p>
        </w:tc>
        <w:tc>
          <w:tcPr>
            <w:tcW w:w="0" w:type="auto"/>
            <w:hideMark/>
          </w:tcPr>
          <w:p w14:paraId="6C1DDE83" w14:textId="77777777" w:rsidR="005C76A6" w:rsidRPr="005C76A6" w:rsidRDefault="005C76A6" w:rsidP="005C76A6">
            <w:pPr>
              <w:widowControl/>
              <w:spacing w:after="160"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IN"/>
              </w:rPr>
            </w:pPr>
          </w:p>
        </w:tc>
      </w:tr>
    </w:tbl>
    <w:p w14:paraId="06BB8CDF" w14:textId="77777777" w:rsidR="00435FB1" w:rsidRPr="005C76A6" w:rsidRDefault="00435FB1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4180593" w14:textId="77777777" w:rsidR="00435FB1" w:rsidRPr="005C76A6" w:rsidRDefault="00435FB1">
      <w:pPr>
        <w:widowControl/>
        <w:spacing w:after="160" w:line="276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9ACBF2" w14:textId="77777777" w:rsidR="00435FB1" w:rsidRPr="005C76A6" w:rsidRDefault="00435FB1">
      <w:pPr>
        <w:widowControl/>
        <w:spacing w:after="160" w:line="276" w:lineRule="auto"/>
        <w:rPr>
          <w:rFonts w:ascii="Times New Roman" w:eastAsia="Times New Roman" w:hAnsi="Times New Roman" w:cs="Times New Roman"/>
          <w:bCs/>
        </w:rPr>
      </w:pPr>
    </w:p>
    <w:sectPr w:rsidR="00435FB1" w:rsidRPr="005C76A6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2E7C3" w14:textId="77777777" w:rsidR="00864FEE" w:rsidRDefault="00864FEE">
      <w:r>
        <w:separator/>
      </w:r>
    </w:p>
  </w:endnote>
  <w:endnote w:type="continuationSeparator" w:id="0">
    <w:p w14:paraId="20E8652A" w14:textId="77777777" w:rsidR="00864FEE" w:rsidRDefault="00864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3C61E" w14:textId="77777777" w:rsidR="00864FEE" w:rsidRDefault="00864FEE">
      <w:r>
        <w:separator/>
      </w:r>
    </w:p>
  </w:footnote>
  <w:footnote w:type="continuationSeparator" w:id="0">
    <w:p w14:paraId="44404DD2" w14:textId="77777777" w:rsidR="00864FEE" w:rsidRDefault="00864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58BD" w14:textId="77777777" w:rsidR="00435FB1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88F97E0" wp14:editId="37C255A6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55CA316" wp14:editId="3DE95E68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64D471D" w14:textId="77777777" w:rsidR="00435FB1" w:rsidRDefault="00435FB1"/>
  <w:p w14:paraId="3DAE1880" w14:textId="77777777" w:rsidR="00435FB1" w:rsidRDefault="00435FB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FB1"/>
    <w:rsid w:val="002740DC"/>
    <w:rsid w:val="00435FB1"/>
    <w:rsid w:val="005C76A6"/>
    <w:rsid w:val="0086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960D1"/>
  <w15:docId w15:val="{A359938A-AF49-4353-B47F-AA54E17E8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character" w:styleId="Strong">
    <w:name w:val="Strong"/>
    <w:basedOn w:val="DefaultParagraphFont"/>
    <w:uiPriority w:val="22"/>
    <w:qFormat/>
    <w:rsid w:val="005C76A6"/>
    <w:rPr>
      <w:b/>
      <w:bCs/>
    </w:rPr>
  </w:style>
  <w:style w:type="table" w:styleId="TableGrid">
    <w:name w:val="Table Grid"/>
    <w:basedOn w:val="TableNormal"/>
    <w:uiPriority w:val="39"/>
    <w:rsid w:val="005C7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4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PRATYAKSH SAXENA</cp:lastModifiedBy>
  <cp:revision>2</cp:revision>
  <dcterms:created xsi:type="dcterms:W3CDTF">2025-07-04T06:38:00Z</dcterms:created>
  <dcterms:modified xsi:type="dcterms:W3CDTF">2025-07-04T06:38:00Z</dcterms:modified>
</cp:coreProperties>
</file>