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0"/>
          <w:sz w:val="44"/>
        </w:rPr>
        <w:t>MPLADSentinel — Web Portal</w:t>
      </w:r>
    </w:p>
    <w:p>
      <w:pPr>
        <w:jc w:val="center"/>
      </w:pPr>
      <w:r>
        <w:rPr>
          <w:i/>
          <w:sz w:val="23"/>
        </w:rPr>
        <w:t>Technology Overview, Unique Selling Propositions, Go-to-Market Notes &amp; Anticipated Questions</w:t>
      </w:r>
    </w:p>
    <w:p>
      <w:pPr>
        <w:jc w:val="center"/>
      </w:pPr>
      <w:r>
        <w:rPr>
          <w:sz w:val="19"/>
        </w:rPr>
        <w:t>Smart India Hackathon — Problem Statement 26102 (MoSPI, Data Informatics &amp; Innovation Division)</w:t>
        <w:br/>
        <w:t>AI-powered system to detect anomalies, fraud and inefficiencies in MPLAD Scheme implementation</w:t>
        <w:br/>
        <w:t>Document status: living reference for the current prototype — last updated 2026-09-06</w:t>
      </w:r>
    </w:p>
    <w:p>
      <w:pPr>
        <w:spacing w:after="40"/>
      </w:pPr>
    </w:p>
    <w:p>
      <w:pPr>
        <w:spacing w:after="120"/>
      </w:pPr>
      <w:r>
        <w:rPr>
          <w:b w:val="0"/>
          <w:i/>
        </w:rPr>
        <w:t>Scope of this document: the React + TypeScript web portal only. The Flutter field-officer app, the Python AI service, the IPFS/Pinata evidence layer and the Hyperledger Fabric audit ledger are part of the planned architecture but are not part of the web portal build described here; they are summarised in section 1.13. Everything described in sections 1.1–1.12 is implemented and running.</w:t>
      </w:r>
    </w:p>
    <w:p>
      <w:pPr>
        <w:pStyle w:val="Heading1"/>
      </w:pPr>
      <w:r>
        <w:t>1. Technology Overview</w:t>
      </w:r>
    </w:p>
    <w:p>
      <w:pPr>
        <w:pStyle w:val="Heading2"/>
      </w:pPr>
      <w:r>
        <w:t>1.1 Architecture at a glance</w:t>
      </w:r>
    </w:p>
    <w:p>
      <w:pPr>
        <w:spacing w:after="120"/>
      </w:pPr>
      <w:r>
        <w:rPr>
          <w:b w:val="0"/>
          <w:i w:val="0"/>
        </w:rPr>
        <w:t>MPLADSentinel is a modular monolith centred on a Spring Boot backend. The web portal never talks to the database or to any external data source directly — it calls the backend's REST API, and the backend is the single integration point for PostgreSQL, the MPLADS data source, and (in the full design) the AI service, blockchain service and IPFS.</w:t>
      </w:r>
    </w:p>
    <w:p>
      <w:pPr>
        <w:spacing w:after="40"/>
      </w:pPr>
      <w:r>
        <w:rPr>
          <w:b/>
          <w:i w:val="0"/>
        </w:rPr>
        <w:t>Core request flow:</w:t>
      </w:r>
    </w:p>
    <w:p>
      <w:pPr>
        <w:spacing w:after="120"/>
      </w:pPr>
      <w:r>
        <w:rPr>
          <w:b w:val="0"/>
          <w:i/>
        </w:rPr>
        <w:t>External MPLADS data  →  Spring Boot ingestion  →  PostgreSQL  →  Spring Boot REST API  →  React web portal  →  project intelligence + rule-based risk detection</w:t>
      </w:r>
    </w:p>
    <w:p>
      <w:pPr>
        <w:pStyle w:val="Heading2"/>
      </w:pPr>
      <w:r>
        <w:t>1.2 Frontend stack</w:t>
      </w:r>
    </w:p>
    <w:tbl>
      <w:tblPr>
        <w:tblStyle w:val="TableGrid"/>
        <w:tblW w:type="auto" w:w="0"/>
        <w:jc w:val="center"/>
        <w:tblLook w:firstColumn="1" w:firstRow="1" w:lastColumn="0" w:lastRow="0" w:noHBand="0" w:noVBand="1" w:val="04A0"/>
      </w:tblPr>
      <w:tblGrid>
        <w:gridCol w:w="3216"/>
        <w:gridCol w:w="3216"/>
        <w:gridCol w:w="3216"/>
      </w:tblGrid>
      <w:tr>
        <w:tc>
          <w:tcPr>
            <w:tcW w:type="dxa" w:w="2448"/>
          </w:tcPr>
          <w:p>
            <w:r/>
            <w:r>
              <w:rPr>
                <w:b/>
                <w:sz w:val="19"/>
              </w:rPr>
              <w:t>Technology</w:t>
            </w:r>
          </w:p>
        </w:tc>
        <w:tc>
          <w:tcPr>
            <w:tcW w:type="dxa" w:w="1440"/>
          </w:tcPr>
          <w:p>
            <w:r/>
            <w:r>
              <w:rPr>
                <w:b/>
                <w:sz w:val="19"/>
              </w:rPr>
              <w:t>Version</w:t>
            </w:r>
          </w:p>
        </w:tc>
        <w:tc>
          <w:tcPr>
            <w:tcW w:type="dxa" w:w="5904"/>
          </w:tcPr>
          <w:p>
            <w:r/>
            <w:r>
              <w:rPr>
                <w:b/>
                <w:sz w:val="19"/>
              </w:rPr>
              <w:t>Why it is used</w:t>
            </w:r>
          </w:p>
        </w:tc>
      </w:tr>
      <w:tr>
        <w:tc>
          <w:tcPr>
            <w:tcW w:type="dxa" w:w="2448"/>
          </w:tcPr>
          <w:p>
            <w:r/>
            <w:r>
              <w:rPr>
                <w:sz w:val="19"/>
              </w:rPr>
              <w:t>React</w:t>
            </w:r>
          </w:p>
        </w:tc>
        <w:tc>
          <w:tcPr>
            <w:tcW w:type="dxa" w:w="1440"/>
          </w:tcPr>
          <w:p>
            <w:r/>
            <w:r>
              <w:rPr>
                <w:sz w:val="19"/>
              </w:rPr>
              <w:t>19</w:t>
            </w:r>
          </w:p>
        </w:tc>
        <w:tc>
          <w:tcPr>
            <w:tcW w:type="dxa" w:w="5904"/>
          </w:tcPr>
          <w:p>
            <w:r/>
            <w:r>
              <w:rPr>
                <w:sz w:val="19"/>
              </w:rPr>
              <w:t>UI library; function components + hooks throughout</w:t>
            </w:r>
          </w:p>
        </w:tc>
      </w:tr>
      <w:tr>
        <w:tc>
          <w:tcPr>
            <w:tcW w:type="dxa" w:w="2448"/>
          </w:tcPr>
          <w:p>
            <w:r/>
            <w:r>
              <w:rPr>
                <w:sz w:val="19"/>
              </w:rPr>
              <w:t>TypeScript</w:t>
            </w:r>
          </w:p>
        </w:tc>
        <w:tc>
          <w:tcPr>
            <w:tcW w:type="dxa" w:w="1440"/>
          </w:tcPr>
          <w:p>
            <w:r/>
            <w:r>
              <w:rPr>
                <w:sz w:val="19"/>
              </w:rPr>
              <w:t>~5.7</w:t>
            </w:r>
          </w:p>
        </w:tc>
        <w:tc>
          <w:tcPr>
            <w:tcW w:type="dxa" w:w="5904"/>
          </w:tcPr>
          <w:p>
            <w:r/>
            <w:r>
              <w:rPr>
                <w:sz w:val="19"/>
              </w:rPr>
              <w:t>End-to-end typing; API responses are typed, business logic is typed</w:t>
            </w:r>
          </w:p>
        </w:tc>
      </w:tr>
      <w:tr>
        <w:tc>
          <w:tcPr>
            <w:tcW w:type="dxa" w:w="2448"/>
          </w:tcPr>
          <w:p>
            <w:r/>
            <w:r>
              <w:rPr>
                <w:sz w:val="19"/>
              </w:rPr>
              <w:t>Vite</w:t>
            </w:r>
          </w:p>
        </w:tc>
        <w:tc>
          <w:tcPr>
            <w:tcW w:type="dxa" w:w="1440"/>
          </w:tcPr>
          <w:p>
            <w:r/>
            <w:r>
              <w:rPr>
                <w:sz w:val="19"/>
              </w:rPr>
              <w:t>6</w:t>
            </w:r>
          </w:p>
        </w:tc>
        <w:tc>
          <w:tcPr>
            <w:tcW w:type="dxa" w:w="5904"/>
          </w:tcPr>
          <w:p>
            <w:r/>
            <w:r>
              <w:rPr>
                <w:sz w:val="19"/>
              </w:rPr>
              <w:t>Dev server and production build; mode-based env (.env.demo) for the demo deploy</w:t>
            </w:r>
          </w:p>
        </w:tc>
      </w:tr>
      <w:tr>
        <w:tc>
          <w:tcPr>
            <w:tcW w:type="dxa" w:w="2448"/>
          </w:tcPr>
          <w:p>
            <w:r/>
            <w:r>
              <w:rPr>
                <w:sz w:val="19"/>
              </w:rPr>
              <w:t>React Router</w:t>
            </w:r>
          </w:p>
        </w:tc>
        <w:tc>
          <w:tcPr>
            <w:tcW w:type="dxa" w:w="1440"/>
          </w:tcPr>
          <w:p>
            <w:r/>
            <w:r>
              <w:rPr>
                <w:sz w:val="19"/>
              </w:rPr>
              <w:t>7</w:t>
            </w:r>
          </w:p>
        </w:tc>
        <w:tc>
          <w:tcPr>
            <w:tcW w:type="dxa" w:w="5904"/>
          </w:tcPr>
          <w:p>
            <w:r/>
            <w:r>
              <w:rPr>
                <w:sz w:val="19"/>
              </w:rPr>
              <w:t>Client-side routing; route guards for RBAC; URL query string as filter state</w:t>
            </w:r>
          </w:p>
        </w:tc>
      </w:tr>
      <w:tr>
        <w:tc>
          <w:tcPr>
            <w:tcW w:type="dxa" w:w="2448"/>
          </w:tcPr>
          <w:p>
            <w:r/>
            <w:r>
              <w:rPr>
                <w:sz w:val="19"/>
              </w:rPr>
              <w:t>Recharts</w:t>
            </w:r>
          </w:p>
        </w:tc>
        <w:tc>
          <w:tcPr>
            <w:tcW w:type="dxa" w:w="1440"/>
          </w:tcPr>
          <w:p>
            <w:r/>
            <w:r>
              <w:rPr>
                <w:sz w:val="19"/>
              </w:rPr>
              <w:t>3.10</w:t>
            </w:r>
          </w:p>
        </w:tc>
        <w:tc>
          <w:tcPr>
            <w:tcW w:type="dxa" w:w="5904"/>
          </w:tcPr>
          <w:p>
            <w:r/>
            <w:r>
              <w:rPr>
                <w:sz w:val="19"/>
              </w:rPr>
              <w:t>The only charting dependency — bar charts (Compare MPs) and the risk donut</w:t>
            </w:r>
          </w:p>
        </w:tc>
      </w:tr>
      <w:tr>
        <w:tc>
          <w:tcPr>
            <w:tcW w:type="dxa" w:w="2448"/>
          </w:tcPr>
          <w:p>
            <w:r/>
            <w:r>
              <w:rPr>
                <w:sz w:val="19"/>
              </w:rPr>
              <w:t>Vitest + Testing Library</w:t>
            </w:r>
          </w:p>
        </w:tc>
        <w:tc>
          <w:tcPr>
            <w:tcW w:type="dxa" w:w="1440"/>
          </w:tcPr>
          <w:p>
            <w:r/>
            <w:r>
              <w:rPr>
                <w:sz w:val="19"/>
              </w:rPr>
              <w:t>3 / 16</w:t>
            </w:r>
          </w:p>
        </w:tc>
        <w:tc>
          <w:tcPr>
            <w:tcW w:type="dxa" w:w="5904"/>
          </w:tcPr>
          <w:p>
            <w:r/>
            <w:r>
              <w:rPr>
                <w:sz w:val="19"/>
              </w:rPr>
              <w:t>Unit and component tests (~219 tests) run in a jsdom environment</w:t>
            </w:r>
          </w:p>
        </w:tc>
      </w:tr>
      <w:tr>
        <w:tc>
          <w:tcPr>
            <w:tcW w:type="dxa" w:w="2448"/>
          </w:tcPr>
          <w:p>
            <w:r/>
            <w:r>
              <w:rPr>
                <w:sz w:val="19"/>
              </w:rPr>
              <w:t>ESLint 9 + Prettier 3</w:t>
            </w:r>
          </w:p>
        </w:tc>
        <w:tc>
          <w:tcPr>
            <w:tcW w:type="dxa" w:w="1440"/>
          </w:tcPr>
          <w:p>
            <w:r/>
            <w:r>
              <w:rPr>
                <w:sz w:val="19"/>
              </w:rPr>
              <w:t>—</w:t>
            </w:r>
          </w:p>
        </w:tc>
        <w:tc>
          <w:tcPr>
            <w:tcW w:type="dxa" w:w="5904"/>
          </w:tcPr>
          <w:p>
            <w:r/>
            <w:r>
              <w:rPr>
                <w:sz w:val="19"/>
              </w:rPr>
              <w:t>Lint (incl. react-hooks, react-refresh rules) and formatting gates</w:t>
            </w:r>
          </w:p>
        </w:tc>
      </w:tr>
    </w:tbl>
    <w:p>
      <w:pPr>
        <w:spacing w:after="40"/>
      </w:pPr>
    </w:p>
    <w:p>
      <w:pPr>
        <w:spacing w:after="120"/>
      </w:pPr>
      <w:r>
        <w:rPr>
          <w:b w:val="0"/>
          <w:i w:val="0"/>
        </w:rPr>
        <w:t>Deliberately hand-rolled instead of adding dependencies: the India map (inline SVG with ~36 state centroids), the language switcher (thin wrapper over the Google Website Translator widget), the voice command bar (browser-native Web Speech API), and the CSV exporter (dependency-free, RFC-4180 quoting + UTF-8 BOM). This keeps the bundle small and the supply chain minimal (CLAUDE.md §11).</w:t>
      </w:r>
    </w:p>
    <w:p>
      <w:pPr>
        <w:pStyle w:val="Heading2"/>
      </w:pPr>
      <w:r>
        <w:t>1.3 Backend stack</w:t>
      </w:r>
    </w:p>
    <w:tbl>
      <w:tblPr>
        <w:tblStyle w:val="TableGrid"/>
        <w:tblW w:type="auto" w:w="0"/>
        <w:jc w:val="center"/>
        <w:tblLook w:firstColumn="1" w:firstRow="1" w:lastColumn="0" w:lastRow="0" w:noHBand="0" w:noVBand="1" w:val="04A0"/>
      </w:tblPr>
      <w:tblGrid>
        <w:gridCol w:w="4824"/>
        <w:gridCol w:w="4824"/>
      </w:tblGrid>
      <w:tr>
        <w:tc>
          <w:tcPr>
            <w:tcW w:type="dxa" w:w="3456"/>
          </w:tcPr>
          <w:p>
            <w:r/>
            <w:r>
              <w:rPr>
                <w:b/>
                <w:sz w:val="19"/>
              </w:rPr>
              <w:t>Technology</w:t>
            </w:r>
          </w:p>
        </w:tc>
        <w:tc>
          <w:tcPr>
            <w:tcW w:type="dxa" w:w="6336"/>
          </w:tcPr>
          <w:p>
            <w:r/>
            <w:r>
              <w:rPr>
                <w:b/>
                <w:sz w:val="19"/>
              </w:rPr>
              <w:t>Role</w:t>
            </w:r>
          </w:p>
        </w:tc>
      </w:tr>
      <w:tr>
        <w:tc>
          <w:tcPr>
            <w:tcW w:type="dxa" w:w="3456"/>
          </w:tcPr>
          <w:p>
            <w:r/>
            <w:r>
              <w:rPr>
                <w:sz w:val="19"/>
              </w:rPr>
              <w:t>Spring Boot (modular monolith)</w:t>
            </w:r>
          </w:p>
        </w:tc>
        <w:tc>
          <w:tcPr>
            <w:tcW w:type="dxa" w:w="6336"/>
          </w:tcPr>
          <w:p>
            <w:r/>
            <w:r>
              <w:rPr>
                <w:sz w:val="19"/>
              </w:rPr>
              <w:t>REST controllers, service-layer business logic, ingestion, risk engine</w:t>
            </w:r>
          </w:p>
        </w:tc>
      </w:tr>
      <w:tr>
        <w:tc>
          <w:tcPr>
            <w:tcW w:type="dxa" w:w="3456"/>
          </w:tcPr>
          <w:p>
            <w:r/>
            <w:r>
              <w:rPr>
                <w:sz w:val="19"/>
              </w:rPr>
              <w:t>Spring Security</w:t>
            </w:r>
          </w:p>
        </w:tc>
        <w:tc>
          <w:tcPr>
            <w:tcW w:type="dxa" w:w="6336"/>
          </w:tcPr>
          <w:p>
            <w:r/>
            <w:r>
              <w:rPr>
                <w:sz w:val="19"/>
              </w:rPr>
              <w:t>Authentication + role-based authorization enforced at the API layer, not just the UI</w:t>
            </w:r>
          </w:p>
        </w:tc>
      </w:tr>
      <w:tr>
        <w:tc>
          <w:tcPr>
            <w:tcW w:type="dxa" w:w="3456"/>
          </w:tcPr>
          <w:p>
            <w:r/>
            <w:r>
              <w:rPr>
                <w:sz w:val="19"/>
              </w:rPr>
              <w:t>Stateful HttpSession + BCrypt</w:t>
            </w:r>
          </w:p>
        </w:tc>
        <w:tc>
          <w:tcPr>
            <w:tcW w:type="dxa" w:w="6336"/>
          </w:tcPr>
          <w:p>
            <w:r/>
            <w:r>
              <w:rPr>
                <w:sz w:val="19"/>
              </w:rPr>
              <w:t>Session-cookie login; passwords hashed with BCrypt; no self-registration for government roles</w:t>
            </w:r>
          </w:p>
        </w:tc>
      </w:tr>
      <w:tr>
        <w:tc>
          <w:tcPr>
            <w:tcW w:type="dxa" w:w="3456"/>
          </w:tcPr>
          <w:p>
            <w:r/>
            <w:r>
              <w:rPr>
                <w:sz w:val="19"/>
              </w:rPr>
              <w:t>Flyway migrations</w:t>
            </w:r>
          </w:p>
        </w:tc>
        <w:tc>
          <w:tcPr>
            <w:tcW w:type="dxa" w:w="6336"/>
          </w:tcPr>
          <w:p>
            <w:r/>
            <w:r>
              <w:rPr>
                <w:sz w:val="19"/>
              </w:rPr>
              <w:t>Versioned schema — V5 app_user, V6 grievances, V7 user email for citizen self-registration</w:t>
            </w:r>
          </w:p>
        </w:tc>
      </w:tr>
      <w:tr>
        <w:tc>
          <w:tcPr>
            <w:tcW w:type="dxa" w:w="3456"/>
          </w:tcPr>
          <w:p>
            <w:r/>
            <w:r>
              <w:rPr>
                <w:sz w:val="19"/>
              </w:rPr>
              <w:t>REST API surface</w:t>
            </w:r>
          </w:p>
        </w:tc>
        <w:tc>
          <w:tcPr>
            <w:tcW w:type="dxa" w:w="6336"/>
          </w:tcPr>
          <w:p>
            <w:r/>
            <w:r>
              <w:rPr>
                <w:sz w:val="19"/>
              </w:rPr>
              <w:t>/api/auth (login/me/logout/register), /api/works + /api/works/{id} + /summary + /payments + /risk, /api/public/works (limited citizen projection), /api/grievances (GET/POST/PATCH)</w:t>
            </w:r>
          </w:p>
        </w:tc>
      </w:tr>
    </w:tbl>
    <w:p>
      <w:pPr>
        <w:spacing w:after="40"/>
      </w:pPr>
    </w:p>
    <w:p>
      <w:pPr>
        <w:spacing w:after="120"/>
      </w:pPr>
      <w:r>
        <w:rPr>
          <w:b w:val="0"/>
          <w:i w:val="0"/>
        </w:rPr>
        <w:t>Authority endpoints are restricted to the five government roles; the Citizen Portal reads only the /api/public/works projection. Unauthenticated calls receive a JSON 401. CSRF is disabled for the Round-1 demo and is documented in SecurityConfig as a known item to close before production.</w:t>
      </w:r>
    </w:p>
    <w:p>
      <w:pPr>
        <w:pStyle w:val="Heading2"/>
      </w:pPr>
      <w:r>
        <w:t>1.4 Database</w:t>
      </w:r>
    </w:p>
    <w:p>
      <w:pPr>
        <w:spacing w:after="120"/>
      </w:pPr>
      <w:r>
        <w:rPr>
          <w:b w:val="0"/>
          <w:i w:val="0"/>
        </w:rPr>
        <w:t>PostgreSQL is the primary application database — works, payments, users/roles, grievances, and ingestion bookkeeping. Every externally sourced work row keeps provenance columns (source name, source endpoint, retrieved-at) so secondary-source data is never presented as if it came straight from the official system (CLAUDE.md §9). Schema changes go through Flyway; large evidence files are intended for IPFS, never for Postgres.</w:t>
      </w:r>
    </w:p>
    <w:p>
      <w:pPr>
        <w:pStyle w:val="Heading2"/>
      </w:pPr>
      <w:r>
        <w:t>1.5 Data sources &amp; ingestion</w:t>
      </w:r>
    </w:p>
    <w:p>
      <w:pPr>
        <w:spacing w:after="120"/>
      </w:pPr>
      <w:r>
        <w:rPr>
          <w:b w:val="0"/>
          <w:i w:val="0"/>
        </w:rPr>
        <w:t>The official MoSPI / e-SAKSHI dashboard is the preferred authoritative source, but it exposes only aggregate figures (no public work-level records, no work identifier). For granular work/payment records the prototype ingests the Empowered Indian REST API, which is treated as a secondary data-access source, not as the owner of MPLADS data.</w:t>
      </w:r>
    </w:p>
    <w:p>
      <w:pPr>
        <w:pStyle w:val="ListBullet"/>
        <w:spacing w:after="60"/>
      </w:pPr>
      <w:r>
        <w:rPr>
          <w:b/>
        </w:rPr>
        <w:t xml:space="preserve">Coverage: </w:t>
      </w:r>
      <w:r>
        <w:t>~6,044 works ingested across 34 states/UTs (first page of recommended + completed works per state, for geographic spread).</w:t>
      </w:r>
    </w:p>
    <w:p>
      <w:pPr>
        <w:pStyle w:val="ListBullet"/>
        <w:spacing w:after="60"/>
      </w:pPr>
      <w:r>
        <w:rPr>
          <w:b/>
        </w:rPr>
        <w:t xml:space="preserve">Payments: </w:t>
      </w:r>
      <w:r>
        <w:t>~₹289.9 crore of real recorded vendor payments across ~7,300 payment rows; ~4,200 works have payment detail, the rest are marked 'absent' or 'fetch error' — never silently treated as zero.</w:t>
      </w:r>
    </w:p>
    <w:p>
      <w:pPr>
        <w:pStyle w:val="ListBullet"/>
        <w:spacing w:after="60"/>
      </w:pPr>
      <w:r>
        <w:rPr>
          <w:b/>
        </w:rPr>
        <w:t xml:space="preserve">Allocation reference: </w:t>
      </w:r>
      <w:r>
        <w:t>Official MoSPI e-SAKSHI 'Allocated Limit for Hon'ble MPs' CSVs (18th Lok Sabha 543 + Rajya Sabha 230) are bundled and used only on Compare MPs. Every one of the 248 ingested MPs was matched to the official list by normalised name + state (100%), and every MP's summed recommended cost stays within the official allocation.</w:t>
      </w:r>
    </w:p>
    <w:p>
      <w:pPr>
        <w:pStyle w:val="ListBullet"/>
        <w:spacing w:after="60"/>
      </w:pPr>
      <w:r>
        <w:rPr>
          <w:b/>
        </w:rPr>
        <w:t xml:space="preserve">Data honesty: </w:t>
      </w:r>
      <w:r>
        <w:t>Verified quirks are handled explicitly: recommended vs completed endpoints use different field names; a payments 404 means 'unknown', not 'zero paid'; Hindi fields are placeholders; beneficiary counts are unpopulated; the party field actually carries the House. None of these are used as if trustworthy.</w:t>
      </w:r>
    </w:p>
    <w:p>
      <w:pPr>
        <w:pStyle w:val="Heading2"/>
      </w:pPr>
      <w:r>
        <w:t>1.6 The DataProvider seam &amp; demo mode</w:t>
      </w:r>
    </w:p>
    <w:p>
      <w:pPr>
        <w:spacing w:after="120"/>
      </w:pPr>
      <w:r>
        <w:rPr>
          <w:b w:val="0"/>
          <w:i w:val="0"/>
        </w:rPr>
        <w:t>Every screen reads through a single DataProvider abstraction. Two implementations satisfy it: ApiDataProvider (real Spring Boot REST) and a demo provider backed by controlled seed data whose record shape mirrors the backend Work model exactly. VITE_DATA_SOURCE selects between them.</w:t>
      </w:r>
    </w:p>
    <w:p>
      <w:pPr>
        <w:spacing w:after="120"/>
      </w:pPr>
      <w:r>
        <w:rPr>
          <w:b w:val="0"/>
          <w:i w:val="0"/>
        </w:rPr>
        <w:t>This gives the project a backendless deploy for demos: VITE_DEMO_AUTH swaps the login page for a six-persona picker (MoSPI / State / District / Auditor / MP / Citizen), the session lives in sessionStorage, and the whole portal runs on Vercel as a static build with no server. The real auth and API paths are untouched by this mode.</w:t>
      </w:r>
    </w:p>
    <w:p>
      <w:pPr>
        <w:pStyle w:val="Heading2"/>
      </w:pPr>
      <w:r>
        <w:t>1.7 Risk engine</w:t>
      </w:r>
    </w:p>
    <w:p>
      <w:pPr>
        <w:spacing w:after="120"/>
      </w:pPr>
      <w:r>
        <w:rPr>
          <w:b w:val="0"/>
          <w:i w:val="0"/>
        </w:rPr>
        <w:t>Round-1 risk detection is a transparent, rule-based engine — not an ML model. It runs server-side in Spring Boot; an identical client mirror (same rule ids, weights and thresholds) powers demo mode. Six rules, each using only fields the verified data source actually provides:</w:t>
      </w:r>
    </w:p>
    <w:tbl>
      <w:tblPr>
        <w:tblStyle w:val="TableGrid"/>
        <w:tblW w:type="auto" w:w="0"/>
        <w:jc w:val="center"/>
        <w:tblLook w:firstColumn="1" w:firstRow="1" w:lastColumn="0" w:lastRow="0" w:noHBand="0" w:noVBand="1" w:val="04A0"/>
      </w:tblPr>
      <w:tblGrid>
        <w:gridCol w:w="3216"/>
        <w:gridCol w:w="3216"/>
        <w:gridCol w:w="3216"/>
      </w:tblGrid>
      <w:tr>
        <w:tc>
          <w:tcPr>
            <w:tcW w:type="dxa" w:w="3600"/>
          </w:tcPr>
          <w:p>
            <w:r/>
            <w:r>
              <w:rPr>
                <w:b/>
                <w:sz w:val="19"/>
              </w:rPr>
              <w:t>Rule id</w:t>
            </w:r>
          </w:p>
        </w:tc>
        <w:tc>
          <w:tcPr>
            <w:tcW w:type="dxa" w:w="5184"/>
          </w:tcPr>
          <w:p>
            <w:r/>
            <w:r>
              <w:rPr>
                <w:b/>
                <w:sz w:val="19"/>
              </w:rPr>
              <w:t>What it flags</w:t>
            </w:r>
          </w:p>
        </w:tc>
        <w:tc>
          <w:tcPr>
            <w:tcW w:type="dxa" w:w="1008"/>
          </w:tcPr>
          <w:p>
            <w:r/>
            <w:r>
              <w:rPr>
                <w:b/>
                <w:sz w:val="19"/>
              </w:rPr>
              <w:t>Weight</w:t>
            </w:r>
          </w:p>
        </w:tc>
      </w:tr>
      <w:tr>
        <w:tc>
          <w:tcPr>
            <w:tcW w:type="dxa" w:w="3600"/>
          </w:tcPr>
          <w:p>
            <w:r/>
            <w:r>
              <w:rPr>
                <w:sz w:val="19"/>
              </w:rPr>
              <w:t>PAYMENT_OVERSPEND</w:t>
            </w:r>
          </w:p>
        </w:tc>
        <w:tc>
          <w:tcPr>
            <w:tcW w:type="dxa" w:w="5184"/>
          </w:tcPr>
          <w:p>
            <w:r/>
            <w:r>
              <w:rPr>
                <w:sz w:val="19"/>
              </w:rPr>
              <w:t>Recorded payments exceed the estimated cost</w:t>
            </w:r>
          </w:p>
        </w:tc>
        <w:tc>
          <w:tcPr>
            <w:tcW w:type="dxa" w:w="1008"/>
          </w:tcPr>
          <w:p>
            <w:r/>
            <w:r>
              <w:rPr>
                <w:sz w:val="19"/>
              </w:rPr>
              <w:t>45</w:t>
            </w:r>
          </w:p>
        </w:tc>
      </w:tr>
      <w:tr>
        <w:tc>
          <w:tcPr>
            <w:tcW w:type="dxa" w:w="3600"/>
          </w:tcPr>
          <w:p>
            <w:r/>
            <w:r>
              <w:rPr>
                <w:sz w:val="19"/>
              </w:rPr>
              <w:t>FULL_PAYOUT_BEFORE_COMPLETION</w:t>
            </w:r>
          </w:p>
        </w:tc>
        <w:tc>
          <w:tcPr>
            <w:tcW w:type="dxa" w:w="5184"/>
          </w:tcPr>
          <w:p>
            <w:r/>
            <w:r>
              <w:rPr>
                <w:sz w:val="19"/>
              </w:rPr>
              <w:t>≥90% of cost released while the work is not marked complete</w:t>
            </w:r>
          </w:p>
        </w:tc>
        <w:tc>
          <w:tcPr>
            <w:tcW w:type="dxa" w:w="1008"/>
          </w:tcPr>
          <w:p>
            <w:r/>
            <w:r>
              <w:rPr>
                <w:sz w:val="19"/>
              </w:rPr>
              <w:t>45</w:t>
            </w:r>
          </w:p>
        </w:tc>
      </w:tr>
      <w:tr>
        <w:tc>
          <w:tcPr>
            <w:tcW w:type="dxa" w:w="3600"/>
          </w:tcPr>
          <w:p>
            <w:r/>
            <w:r>
              <w:rPr>
                <w:sz w:val="19"/>
              </w:rPr>
              <w:t>SINGLE_INSTALLMENT_FULL</w:t>
            </w:r>
          </w:p>
        </w:tc>
        <w:tc>
          <w:tcPr>
            <w:tcW w:type="dxa" w:w="5184"/>
          </w:tcPr>
          <w:p>
            <w:r/>
            <w:r>
              <w:rPr>
                <w:sz w:val="19"/>
              </w:rPr>
              <w:t>Full amount released in one installment</w:t>
            </w:r>
          </w:p>
        </w:tc>
        <w:tc>
          <w:tcPr>
            <w:tcW w:type="dxa" w:w="1008"/>
          </w:tcPr>
          <w:p>
            <w:r/>
            <w:r>
              <w:rPr>
                <w:sz w:val="19"/>
              </w:rPr>
              <w:t>25</w:t>
            </w:r>
          </w:p>
        </w:tc>
      </w:tr>
      <w:tr>
        <w:tc>
          <w:tcPr>
            <w:tcW w:type="dxa" w:w="3600"/>
          </w:tcPr>
          <w:p>
            <w:r/>
            <w:r>
              <w:rPr>
                <w:sz w:val="19"/>
              </w:rPr>
              <w:t>DORMANT_NO_PAYMENTS</w:t>
            </w:r>
          </w:p>
        </w:tc>
        <w:tc>
          <w:tcPr>
            <w:tcW w:type="dxa" w:w="5184"/>
          </w:tcPr>
          <w:p>
            <w:r/>
            <w:r>
              <w:rPr>
                <w:sz w:val="19"/>
              </w:rPr>
              <w:t>Recommended 12+ months ago with no payment records (scales to 55 at 36+ months)</w:t>
            </w:r>
          </w:p>
        </w:tc>
        <w:tc>
          <w:tcPr>
            <w:tcW w:type="dxa" w:w="1008"/>
          </w:tcPr>
          <w:p>
            <w:r/>
            <w:r>
              <w:rPr>
                <w:sz w:val="19"/>
              </w:rPr>
              <w:t>30–55</w:t>
            </w:r>
          </w:p>
        </w:tc>
      </w:tr>
      <w:tr>
        <w:tc>
          <w:tcPr>
            <w:tcW w:type="dxa" w:w="3600"/>
          </w:tcPr>
          <w:p>
            <w:r/>
            <w:r>
              <w:rPr>
                <w:sz w:val="19"/>
              </w:rPr>
              <w:t>COST_COHORT_OUTLIER</w:t>
            </w:r>
          </w:p>
        </w:tc>
        <w:tc>
          <w:tcPr>
            <w:tcW w:type="dxa" w:w="5184"/>
          </w:tcPr>
          <w:p>
            <w:r/>
            <w:r>
              <w:rPr>
                <w:sz w:val="19"/>
              </w:rPr>
              <w:t>Highest estimated cost in its category among comparable works</w:t>
            </w:r>
          </w:p>
        </w:tc>
        <w:tc>
          <w:tcPr>
            <w:tcW w:type="dxa" w:w="1008"/>
          </w:tcPr>
          <w:p>
            <w:r/>
            <w:r>
              <w:rPr>
                <w:sz w:val="19"/>
              </w:rPr>
              <w:t>25</w:t>
            </w:r>
          </w:p>
        </w:tc>
      </w:tr>
      <w:tr>
        <w:tc>
          <w:tcPr>
            <w:tcW w:type="dxa" w:w="3600"/>
          </w:tcPr>
          <w:p>
            <w:r/>
            <w:r>
              <w:rPr>
                <w:sz w:val="19"/>
              </w:rPr>
              <w:t>PAYMENT_DATA_UNAVAILABLE</w:t>
            </w:r>
          </w:p>
        </w:tc>
        <w:tc>
          <w:tcPr>
            <w:tcW w:type="dxa" w:w="5184"/>
          </w:tcPr>
          <w:p>
            <w:r/>
            <w:r>
              <w:rPr>
                <w:sz w:val="19"/>
              </w:rPr>
              <w:t>Payment data could not be retrieved for review</w:t>
            </w:r>
          </w:p>
        </w:tc>
        <w:tc>
          <w:tcPr>
            <w:tcW w:type="dxa" w:w="1008"/>
          </w:tcPr>
          <w:p>
            <w:r/>
            <w:r>
              <w:rPr>
                <w:sz w:val="19"/>
              </w:rPr>
              <w:t>25</w:t>
            </w:r>
          </w:p>
        </w:tc>
      </w:tr>
    </w:tbl>
    <w:p>
      <w:pPr>
        <w:spacing w:after="40"/>
      </w:pPr>
    </w:p>
    <w:p>
      <w:pPr>
        <w:spacing w:after="120"/>
      </w:pPr>
      <w:r>
        <w:rPr>
          <w:b w:val="0"/>
          <w:i w:val="0"/>
        </w:rPr>
        <w:t>Scores sum to a 0–100 value → HIGH (≥55) / MEDIUM (≥25) / LOW / UNKNOWN (not enough data to assess). The UI always shows the plain-language reasons behind a score, plus a 'recommended next action' and a six-dimension flagged/clear checklist on the project detail page. Framing is consistent: a risk level is an indicator that a human should investigate, never proof of wrongdoing (CLAUDE.md §17). There is deliberately no physical-progress, geospatial, duplicate-detection or delay-prediction rule because the data source supplies none of that.</w:t>
      </w:r>
    </w:p>
    <w:p>
      <w:pPr>
        <w:pStyle w:val="Heading2"/>
      </w:pPr>
      <w:r>
        <w:t>1.8 Authentication &amp; role-based access control</w:t>
      </w:r>
    </w:p>
    <w:p>
      <w:pPr>
        <w:spacing w:after="120"/>
      </w:pPr>
      <w:r>
        <w:rPr>
          <w:b w:val="0"/>
          <w:i w:val="0"/>
        </w:rPr>
        <w:t>Six web roles (Field Officer is served by the mobile app, not the web portal):</w:t>
      </w:r>
    </w:p>
    <w:tbl>
      <w:tblPr>
        <w:tblStyle w:val="TableGrid"/>
        <w:tblW w:type="auto" w:w="0"/>
        <w:jc w:val="center"/>
        <w:tblLook w:firstColumn="1" w:firstRow="1" w:lastColumn="0" w:lastRow="0" w:noHBand="0" w:noVBand="1" w:val="04A0"/>
      </w:tblPr>
      <w:tblGrid>
        <w:gridCol w:w="4824"/>
        <w:gridCol w:w="4824"/>
      </w:tblGrid>
      <w:tr>
        <w:tc>
          <w:tcPr>
            <w:tcW w:type="dxa" w:w="2448"/>
          </w:tcPr>
          <w:p>
            <w:r/>
            <w:r>
              <w:rPr>
                <w:b/>
                <w:sz w:val="19"/>
              </w:rPr>
              <w:t>Role</w:t>
            </w:r>
          </w:p>
        </w:tc>
        <w:tc>
          <w:tcPr>
            <w:tcW w:type="dxa" w:w="7344"/>
          </w:tcPr>
          <w:p>
            <w:r/>
            <w:r>
              <w:rPr>
                <w:b/>
                <w:sz w:val="19"/>
              </w:rPr>
              <w:t>Primary use of the portal</w:t>
            </w:r>
          </w:p>
        </w:tc>
      </w:tr>
      <w:tr>
        <w:tc>
          <w:tcPr>
            <w:tcW w:type="dxa" w:w="2448"/>
          </w:tcPr>
          <w:p>
            <w:r/>
            <w:r>
              <w:rPr>
                <w:sz w:val="19"/>
              </w:rPr>
              <w:t>MoSPI / Ministry</w:t>
            </w:r>
          </w:p>
        </w:tc>
        <w:tc>
          <w:tcPr>
            <w:tcW w:type="dxa" w:w="7344"/>
          </w:tcPr>
          <w:p>
            <w:r/>
            <w:r>
              <w:rPr>
                <w:sz w:val="19"/>
              </w:rPr>
              <w:t>National dashboard, risk &amp; alerts, compare MPs, grievance review, full work register</w:t>
            </w:r>
          </w:p>
        </w:tc>
      </w:tr>
      <w:tr>
        <w:tc>
          <w:tcPr>
            <w:tcW w:type="dxa" w:w="2448"/>
          </w:tcPr>
          <w:p>
            <w:r/>
            <w:r>
              <w:rPr>
                <w:sz w:val="19"/>
              </w:rPr>
              <w:t>State Authority</w:t>
            </w:r>
          </w:p>
        </w:tc>
        <w:tc>
          <w:tcPr>
            <w:tcW w:type="dxa" w:w="7344"/>
          </w:tcPr>
          <w:p>
            <w:r/>
            <w:r>
              <w:rPr>
                <w:sz w:val="19"/>
              </w:rPr>
              <w:t>Same authority surface, oriented to their state; grievance review</w:t>
            </w:r>
          </w:p>
        </w:tc>
      </w:tr>
      <w:tr>
        <w:tc>
          <w:tcPr>
            <w:tcW w:type="dxa" w:w="2448"/>
          </w:tcPr>
          <w:p>
            <w:r/>
            <w:r>
              <w:rPr>
                <w:sz w:val="19"/>
              </w:rPr>
              <w:t>District Authority</w:t>
            </w:r>
          </w:p>
        </w:tc>
        <w:tc>
          <w:tcPr>
            <w:tcW w:type="dxa" w:w="7344"/>
          </w:tcPr>
          <w:p>
            <w:r/>
            <w:r>
              <w:rPr>
                <w:sz w:val="19"/>
              </w:rPr>
              <w:t>Same authority surface, oriented to their district; grievance review</w:t>
            </w:r>
          </w:p>
        </w:tc>
      </w:tr>
      <w:tr>
        <w:tc>
          <w:tcPr>
            <w:tcW w:type="dxa" w:w="2448"/>
          </w:tcPr>
          <w:p>
            <w:r/>
            <w:r>
              <w:rPr>
                <w:sz w:val="19"/>
              </w:rPr>
              <w:t>Auditor</w:t>
            </w:r>
          </w:p>
        </w:tc>
        <w:tc>
          <w:tcPr>
            <w:tcW w:type="dxa" w:w="7344"/>
          </w:tcPr>
          <w:p>
            <w:r/>
            <w:r>
              <w:rPr>
                <w:sz w:val="19"/>
              </w:rPr>
              <w:t>Read-only across authority screens and the grievance queue</w:t>
            </w:r>
          </w:p>
        </w:tc>
      </w:tr>
      <w:tr>
        <w:tc>
          <w:tcPr>
            <w:tcW w:type="dxa" w:w="2448"/>
          </w:tcPr>
          <w:p>
            <w:r/>
            <w:r>
              <w:rPr>
                <w:sz w:val="19"/>
              </w:rPr>
              <w:t>Member of Parliament</w:t>
            </w:r>
          </w:p>
        </w:tc>
        <w:tc>
          <w:tcPr>
            <w:tcW w:type="dxa" w:w="7344"/>
          </w:tcPr>
          <w:p>
            <w:r/>
            <w:r>
              <w:rPr>
                <w:sz w:val="19"/>
              </w:rPr>
              <w:t>Authority screens (their own works in focus)</w:t>
            </w:r>
          </w:p>
        </w:tc>
      </w:tr>
      <w:tr>
        <w:tc>
          <w:tcPr>
            <w:tcW w:type="dxa" w:w="2448"/>
          </w:tcPr>
          <w:p>
            <w:r/>
            <w:r>
              <w:rPr>
                <w:sz w:val="19"/>
              </w:rPr>
              <w:t>Citizen</w:t>
            </w:r>
          </w:p>
        </w:tc>
        <w:tc>
          <w:tcPr>
            <w:tcW w:type="dxa" w:w="7344"/>
          </w:tcPr>
          <w:p>
            <w:r/>
            <w:r>
              <w:rPr>
                <w:sz w:val="19"/>
              </w:rPr>
              <w:t>Read-only Citizen Portal + raise and track grievances; self-registration</w:t>
            </w:r>
          </w:p>
        </w:tc>
      </w:tr>
    </w:tbl>
    <w:p>
      <w:pPr>
        <w:spacing w:after="40"/>
      </w:pPr>
    </w:p>
    <w:p>
      <w:pPr>
        <w:spacing w:after="120"/>
      </w:pPr>
      <w:r>
        <w:rPr>
          <w:b w:val="0"/>
          <w:i w:val="0"/>
        </w:rPr>
        <w:t>RBAC is enforced by Spring Security at the API layer. The frontend also gates navigation and routes (a role→area map plus a RequireRole guard), but that is UX only — the backend is the authority. A citizen literally cannot call the authority /api/works endpoint.</w:t>
      </w:r>
    </w:p>
    <w:p>
      <w:pPr>
        <w:pStyle w:val="Heading2"/>
      </w:pPr>
      <w:r>
        <w:t>1.9 Feature-by-feature technology map</w:t>
      </w:r>
    </w:p>
    <w:tbl>
      <w:tblPr>
        <w:tblStyle w:val="TableGrid"/>
        <w:tblW w:type="auto" w:w="0"/>
        <w:jc w:val="center"/>
        <w:tblLook w:firstColumn="1" w:firstRow="1" w:lastColumn="0" w:lastRow="0" w:noHBand="0" w:noVBand="1" w:val="04A0"/>
      </w:tblPr>
      <w:tblGrid>
        <w:gridCol w:w="4824"/>
        <w:gridCol w:w="4824"/>
      </w:tblGrid>
      <w:tr>
        <w:tc>
          <w:tcPr>
            <w:tcW w:type="dxa" w:w="2448"/>
          </w:tcPr>
          <w:p>
            <w:r/>
            <w:r>
              <w:rPr>
                <w:b/>
                <w:sz w:val="19"/>
              </w:rPr>
              <w:t>Portal feature</w:t>
            </w:r>
          </w:p>
        </w:tc>
        <w:tc>
          <w:tcPr>
            <w:tcW w:type="dxa" w:w="7344"/>
          </w:tcPr>
          <w:p>
            <w:r/>
            <w:r>
              <w:rPr>
                <w:b/>
                <w:sz w:val="19"/>
              </w:rPr>
              <w:t>How it is built</w:t>
            </w:r>
          </w:p>
        </w:tc>
      </w:tr>
      <w:tr>
        <w:tc>
          <w:tcPr>
            <w:tcW w:type="dxa" w:w="2448"/>
          </w:tcPr>
          <w:p>
            <w:r/>
            <w:r>
              <w:rPr>
                <w:sz w:val="19"/>
              </w:rPr>
              <w:t>Government dashboard</w:t>
            </w:r>
          </w:p>
        </w:tc>
        <w:tc>
          <w:tcPr>
            <w:tcW w:type="dxa" w:w="7344"/>
          </w:tcPr>
          <w:p>
            <w:r/>
            <w:r>
              <w:rPr>
                <w:sz w:val="19"/>
              </w:rPr>
              <w:t>KPI metric cards, India bubble map (inline SVG), risk-distribution donut (Recharts), risk-factor frequency bars, 'projects requiring attention' list, compact exploration table — all recompute under the global filter</w:t>
            </w:r>
          </w:p>
        </w:tc>
      </w:tr>
      <w:tr>
        <w:tc>
          <w:tcPr>
            <w:tcW w:type="dxa" w:w="2448"/>
          </w:tcPr>
          <w:p>
            <w:r/>
            <w:r>
              <w:rPr>
                <w:sz w:val="19"/>
              </w:rPr>
              <w:t>India map</w:t>
            </w:r>
          </w:p>
        </w:tc>
        <w:tc>
          <w:tcPr>
            <w:tcW w:type="dxa" w:w="7344"/>
          </w:tcPr>
          <w:p>
            <w:r/>
            <w:r>
              <w:rPr>
                <w:sz w:val="19"/>
              </w:rPr>
              <w:t>Hand-built SVG: ~36 state centroids + India outline, area-proportional bubbles, hover tooltip with HIGH/MED/LOW split, click-to-filter, keyboard focusable. No map library</w:t>
            </w:r>
          </w:p>
        </w:tc>
      </w:tr>
      <w:tr>
        <w:tc>
          <w:tcPr>
            <w:tcW w:type="dxa" w:w="2448"/>
          </w:tcPr>
          <w:p>
            <w:r/>
            <w:r>
              <w:rPr>
                <w:sz w:val="19"/>
              </w:rPr>
              <w:t>Project Register</w:t>
            </w:r>
          </w:p>
        </w:tc>
        <w:tc>
          <w:tcPr>
            <w:tcW w:type="dxa" w:w="7344"/>
          </w:tcPr>
          <w:p>
            <w:r/>
            <w:r>
              <w:rPr>
                <w:sz w:val="19"/>
              </w:rPr>
              <w:t>Searchable/filterable work table with client-side pagination; per-row status + risk badges; link-through to detail</w:t>
            </w:r>
          </w:p>
        </w:tc>
      </w:tr>
      <w:tr>
        <w:tc>
          <w:tcPr>
            <w:tcW w:type="dxa" w:w="2448"/>
          </w:tcPr>
          <w:p>
            <w:r/>
            <w:r>
              <w:rPr>
                <w:sz w:val="19"/>
              </w:rPr>
              <w:t>Project Detail</w:t>
            </w:r>
          </w:p>
        </w:tc>
        <w:tc>
          <w:tcPr>
            <w:tcW w:type="dxa" w:w="7344"/>
          </w:tcPr>
          <w:p>
            <w:r/>
            <w:r>
              <w:rPr>
                <w:sz w:val="19"/>
              </w:rPr>
              <w:t>Description, location, MP/constituency, estimated cost, payment timeline, status; 'recommended next action' + six-dimension risk checklist derived from real rule output</w:t>
            </w:r>
          </w:p>
        </w:tc>
      </w:tr>
      <w:tr>
        <w:tc>
          <w:tcPr>
            <w:tcW w:type="dxa" w:w="2448"/>
          </w:tcPr>
          <w:p>
            <w:r/>
            <w:r>
              <w:rPr>
                <w:sz w:val="19"/>
              </w:rPr>
              <w:t>Risk &amp; Alerts</w:t>
            </w:r>
          </w:p>
        </w:tc>
        <w:tc>
          <w:tcPr>
            <w:tcW w:type="dxa" w:w="7344"/>
          </w:tcPr>
          <w:p>
            <w:r/>
            <w:r>
              <w:rPr>
                <w:sz w:val="19"/>
              </w:rPr>
              <w:t>Metric cards + donut + factor bars over the filtered set; alert list with rule reasons</w:t>
            </w:r>
          </w:p>
        </w:tc>
      </w:tr>
      <w:tr>
        <w:tc>
          <w:tcPr>
            <w:tcW w:type="dxa" w:w="2448"/>
          </w:tcPr>
          <w:p>
            <w:r/>
            <w:r>
              <w:rPr>
                <w:sz w:val="19"/>
              </w:rPr>
              <w:t>Compare MPs</w:t>
            </w:r>
          </w:p>
        </w:tc>
        <w:tc>
          <w:tcPr>
            <w:tcW w:type="dxa" w:w="7344"/>
          </w:tcPr>
          <w:p>
            <w:r/>
            <w:r>
              <w:rPr>
                <w:sz w:val="19"/>
              </w:rPr>
              <w:t>Pick up to 4 MPs (URL-synced); Recharts bar chart with per-MP colour + dashed all-MP-average line + value labels; detailed table incl. official allocated limit and fund-utilisation % (Σ estimated ÷ allocated); unmatched MPs show '—'</w:t>
            </w:r>
          </w:p>
        </w:tc>
      </w:tr>
      <w:tr>
        <w:tc>
          <w:tcPr>
            <w:tcW w:type="dxa" w:w="2448"/>
          </w:tcPr>
          <w:p>
            <w:r/>
            <w:r>
              <w:rPr>
                <w:sz w:val="19"/>
              </w:rPr>
              <w:t>Citizen Portal</w:t>
            </w:r>
          </w:p>
        </w:tc>
        <w:tc>
          <w:tcPr>
            <w:tcW w:type="dxa" w:w="7344"/>
          </w:tcPr>
          <w:p>
            <w:r/>
            <w:r>
              <w:rPr>
                <w:sz w:val="19"/>
              </w:rPr>
              <w:t>Read-only public projection of works; search + view publicly releasable fields</w:t>
            </w:r>
          </w:p>
        </w:tc>
      </w:tr>
      <w:tr>
        <w:tc>
          <w:tcPr>
            <w:tcW w:type="dxa" w:w="2448"/>
          </w:tcPr>
          <w:p>
            <w:r/>
            <w:r>
              <w:rPr>
                <w:sz w:val="19"/>
              </w:rPr>
              <w:t>Grievances</w:t>
            </w:r>
          </w:p>
        </w:tc>
        <w:tc>
          <w:tcPr>
            <w:tcW w:type="dxa" w:w="7344"/>
          </w:tcPr>
          <w:p>
            <w:r/>
            <w:r>
              <w:rPr>
                <w:sz w:val="19"/>
              </w:rPr>
              <w:t>Citizen submission form + personal list; authority review queue with SUBMITTED → UNDER_REVIEW → ACTIONED → CLOSED transitions and action notes; backed by /api/grievances</w:t>
            </w:r>
          </w:p>
        </w:tc>
      </w:tr>
      <w:tr>
        <w:tc>
          <w:tcPr>
            <w:tcW w:type="dxa" w:w="2448"/>
          </w:tcPr>
          <w:p>
            <w:r/>
            <w:r>
              <w:rPr>
                <w:sz w:val="19"/>
              </w:rPr>
              <w:t>CSV export</w:t>
            </w:r>
          </w:p>
        </w:tc>
        <w:tc>
          <w:tcPr>
            <w:tcW w:type="dxa" w:w="7344"/>
          </w:tcPr>
          <w:p>
            <w:r/>
            <w:r>
              <w:rPr>
                <w:sz w:val="19"/>
              </w:rPr>
              <w:t>Dependency-free exporter on Project Register and Risk &amp; Alerts; exports exactly the currently filtered rows; All / Completed only / Recommended only scopes; filename encodes the active filters</w:t>
            </w:r>
          </w:p>
        </w:tc>
      </w:tr>
      <w:tr>
        <w:tc>
          <w:tcPr>
            <w:tcW w:type="dxa" w:w="2448"/>
          </w:tcPr>
          <w:p>
            <w:r/>
            <w:r>
              <w:rPr>
                <w:sz w:val="19"/>
              </w:rPr>
              <w:t>Global filter bar</w:t>
            </w:r>
          </w:p>
        </w:tc>
        <w:tc>
          <w:tcPr>
            <w:tcW w:type="dxa" w:w="7344"/>
          </w:tcPr>
          <w:p>
            <w:r/>
            <w:r>
              <w:rPr>
                <w:sz w:val="19"/>
              </w:rPr>
              <w:t>Year / state / district / status, persisted in the URL query string and re-asserted across navigation; deep links load pre-filtered</w:t>
            </w:r>
          </w:p>
        </w:tc>
      </w:tr>
      <w:tr>
        <w:tc>
          <w:tcPr>
            <w:tcW w:type="dxa" w:w="2448"/>
          </w:tcPr>
          <w:p>
            <w:r/>
            <w:r>
              <w:rPr>
                <w:sz w:val="19"/>
              </w:rPr>
              <w:t>Multilingual</w:t>
            </w:r>
          </w:p>
        </w:tc>
        <w:tc>
          <w:tcPr>
            <w:tcW w:type="dxa" w:w="7344"/>
          </w:tcPr>
          <w:p>
            <w:r/>
            <w:r>
              <w:rPr>
                <w:sz w:val="19"/>
              </w:rPr>
              <w:t>Google Website Translator widget behind a custom 12-language header dropdown; labelled in-code as machine translation, not true i18n; needs internet, degrades gracefully</w:t>
            </w:r>
          </w:p>
        </w:tc>
      </w:tr>
      <w:tr>
        <w:tc>
          <w:tcPr>
            <w:tcW w:type="dxa" w:w="2448"/>
          </w:tcPr>
          <w:p>
            <w:r/>
            <w:r>
              <w:rPr>
                <w:sz w:val="19"/>
              </w:rPr>
              <w:t>Voice command bar</w:t>
            </w:r>
          </w:p>
        </w:tc>
        <w:tc>
          <w:tcPr>
            <w:tcW w:type="dxa" w:w="7344"/>
          </w:tcPr>
          <w:p>
            <w:r/>
            <w:r>
              <w:rPr>
                <w:sz w:val="19"/>
              </w:rPr>
              <w:t>Browser-native SpeechRecognition + SpeechSynthesis; keyword router to route + filters (e.g. 'show high risk in Maharashtra'); typed-input fallback where the API is absent</w:t>
            </w:r>
          </w:p>
        </w:tc>
      </w:tr>
      <w:tr>
        <w:tc>
          <w:tcPr>
            <w:tcW w:type="dxa" w:w="2448"/>
          </w:tcPr>
          <w:p>
            <w:r/>
            <w:r>
              <w:rPr>
                <w:sz w:val="19"/>
              </w:rPr>
              <w:t>Collapsible sidebar</w:t>
            </w:r>
          </w:p>
        </w:tc>
        <w:tc>
          <w:tcPr>
            <w:tcW w:type="dxa" w:w="7344"/>
          </w:tcPr>
          <w:p>
            <w:r/>
            <w:r>
              <w:rPr>
                <w:sz w:val="19"/>
              </w:rPr>
              <w:t>Desktop toggle collapses the nav to a 60px icon rail (icon per item + tooltip); state in localStorage; mobile off-canvas drawer unchanged</w:t>
            </w:r>
          </w:p>
        </w:tc>
      </w:tr>
    </w:tbl>
    <w:p>
      <w:pPr>
        <w:spacing w:after="40"/>
      </w:pPr>
    </w:p>
    <w:p>
      <w:pPr>
        <w:pStyle w:val="Heading2"/>
      </w:pPr>
      <w:r>
        <w:t>1.10 Design system &amp; accessibility</w:t>
      </w:r>
    </w:p>
    <w:p>
      <w:pPr>
        <w:pStyle w:val="ListBullet"/>
        <w:spacing w:after="60"/>
      </w:pPr>
      <w:r>
        <w:t>A single design-token stylesheet (colour, spacing, type scale, elevation, layout) is the source of truth; components never hardcode a value twice. One restrained light theme aimed at a government analytics audience.</w:t>
      </w:r>
    </w:p>
    <w:p>
      <w:pPr>
        <w:pStyle w:val="ListBullet"/>
        <w:spacing w:after="60"/>
      </w:pPr>
      <w:r>
        <w:t>Chart colours follow an accessibility-checked categorical palette (colour-vision-deficiency safe) with direct value labels so the chart is readable without relying on colour alone.</w:t>
      </w:r>
    </w:p>
    <w:p>
      <w:pPr>
        <w:pStyle w:val="ListBullet"/>
        <w:spacing w:after="60"/>
      </w:pPr>
      <w:r>
        <w:t>Landmarks, a skip-to-content link, focus-visible outlines, keyboard-operable map regions, aria labels on charts, reduced-motion handling, and label text kept in the accessibility tree even when visually collapsed.</w:t>
      </w:r>
    </w:p>
    <w:p>
      <w:pPr>
        <w:pStyle w:val="Heading2"/>
      </w:pPr>
      <w:r>
        <w:t>1.11 Testing &amp; quality tooling</w:t>
      </w:r>
    </w:p>
    <w:p>
      <w:pPr>
        <w:pStyle w:val="ListBullet"/>
        <w:spacing w:after="60"/>
      </w:pPr>
      <w:r>
        <w:t>~219 unit/component tests (Vitest + Testing Library) covering formatting, filters, the risk rules, CSV export, RBAC guards, the shell, and each feature service.</w:t>
      </w:r>
    </w:p>
    <w:p>
      <w:pPr>
        <w:pStyle w:val="ListBullet"/>
        <w:spacing w:after="60"/>
      </w:pPr>
      <w:r>
        <w:t>TypeScript project build (tsc -b) and ESLint both run clean; Prettier enforces formatting.</w:t>
      </w:r>
    </w:p>
    <w:p>
      <w:pPr>
        <w:pStyle w:val="ListBullet"/>
        <w:spacing w:after="60"/>
      </w:pPr>
      <w:r>
        <w:t>Pure business logic lives in feature services and small pure modules (filters, CSV, risk factors, MP aggregation), not inside components — so it is unit-testable in isolation.</w:t>
      </w:r>
    </w:p>
    <w:p>
      <w:pPr>
        <w:pStyle w:val="Heading2"/>
      </w:pPr>
      <w:r>
        <w:t>1.12 Deployment</w:t>
      </w:r>
    </w:p>
    <w:p>
      <w:pPr>
        <w:pStyle w:val="ListBullet"/>
        <w:spacing w:after="60"/>
      </w:pPr>
      <w:r>
        <w:t>Demo: static Vite build (npm run build:demo) on Vercel with SPA rewrite; VITE_DATA_SOURCE=demo, persona picker, no server. Deep links work.</w:t>
      </w:r>
    </w:p>
    <w:p>
      <w:pPr>
        <w:pStyle w:val="ListBullet"/>
        <w:spacing w:after="60"/>
      </w:pPr>
      <w:r>
        <w:t>Full stack (local / server): Spring Boot on a servlet port + PostgreSQL (Docker); the frontend points at the API with VITE_DATA_SOURCE=api, flipped per capability as endpoints land.</w:t>
      </w:r>
    </w:p>
    <w:p>
      <w:pPr>
        <w:pStyle w:val="Heading2"/>
      </w:pPr>
      <w:r>
        <w:t>1.13 Planned architecture not yet in the web portal</w:t>
      </w:r>
    </w:p>
    <w:p>
      <w:pPr>
        <w:spacing w:after="120"/>
      </w:pPr>
      <w:r>
        <w:rPr>
          <w:b w:val="0"/>
          <w:i w:val="0"/>
        </w:rPr>
        <w:t>These are in the agreed architecture and roadmap but are intentionally out of the current web-portal build (Round-1 strategy: get every screen complete on the DataProvider seam first). They are not faked in the UI:</w:t>
      </w:r>
    </w:p>
    <w:tbl>
      <w:tblPr>
        <w:tblStyle w:val="TableGrid"/>
        <w:tblW w:type="auto" w:w="0"/>
        <w:jc w:val="center"/>
        <w:tblLook w:firstColumn="1" w:firstRow="1" w:lastColumn="0" w:lastRow="0" w:noHBand="0" w:noVBand="1" w:val="04A0"/>
      </w:tblPr>
      <w:tblGrid>
        <w:gridCol w:w="4824"/>
        <w:gridCol w:w="4824"/>
      </w:tblGrid>
      <w:tr>
        <w:tc>
          <w:tcPr>
            <w:tcW w:type="dxa" w:w="3312"/>
          </w:tcPr>
          <w:p>
            <w:r/>
            <w:r>
              <w:rPr>
                <w:b/>
                <w:sz w:val="19"/>
              </w:rPr>
              <w:t>Component</w:t>
            </w:r>
          </w:p>
        </w:tc>
        <w:tc>
          <w:tcPr>
            <w:tcW w:type="dxa" w:w="6480"/>
          </w:tcPr>
          <w:p>
            <w:r/>
            <w:r>
              <w:rPr>
                <w:b/>
                <w:sz w:val="19"/>
              </w:rPr>
              <w:t>Status / intent</w:t>
            </w:r>
          </w:p>
        </w:tc>
      </w:tr>
      <w:tr>
        <w:tc>
          <w:tcPr>
            <w:tcW w:type="dxa" w:w="3312"/>
          </w:tcPr>
          <w:p>
            <w:r/>
            <w:r>
              <w:rPr>
                <w:sz w:val="19"/>
              </w:rPr>
              <w:t>Hyperledger Fabric audit ledger</w:t>
            </w:r>
          </w:p>
        </w:tc>
        <w:tc>
          <w:tcPr>
            <w:tcW w:type="dxa" w:w="6480"/>
          </w:tcPr>
          <w:p>
            <w:r/>
            <w:r>
              <w:rPr>
                <w:sz w:val="19"/>
              </w:rPr>
              <w:t>Permissioned ledger for selected immutable audit events; exposed to citizens only through controlled backend APIs. Deferred to the backend-integration phase</w:t>
            </w:r>
          </w:p>
        </w:tc>
      </w:tr>
      <w:tr>
        <w:tc>
          <w:tcPr>
            <w:tcW w:type="dxa" w:w="3312"/>
          </w:tcPr>
          <w:p>
            <w:r/>
            <w:r>
              <w:rPr>
                <w:sz w:val="19"/>
              </w:rPr>
              <w:t>IPFS / Pinata evidence store</w:t>
            </w:r>
          </w:p>
        </w:tc>
        <w:tc>
          <w:tcPr>
            <w:tcW w:type="dxa" w:w="6480"/>
          </w:tcPr>
          <w:p>
            <w:r/>
            <w:r>
              <w:rPr>
                <w:sz w:val="19"/>
              </w:rPr>
              <w:t>Field photos and documents live in IPFS; only the CID is stored in Postgres. Deferred with the mobile verification flow</w:t>
            </w:r>
          </w:p>
        </w:tc>
      </w:tr>
      <w:tr>
        <w:tc>
          <w:tcPr>
            <w:tcW w:type="dxa" w:w="3312"/>
          </w:tcPr>
          <w:p>
            <w:r/>
            <w:r>
              <w:rPr>
                <w:sz w:val="19"/>
              </w:rPr>
              <w:t>Python AI service</w:t>
            </w:r>
          </w:p>
        </w:tc>
        <w:tc>
          <w:tcPr>
            <w:tcW w:type="dxa" w:w="6480"/>
          </w:tcPr>
          <w:p>
            <w:r/>
            <w:r>
              <w:rPr>
                <w:sz w:val="19"/>
              </w:rPr>
              <w:t>Separate service for future ML (duplicate/similar-work detection, delay prediction, geospatial, advanced explanations). Round 1 stays rule-based on purpose</w:t>
            </w:r>
          </w:p>
        </w:tc>
      </w:tr>
      <w:tr>
        <w:tc>
          <w:tcPr>
            <w:tcW w:type="dxa" w:w="3312"/>
          </w:tcPr>
          <w:p>
            <w:r/>
            <w:r>
              <w:rPr>
                <w:sz w:val="19"/>
              </w:rPr>
              <w:t>Flutter mobile app</w:t>
            </w:r>
          </w:p>
        </w:tc>
        <w:tc>
          <w:tcPr>
            <w:tcW w:type="dxa" w:w="6480"/>
          </w:tcPr>
          <w:p>
            <w:r/>
            <w:r>
              <w:rPr>
                <w:sz w:val="19"/>
              </w:rPr>
              <w:t>Field-officer verification capture (photo → IPFS → CID → backend). Separate app, separate track</w:t>
            </w:r>
          </w:p>
        </w:tc>
      </w:tr>
    </w:tbl>
    <w:p>
      <w:pPr>
        <w:spacing w:after="40"/>
      </w:pPr>
    </w:p>
    <w:p>
      <w:pPr>
        <w:pStyle w:val="Heading1"/>
      </w:pPr>
      <w:r>
        <w:t>2. Unique Selling Propositions</w:t>
      </w:r>
    </w:p>
    <w:p>
      <w:pPr>
        <w:pStyle w:val="Heading3"/>
      </w:pPr>
      <w:r>
        <w:t>2.1 Real MPLADS data, at national scale</w:t>
      </w:r>
    </w:p>
    <w:p>
      <w:pPr>
        <w:spacing w:after="120"/>
      </w:pPr>
      <w:r>
        <w:rPr>
          <w:b w:val="0"/>
          <w:i w:val="0"/>
        </w:rPr>
        <w:t>The portal runs on ~6,044 real works across all 34 states/UTs with ~₹289.9 crore of real recorded vendor payments and real MP allocation figures from the official MoSPI list. Comparable hackathon prototypes typically demo on a handful of hardcoded rows. Every KPI, map bubble, risk score and chart traces back to an ingested record.</w:t>
      </w:r>
    </w:p>
    <w:p>
      <w:pPr>
        <w:pStyle w:val="Heading3"/>
      </w:pPr>
      <w:r>
        <w:t>2.2 Transparent, auditable risk detection — not a black box</w:t>
      </w:r>
    </w:p>
    <w:p>
      <w:pPr>
        <w:spacing w:after="120"/>
      </w:pPr>
      <w:r>
        <w:rPr>
          <w:b w:val="0"/>
          <w:i w:val="0"/>
        </w:rPr>
        <w:t>Six documented rules with fixed weights and thresholds, each shown with a plain-language reason and a recommended next action. An investigator can see exactly why a work was flagged and reproduce it. This is the right posture for a government accountability tool, where a fabricated 'AI confidence 94%' would be indefensible.</w:t>
      </w:r>
    </w:p>
    <w:p>
      <w:pPr>
        <w:pStyle w:val="Heading3"/>
      </w:pPr>
      <w:r>
        <w:t>2.3 Honest about data limitations</w:t>
      </w:r>
    </w:p>
    <w:p>
      <w:pPr>
        <w:spacing w:after="120"/>
      </w:pPr>
      <w:r>
        <w:rPr>
          <w:b w:val="0"/>
          <w:i w:val="0"/>
        </w:rPr>
        <w:t>Missing payments are shown as 'unknown', not zero; secondary-source data is labelled as such and never dressed up as the official system; unpopulated fields (beneficiaries, Hindi text) are not used. This integrity discipline is baked into the codebase and the docs.</w:t>
      </w:r>
    </w:p>
    <w:p>
      <w:pPr>
        <w:pStyle w:val="Heading3"/>
      </w:pPr>
      <w:r>
        <w:t>2.4 Real security model</w:t>
      </w:r>
    </w:p>
    <w:p>
      <w:pPr>
        <w:spacing w:after="120"/>
      </w:pPr>
      <w:r>
        <w:rPr>
          <w:b w:val="0"/>
          <w:i w:val="0"/>
        </w:rPr>
        <w:t>Six roles, real session-based authentication, BCrypt password hashing, and authorization enforced at the API layer — with a working citizen self-registration path and a citizen-only public data projection. Not just role-labelled buttons.</w:t>
      </w:r>
    </w:p>
    <w:p>
      <w:pPr>
        <w:pStyle w:val="Heading3"/>
      </w:pPr>
      <w:r>
        <w:t>2.5 Full stakeholder coverage in one portal</w:t>
      </w:r>
    </w:p>
    <w:p>
      <w:pPr>
        <w:spacing w:after="120"/>
      </w:pPr>
      <w:r>
        <w:rPr>
          <w:b w:val="0"/>
          <w:i w:val="0"/>
        </w:rPr>
        <w:t>Ministry, State, District, Auditor, MP and Citizen each have a purpose-built surface — including a citizen transparency portal and an end-to-end grievance workflow (submit → review → action → close) — rather than a single analyst dashboard.</w:t>
      </w:r>
    </w:p>
    <w:p>
      <w:pPr>
        <w:pStyle w:val="Heading3"/>
      </w:pPr>
      <w:r>
        <w:t>2.6 Decision-support depth</w:t>
      </w:r>
    </w:p>
    <w:p>
      <w:pPr>
        <w:spacing w:after="120"/>
      </w:pPr>
      <w:r>
        <w:rPr>
          <w:b w:val="0"/>
          <w:i w:val="0"/>
        </w:rPr>
        <w:t>India map with click-to-filter, a persistent URL-synced global filter that carries across screens, MP-vs-MP comparison against official allocations, CSV export of any filtered slice, multilingual UI for 12 languages, and a voice command entry point — the analyst can move from national view to a single flagged work in a few clicks.</w:t>
      </w:r>
    </w:p>
    <w:p>
      <w:pPr>
        <w:pStyle w:val="Heading3"/>
      </w:pPr>
      <w:r>
        <w:t>2.7 Architecturally ready to grow</w:t>
      </w:r>
    </w:p>
    <w:p>
      <w:pPr>
        <w:spacing w:after="120"/>
      </w:pPr>
      <w:r>
        <w:rPr>
          <w:b w:val="0"/>
          <w:i w:val="0"/>
        </w:rPr>
        <w:t>The DataProvider seam means screens do not change when the backend behind them does. The provenance columns, raw-record store and separate-service boundaries leave clean room for IPFS evidence, a Fabric audit trail and an ML service without rework.</w:t>
      </w:r>
    </w:p>
    <w:p>
      <w:pPr>
        <w:pStyle w:val="Heading1"/>
      </w:pPr>
      <w:r>
        <w:t>3. Go-to-Market Propositions</w:t>
      </w:r>
    </w:p>
    <w:p>
      <w:pPr>
        <w:spacing w:after="120"/>
      </w:pPr>
      <w:r>
        <w:rPr>
          <w:b w:val="0"/>
          <w:i/>
        </w:rPr>
        <w:t>This is a prototype for SIH PS 26102, whose 'customer' is MoSPI's Data Informatics &amp; Innovation Division and the MPLADS stakeholder chain. The notes below frame how it would move from prototype to adopted tool.</w:t>
      </w:r>
    </w:p>
    <w:p>
      <w:pPr>
        <w:pStyle w:val="Heading2"/>
      </w:pPr>
      <w:r>
        <w:t>3.1 Who it is for</w:t>
      </w:r>
    </w:p>
    <w:tbl>
      <w:tblPr>
        <w:tblStyle w:val="TableGrid"/>
        <w:tblW w:type="auto" w:w="0"/>
        <w:jc w:val="center"/>
        <w:tblLook w:firstColumn="1" w:firstRow="1" w:lastColumn="0" w:lastRow="0" w:noHBand="0" w:noVBand="1" w:val="04A0"/>
      </w:tblPr>
      <w:tblGrid>
        <w:gridCol w:w="4824"/>
        <w:gridCol w:w="4824"/>
      </w:tblGrid>
      <w:tr>
        <w:tc>
          <w:tcPr>
            <w:tcW w:type="dxa" w:w="2736"/>
          </w:tcPr>
          <w:p>
            <w:r/>
            <w:r>
              <w:rPr>
                <w:b/>
                <w:sz w:val="19"/>
              </w:rPr>
              <w:t>Stakeholder</w:t>
            </w:r>
          </w:p>
        </w:tc>
        <w:tc>
          <w:tcPr>
            <w:tcW w:type="dxa" w:w="7056"/>
          </w:tcPr>
          <w:p>
            <w:r/>
            <w:r>
              <w:rPr>
                <w:b/>
                <w:sz w:val="19"/>
              </w:rPr>
              <w:t>Value proposition</w:t>
            </w:r>
          </w:p>
        </w:tc>
      </w:tr>
      <w:tr>
        <w:tc>
          <w:tcPr>
            <w:tcW w:type="dxa" w:w="2736"/>
          </w:tcPr>
          <w:p>
            <w:r/>
            <w:r>
              <w:rPr>
                <w:sz w:val="19"/>
              </w:rPr>
              <w:t>MoSPI / Ministry</w:t>
            </w:r>
          </w:p>
        </w:tc>
        <w:tc>
          <w:tcPr>
            <w:tcW w:type="dxa" w:w="7056"/>
          </w:tcPr>
          <w:p>
            <w:r/>
            <w:r>
              <w:rPr>
                <w:sz w:val="19"/>
              </w:rPr>
              <w:t>National oversight, early-warning alerts, and a defensible audit story for Parliament questions — replacing manual sampling of thousands of works</w:t>
            </w:r>
          </w:p>
        </w:tc>
      </w:tr>
      <w:tr>
        <w:tc>
          <w:tcPr>
            <w:tcW w:type="dxa" w:w="2736"/>
          </w:tcPr>
          <w:p>
            <w:r/>
            <w:r>
              <w:rPr>
                <w:sz w:val="19"/>
              </w:rPr>
              <w:t>State &amp; District authorities</w:t>
            </w:r>
          </w:p>
        </w:tc>
        <w:tc>
          <w:tcPr>
            <w:tcW w:type="dxa" w:w="7056"/>
          </w:tcPr>
          <w:p>
            <w:r/>
            <w:r>
              <w:rPr>
                <w:sz w:val="19"/>
              </w:rPr>
              <w:t>A prioritised worklist: which recommended works in my jurisdiction look irregular or stalled, with the reason attached</w:t>
            </w:r>
          </w:p>
        </w:tc>
      </w:tr>
      <w:tr>
        <w:tc>
          <w:tcPr>
            <w:tcW w:type="dxa" w:w="2736"/>
          </w:tcPr>
          <w:p>
            <w:r/>
            <w:r>
              <w:rPr>
                <w:sz w:val="19"/>
              </w:rPr>
              <w:t>Auditors</w:t>
            </w:r>
          </w:p>
        </w:tc>
        <w:tc>
          <w:tcPr>
            <w:tcW w:type="dxa" w:w="7056"/>
          </w:tcPr>
          <w:p>
            <w:r/>
            <w:r>
              <w:rPr>
                <w:sz w:val="19"/>
              </w:rPr>
              <w:t>Reproducible, rule-based flags and exportable evidence slices — an audit lead list, not a hunch</w:t>
            </w:r>
          </w:p>
        </w:tc>
      </w:tr>
      <w:tr>
        <w:tc>
          <w:tcPr>
            <w:tcW w:type="dxa" w:w="2736"/>
          </w:tcPr>
          <w:p>
            <w:r/>
            <w:r>
              <w:rPr>
                <w:sz w:val="19"/>
              </w:rPr>
              <w:t>Members of Parliament</w:t>
            </w:r>
          </w:p>
        </w:tc>
        <w:tc>
          <w:tcPr>
            <w:tcW w:type="dxa" w:w="7056"/>
          </w:tcPr>
          <w:p>
            <w:r/>
            <w:r>
              <w:rPr>
                <w:sz w:val="19"/>
              </w:rPr>
              <w:t>Visibility into the status and fund utilisation of works recommended in their constituency</w:t>
            </w:r>
          </w:p>
        </w:tc>
      </w:tr>
      <w:tr>
        <w:tc>
          <w:tcPr>
            <w:tcW w:type="dxa" w:w="2736"/>
          </w:tcPr>
          <w:p>
            <w:r/>
            <w:r>
              <w:rPr>
                <w:sz w:val="19"/>
              </w:rPr>
              <w:t>Citizens</w:t>
            </w:r>
          </w:p>
        </w:tc>
        <w:tc>
          <w:tcPr>
            <w:tcW w:type="dxa" w:w="7056"/>
          </w:tcPr>
          <w:p>
            <w:r/>
            <w:r>
              <w:rPr>
                <w:sz w:val="19"/>
              </w:rPr>
              <w:t>A plain-language public view of local works and a channel to raise a grievance and track it</w:t>
            </w:r>
          </w:p>
        </w:tc>
      </w:tr>
    </w:tbl>
    <w:p>
      <w:pPr>
        <w:spacing w:after="40"/>
      </w:pPr>
    </w:p>
    <w:p>
      <w:pPr>
        <w:pStyle w:val="Heading2"/>
      </w:pPr>
      <w:r>
        <w:t>3.2 Adoption path</w:t>
      </w:r>
    </w:p>
    <w:p>
      <w:pPr>
        <w:pStyle w:val="ListNumber"/>
        <w:spacing w:after="60"/>
      </w:pPr>
      <w:r>
        <w:t>Pilot with one state's data end-to-end on the real backend, validated against that state's own records.</w:t>
      </w:r>
    </w:p>
    <w:p>
      <w:pPr>
        <w:pStyle w:val="ListNumber"/>
        <w:spacing w:after="60"/>
      </w:pPr>
      <w:r>
        <w:t>Harden ingestion to the official e-SAKSHI feed once authorised access is available, keeping Empowered Indian only as a cross-check.</w:t>
      </w:r>
    </w:p>
    <w:p>
      <w:pPr>
        <w:pStyle w:val="ListNumber"/>
        <w:spacing w:after="60"/>
      </w:pPr>
      <w:r>
        <w:t>Turn on the rule-based alerts for a live review team; measure precision (how many flags were worth investigating).</w:t>
      </w:r>
    </w:p>
    <w:p>
      <w:pPr>
        <w:pStyle w:val="ListNumber"/>
        <w:spacing w:after="60"/>
      </w:pPr>
      <w:r>
        <w:t>Add the mobile field-verification loop (photo → IPFS) and the Fabric audit event for the works under active review.</w:t>
      </w:r>
    </w:p>
    <w:p>
      <w:pPr>
        <w:pStyle w:val="ListNumber"/>
        <w:spacing w:after="60"/>
      </w:pPr>
      <w:r>
        <w:t>Layer the ML service on top once enough labelled review outcomes exist to train and evaluate it honestly.</w:t>
      </w:r>
    </w:p>
    <w:p>
      <w:pPr>
        <w:pStyle w:val="Heading2"/>
      </w:pPr>
      <w:r>
        <w:t>3.3 Positioning</w:t>
      </w:r>
    </w:p>
    <w:p>
      <w:pPr>
        <w:pStyle w:val="ListBullet"/>
        <w:spacing w:after="60"/>
      </w:pPr>
      <w:r>
        <w:t>Complements, does not replace, e-SAKSHI: it is the monitoring/analytics layer on top of the system of record.</w:t>
      </w:r>
    </w:p>
    <w:p>
      <w:pPr>
        <w:pStyle w:val="ListBullet"/>
        <w:spacing w:after="60"/>
      </w:pPr>
      <w:r>
        <w:t>Government-appropriate by design: on-premise-friendly modular monolith, PostgreSQL, no mandatory cloud lock-in, secrets in configuration not code.</w:t>
      </w:r>
    </w:p>
    <w:p>
      <w:pPr>
        <w:pStyle w:val="ListBullet"/>
        <w:spacing w:after="60"/>
      </w:pPr>
      <w:r>
        <w:t>Low integration cost: one backend integration point; the portal is a static build; the demo runs with no server at all.</w:t>
      </w:r>
    </w:p>
    <w:p>
      <w:pPr>
        <w:pStyle w:val="ListBullet"/>
        <w:spacing w:after="60"/>
      </w:pPr>
      <w:r>
        <w:t>Transparency as a feature, not a risk: the rule logic and data provenance are meant to be shown to auditors and to the public.</w:t>
      </w:r>
    </w:p>
    <w:p>
      <w:pPr>
        <w:pStyle w:val="Heading2"/>
      </w:pPr>
      <w:r>
        <w:t>3.4 Cost &amp; effort story</w:t>
      </w:r>
    </w:p>
    <w:p>
      <w:pPr>
        <w:pStyle w:val="ListBullet"/>
        <w:spacing w:after="60"/>
      </w:pPr>
      <w:r>
        <w:t>Two runtime dependencies on the frontend (React, Router) plus one charting library; minimal supply-chain surface to review.</w:t>
      </w:r>
    </w:p>
    <w:p>
      <w:pPr>
        <w:pStyle w:val="ListBullet"/>
        <w:spacing w:after="60"/>
      </w:pPr>
      <w:r>
        <w:t>Standard, widely-staffed stack (Spring Boot, PostgreSQL, React) — no exotic infrastructure to operate (no Kafka/Redis/Kubernetes for Round 1).</w:t>
      </w:r>
    </w:p>
    <w:p>
      <w:pPr>
        <w:pStyle w:val="ListBullet"/>
        <w:spacing w:after="60"/>
      </w:pPr>
      <w:r>
        <w:t>Rule-based risk needs no training data, no GPUs, and no model-governance process to start delivering value.</w:t>
      </w:r>
    </w:p>
    <w:p>
      <w:pPr>
        <w:pStyle w:val="Heading1"/>
      </w:pPr>
      <w:r>
        <w:t>4. Anticipated Questions &amp; Answers</w:t>
      </w:r>
    </w:p>
    <w:p>
      <w:pPr>
        <w:spacing w:after="120"/>
      </w:pPr>
      <w:r>
        <w:rPr>
          <w:b w:val="0"/>
          <w:i/>
        </w:rPr>
        <w:t>Prepared answers for evaluators, judges and stakeholders. Grouped by theme.</w:t>
      </w:r>
    </w:p>
    <w:p>
      <w:pPr>
        <w:pStyle w:val="Heading2"/>
      </w:pPr>
      <w:r>
        <w:t>4.1 Data &amp; authenticity</w:t>
      </w:r>
    </w:p>
    <w:p>
      <w:pPr>
        <w:spacing w:after="40"/>
      </w:pPr>
      <w:r>
        <w:rPr>
          <w:b/>
        </w:rPr>
        <w:t>Q. Is this real MPLADS data or mock data?</w:t>
      </w:r>
    </w:p>
    <w:p>
      <w:pPr>
        <w:spacing w:after="160"/>
      </w:pPr>
      <w:r>
        <w:t>A. Real. ~6,044 works across 34 states/UTs with ~₹289.9 crore of real recorded vendor payments, plus the official MoSPI per-MP allocation list. The demo build uses a small seed set whose record shape is identical to the real one; it is distinguishable only in code (an id range and a separate provider), never labelled differently in the UI because it is a stand-in for the same fields.</w:t>
      </w:r>
    </w:p>
    <w:p>
      <w:pPr>
        <w:spacing w:after="40"/>
      </w:pPr>
      <w:r>
        <w:rPr>
          <w:b/>
        </w:rPr>
        <w:t>Q. Where does the data come from, and is that allowed?</w:t>
      </w:r>
    </w:p>
    <w:p>
      <w:pPr>
        <w:spacing w:after="160"/>
      </w:pPr>
      <w:r>
        <w:t>A. The official MoSPI e-SAKSHI dashboard is the preferred source but only publishes aggregate figures. Work-level records currently come from the Empowered Indian public API, accessed anonymously over HTTPS with no access control bypassed. It is treated as a secondary re-publisher, not as the owner of the data, and every row records its source and retrieval time.</w:t>
      </w:r>
    </w:p>
    <w:p>
      <w:pPr>
        <w:spacing w:after="40"/>
      </w:pPr>
      <w:r>
        <w:rPr>
          <w:b/>
        </w:rPr>
        <w:t>Q. What happens when data is missing?</w:t>
      </w:r>
    </w:p>
    <w:p>
      <w:pPr>
        <w:spacing w:after="160"/>
      </w:pPr>
      <w:r>
        <w:t>A. It is preserved as missing. A payments 404 is stored as 'unknown', not zero. Unpopulated fields (beneficiary counts, Hindi text) are not used. Missing payment records are never interpreted as fraud, and nulls are never treated as valid measurements.</w:t>
      </w:r>
    </w:p>
    <w:p>
      <w:pPr>
        <w:spacing w:after="40"/>
      </w:pPr>
      <w:r>
        <w:rPr>
          <w:b/>
        </w:rPr>
        <w:t>Q. How fresh is the data?</w:t>
      </w:r>
    </w:p>
    <w:p>
      <w:pPr>
        <w:spacing w:after="160"/>
      </w:pPr>
      <w:r>
        <w:t>A. It is a point-in-time ingestion; each row carries a retrieved-at timestamp. The source API exposes no true freshness field. A production deployment would ingest on a schedule against the authoritative feed.</w:t>
      </w:r>
    </w:p>
    <w:p>
      <w:pPr>
        <w:spacing w:after="40"/>
      </w:pPr>
      <w:r>
        <w:rPr>
          <w:b/>
        </w:rPr>
        <w:t>Q. You show a 'Fund utilisation %' — how is that computed and is it fair?</w:t>
      </w:r>
    </w:p>
    <w:p>
      <w:pPr>
        <w:spacing w:after="160"/>
      </w:pPr>
      <w:r>
        <w:t>A. Only on Compare MPs, and only as Σ estimated cost of an MP's recommended works ÷ that MP's official allocated limit from the MoSPI list. All 248 ingested MPs matched the official list by normalised name + state, and none exceeded their allocation. MPs not on the list show '—', never a guess.</w:t>
      </w:r>
    </w:p>
    <w:p>
      <w:pPr>
        <w:pStyle w:val="Heading2"/>
      </w:pPr>
      <w:r>
        <w:t>4.2 Risk methodology</w:t>
      </w:r>
    </w:p>
    <w:p>
      <w:pPr>
        <w:spacing w:after="40"/>
      </w:pPr>
      <w:r>
        <w:rPr>
          <w:b/>
        </w:rPr>
        <w:t>Q. Is this AI? Where is the machine learning?</w:t>
      </w:r>
    </w:p>
    <w:p>
      <w:pPr>
        <w:spacing w:after="160"/>
      </w:pPr>
      <w:r>
        <w:t>A. Round-1 risk detection is rule-based by design, not ML. Six transparent rules with fixed weights, each producing a human-readable reason. The problem statement asks for anomaly and inefficiency detection; for a government accountability tool, a reproducible rule an auditor can verify is more defensible than an unexplained score. The architecture reserves a separate Python service for ML once there is labelled review-outcome data to train and evaluate on.</w:t>
      </w:r>
    </w:p>
    <w:p>
      <w:pPr>
        <w:spacing w:after="40"/>
      </w:pPr>
      <w:r>
        <w:rPr>
          <w:b/>
        </w:rPr>
        <w:t>Q. Can a risk score be treated as proof of fraud?</w:t>
      </w:r>
    </w:p>
    <w:p>
      <w:pPr>
        <w:spacing w:after="160"/>
      </w:pPr>
      <w:r>
        <w:t>A. No, and the UI never says so. A score is an indicator that a human should investigate. Every flag shows its reasons and a recommended first step. 'Indicator, not proof' is a stated project rule.</w:t>
      </w:r>
    </w:p>
    <w:p>
      <w:pPr>
        <w:spacing w:after="40"/>
      </w:pPr>
      <w:r>
        <w:rPr>
          <w:b/>
        </w:rPr>
        <w:t>Q. What exactly do the rules check?</w:t>
      </w:r>
    </w:p>
    <w:p>
      <w:pPr>
        <w:spacing w:after="160"/>
      </w:pPr>
      <w:r>
        <w:t>A. Payments exceeding the estimate; most of the cost released before completion; the full amount in a single installment; a work recommended 12+ months ago with no payment records (weighted higher the longer it has been dormant); the highest estimated cost in its category cohort; and payment data that could not be retrieved. All six use only fields the source actually provides.</w:t>
      </w:r>
    </w:p>
    <w:p>
      <w:pPr>
        <w:spacing w:after="40"/>
      </w:pPr>
      <w:r>
        <w:rPr>
          <w:b/>
        </w:rPr>
        <w:t>Q. Why no duplicate-detection, delay-prediction or geospatial risk?</w:t>
      </w:r>
    </w:p>
    <w:p>
      <w:pPr>
        <w:spacing w:after="160"/>
      </w:pPr>
      <w:r>
        <w:t>A. Because the verified data source has no physical-progress, coordinate, or reliable sanction data to support them. Building those on absent data would produce confident nonsense. They are on the roadmap for when the data exists.</w:t>
      </w:r>
    </w:p>
    <w:p>
      <w:pPr>
        <w:spacing w:after="40"/>
      </w:pPr>
      <w:r>
        <w:rPr>
          <w:b/>
        </w:rPr>
        <w:t>Q. How do you know the rules are any good?</w:t>
      </w:r>
    </w:p>
    <w:p>
      <w:pPr>
        <w:spacing w:after="160"/>
      </w:pPr>
      <w:r>
        <w:t>A. They are unit-tested for behaviour and run identically on the server and in demo mode. Real precision — what fraction of flags are worth investigating — can only be measured with a review team on live data, which is an explicit pilot step.</w:t>
      </w:r>
    </w:p>
    <w:p>
      <w:pPr>
        <w:pStyle w:val="Heading2"/>
      </w:pPr>
      <w:r>
        <w:t>4.3 Architecture &amp; scalability</w:t>
      </w:r>
    </w:p>
    <w:p>
      <w:pPr>
        <w:spacing w:after="40"/>
      </w:pPr>
      <w:r>
        <w:rPr>
          <w:b/>
        </w:rPr>
        <w:t>Q. Why a modular monolith instead of microservices?</w:t>
      </w:r>
    </w:p>
    <w:p>
      <w:pPr>
        <w:spacing w:after="160"/>
      </w:pPr>
      <w:r>
        <w:t>A. Correctness, reliability and operability first. One deployable, one database, clear internal module boundaries. The genuinely separate concerns — AI, blockchain, IPFS, mobile — are already separate services. No Kafka/Redis/Kubernetes is introduced without a concrete need.</w:t>
      </w:r>
    </w:p>
    <w:p>
      <w:pPr>
        <w:spacing w:after="40"/>
      </w:pPr>
      <w:r>
        <w:rPr>
          <w:b/>
        </w:rPr>
        <w:t>Q. Will it handle the full ~83,000-work dataset?</w:t>
      </w:r>
    </w:p>
    <w:p>
      <w:pPr>
        <w:spacing w:after="160"/>
      </w:pPr>
      <w:r>
        <w:t>A. The current list screens fetch and paginate client-side, which is fine for the ~6k demo set (2–3s loads). Server-side pagination + filtering (page/size + state/district/category/risk/search, paged envelope) is designed and scheduled as the next backend step for the full dataset.</w:t>
      </w:r>
    </w:p>
    <w:p>
      <w:pPr>
        <w:spacing w:after="40"/>
      </w:pPr>
      <w:r>
        <w:rPr>
          <w:b/>
        </w:rPr>
        <w:t>Q. What if the external data API is down or rate-limits us?</w:t>
      </w:r>
    </w:p>
    <w:p>
      <w:pPr>
        <w:spacing w:after="160"/>
      </w:pPr>
      <w:r>
        <w:t>A. Ingestion is decoupled from serving — the portal reads PostgreSQL, not the external API. Ingestion records per-work outcomes (present / absent / fetch-error) and the error rows can be topped up later with a longer delay. The source's rate limit (1000 req / 10 min) is respected.</w:t>
      </w:r>
    </w:p>
    <w:p>
      <w:pPr>
        <w:spacing w:after="40"/>
      </w:pPr>
      <w:r>
        <w:rPr>
          <w:b/>
        </w:rPr>
        <w:t>Q. How does the frontend stay stable while the backend evolves?</w:t>
      </w:r>
    </w:p>
    <w:p>
      <w:pPr>
        <w:spacing w:after="160"/>
      </w:pPr>
      <w:r>
        <w:t>A. The DataProvider seam. Screens call an abstraction; swapping demo fixtures for real REST, or flipping one capability at a time, needs no screen rewrite.</w:t>
      </w:r>
    </w:p>
    <w:p>
      <w:pPr>
        <w:pStyle w:val="Heading2"/>
      </w:pPr>
      <w:r>
        <w:t>4.4 Security &amp; privacy</w:t>
      </w:r>
    </w:p>
    <w:p>
      <w:pPr>
        <w:spacing w:after="40"/>
      </w:pPr>
      <w:r>
        <w:rPr>
          <w:b/>
        </w:rPr>
        <w:t>Q. How is access controlled?</w:t>
      </w:r>
    </w:p>
    <w:p>
      <w:pPr>
        <w:spacing w:after="160"/>
      </w:pPr>
      <w:r>
        <w:t>A. Spring Security enforces authorization at the API layer for six roles. The frontend also gates nav and routes, but that is only UX — a citizen cannot reach authority endpoints even by URL. Sessions are cookie-based; passwords are BCrypt-hashed; government roles are admin-provisioned, only citizens can self-register (role always server-assigned).</w:t>
      </w:r>
    </w:p>
    <w:p>
      <w:pPr>
        <w:spacing w:after="40"/>
      </w:pPr>
      <w:r>
        <w:rPr>
          <w:b/>
        </w:rPr>
        <w:t>Q. What are the known security gaps?</w:t>
      </w:r>
    </w:p>
    <w:p>
      <w:pPr>
        <w:spacing w:after="160"/>
      </w:pPr>
      <w:r>
        <w:t>A. CSRF protection is disabled for the Round-1 demo and documented in SecurityConfig. Email verification, password reset and abuse throttling on the public registration endpoint are noted as pre-production items. No secrets are committed — configuration comes from environment.</w:t>
      </w:r>
    </w:p>
    <w:p>
      <w:pPr>
        <w:spacing w:after="40"/>
      </w:pPr>
      <w:r>
        <w:rPr>
          <w:b/>
        </w:rPr>
        <w:t>Q. Is citizen data exposed?</w:t>
      </w:r>
    </w:p>
    <w:p>
      <w:pPr>
        <w:spacing w:after="160"/>
      </w:pPr>
      <w:r>
        <w:t>A. The Citizen Portal serves a deliberately limited public projection of works. Citizens see only their own grievances; authorities see the queue. No personal financial identifiers are handled by the portal.</w:t>
      </w:r>
    </w:p>
    <w:p>
      <w:pPr>
        <w:pStyle w:val="Heading2"/>
      </w:pPr>
      <w:r>
        <w:t>4.5 Blockchain, IPFS &amp; the mobile app</w:t>
      </w:r>
    </w:p>
    <w:p>
      <w:pPr>
        <w:spacing w:after="40"/>
      </w:pPr>
      <w:r>
        <w:rPr>
          <w:b/>
        </w:rPr>
        <w:t>Q. You mention Hyperledger Fabric and IPFS — where are they?</w:t>
      </w:r>
    </w:p>
    <w:p>
      <w:pPr>
        <w:spacing w:after="160"/>
      </w:pPr>
      <w:r>
        <w:t>A. In the architecture and roadmap, not in this web build yet. Round-1 strategy was to complete every web screen on the data seam first. They are not simulated in the UI. Fabric would record selected immutable audit events, exposed to citizens only through backend APIs — citizens never touch the ledger directly. IPFS would hold evidence files with only the CID in Postgres.</w:t>
      </w:r>
    </w:p>
    <w:p>
      <w:pPr>
        <w:spacing w:after="40"/>
      </w:pPr>
      <w:r>
        <w:rPr>
          <w:b/>
        </w:rPr>
        <w:t>Q. Why blockchain at all — isn't a database enough?</w:t>
      </w:r>
    </w:p>
    <w:p>
      <w:pPr>
        <w:spacing w:after="160"/>
      </w:pPr>
      <w:r>
        <w:t>A. Only for a narrow purpose: a tamper-evident trail of specific high-value events (verification, approval, evidence submission) that multiple independent authorities can trust. The full project database stays in PostgreSQL; the ledger is not a second copy of it.</w:t>
      </w:r>
    </w:p>
    <w:p>
      <w:pPr>
        <w:spacing w:after="40"/>
      </w:pPr>
      <w:r>
        <w:rPr>
          <w:b/>
        </w:rPr>
        <w:t>Q. How does field verification work?</w:t>
      </w:r>
    </w:p>
    <w:p>
      <w:pPr>
        <w:spacing w:after="160"/>
      </w:pPr>
      <w:r>
        <w:t>A. Through the Flutter app (separate track): a field officer captures a photo, it goes to IPFS, the CID plus lightweight metadata (project id, status, timestamp, remarks) goes to Spring Boot, which writes the verification record to Postgres and an audit event to the ledger.</w:t>
      </w:r>
    </w:p>
    <w:p>
      <w:pPr>
        <w:pStyle w:val="Heading2"/>
      </w:pPr>
      <w:r>
        <w:t>4.6 Comparison &amp; differentiation</w:t>
      </w:r>
    </w:p>
    <w:p>
      <w:pPr>
        <w:spacing w:after="40"/>
      </w:pPr>
      <w:r>
        <w:rPr>
          <w:b/>
        </w:rPr>
        <w:t>Q. How is this different from the official MPLADS portal?</w:t>
      </w:r>
    </w:p>
    <w:p>
      <w:pPr>
        <w:spacing w:after="160"/>
      </w:pPr>
      <w:r>
        <w:t>A. e-SAKSHI is the system of record for proposal-to-expenditure processing. This is a monitoring and analytics layer on top: national-to-work drill-down, rule-based early-warning alerts, MP comparison, a citizen transparency view, and exportable audit leads. It complements e-SAKSHI, it does not replace it.</w:t>
      </w:r>
    </w:p>
    <w:p>
      <w:pPr>
        <w:spacing w:after="40"/>
      </w:pPr>
      <w:r>
        <w:rPr>
          <w:b/>
        </w:rPr>
        <w:t>Q. How is this different from other hackathon entries?</w:t>
      </w:r>
    </w:p>
    <w:p>
      <w:pPr>
        <w:spacing w:after="160"/>
      </w:pPr>
      <w:r>
        <w:t>A. Real data at national scale rather than a few mock rows; transparent reproducible risk logic rather than a fabricated confidence number; a real six-role security model; and explicit, coded-in honesty about what the data does and does not support.</w:t>
      </w:r>
    </w:p>
    <w:p>
      <w:pPr>
        <w:spacing w:after="40"/>
      </w:pPr>
      <w:r>
        <w:rPr>
          <w:b/>
        </w:rPr>
        <w:t>Q. What is genuinely production-ready today versus prototype?</w:t>
      </w:r>
    </w:p>
    <w:p>
      <w:pPr>
        <w:spacing w:after="160"/>
      </w:pPr>
      <w:r>
        <w:t>A. Production-shaped: the stack, the RBAC model, the DataProvider architecture, the rule engine design, the ingestion provenance discipline. Prototype: dataset is a national sample not the full set, server-side pagination is pending, CSRF is off, and IPFS/Fabric/ML/mobile are not yet wired.</w:t>
      </w:r>
    </w:p>
    <w:p>
      <w:pPr>
        <w:pStyle w:val="Heading2"/>
      </w:pPr>
      <w:r>
        <w:t>4.7 Product &amp; UX</w:t>
      </w:r>
    </w:p>
    <w:p>
      <w:pPr>
        <w:spacing w:after="40"/>
      </w:pPr>
      <w:r>
        <w:rPr>
          <w:b/>
        </w:rPr>
        <w:t>Q. Is the multilingual support real translation?</w:t>
      </w:r>
    </w:p>
    <w:p>
      <w:pPr>
        <w:spacing w:after="160"/>
      </w:pPr>
      <w:r>
        <w:t>A. It uses the Google Website Translator widget behind our own 12-language dropdown. It is machine translation, labelled as such in code, and needs internet; offline it does nothing (graceful). It is not a full i18n framework.</w:t>
      </w:r>
    </w:p>
    <w:p>
      <w:pPr>
        <w:spacing w:after="40"/>
      </w:pPr>
      <w:r>
        <w:rPr>
          <w:b/>
        </w:rPr>
        <w:t>Q. Does the voice command feature need a cloud service or API key?</w:t>
      </w:r>
    </w:p>
    <w:p>
      <w:pPr>
        <w:spacing w:after="160"/>
      </w:pPr>
      <w:r>
        <w:t>A. No. It uses the browser-native Web Speech API (Chrome). Where that is unavailable the panel falls back to a text box. Commands are routed by a small keyword parser to a route plus filters.</w:t>
      </w:r>
    </w:p>
    <w:p>
      <w:pPr>
        <w:spacing w:after="40"/>
      </w:pPr>
      <w:r>
        <w:rPr>
          <w:b/>
        </w:rPr>
        <w:t>Q. Why build your own India map and CSV exporter instead of using libraries?</w:t>
      </w:r>
    </w:p>
    <w:p>
      <w:pPr>
        <w:spacing w:after="160"/>
      </w:pPr>
      <w:r>
        <w:t>A. To keep the dependency and bundle footprint small and the supply chain easy to review — a stated project principle. The map is inline SVG from public-domain centroids; the exporter is ~100 lines with correct RFC-4180 quoting and a UTF-8 BOM for Excel.</w:t>
      </w:r>
    </w:p>
    <w:p>
      <w:pPr>
        <w:pStyle w:val="Heading1"/>
      </w:pPr>
      <w:r>
        <w:t>5. Known Limitations (stated plainly)</w:t>
      </w:r>
    </w:p>
    <w:p>
      <w:pPr>
        <w:pStyle w:val="ListBullet"/>
        <w:spacing w:after="60"/>
      </w:pPr>
      <w:r>
        <w:t>Dataset is a geographically diverse national sample (~6k works), not the full ~83k; server-side pagination/filtering for the full set is the next backend step.</w:t>
      </w:r>
    </w:p>
    <w:p>
      <w:pPr>
        <w:pStyle w:val="ListBullet"/>
        <w:spacing w:after="60"/>
      </w:pPr>
      <w:r>
        <w:t>Work-level data is from a secondary source; an authoritative-feed integration is a pilot prerequisite.</w:t>
      </w:r>
    </w:p>
    <w:p>
      <w:pPr>
        <w:pStyle w:val="ListBullet"/>
        <w:spacing w:after="60"/>
      </w:pPr>
      <w:r>
        <w:t>No physical-progress, geospatial, sanction-level or beneficiary data — several advanced analytics are blocked on data, not effort.</w:t>
      </w:r>
    </w:p>
    <w:p>
      <w:pPr>
        <w:pStyle w:val="ListBullet"/>
        <w:spacing w:after="60"/>
      </w:pPr>
      <w:r>
        <w:t>Risk precision is unmeasured until a review team runs it on live data.</w:t>
      </w:r>
    </w:p>
    <w:p>
      <w:pPr>
        <w:pStyle w:val="ListBullet"/>
        <w:spacing w:after="60"/>
      </w:pPr>
      <w:r>
        <w:t>CSRF disabled for the demo; public-registration hardening (email verification, reset, throttling) pending.</w:t>
      </w:r>
    </w:p>
    <w:p>
      <w:pPr>
        <w:pStyle w:val="ListBullet"/>
        <w:spacing w:after="60"/>
      </w:pPr>
      <w:r>
        <w:t>IPFS evidence, the Hyperledger Fabric audit trail, the Python AI/ML service and the Flutter field app are designed and reserved for in the architecture but not yet implemented in this portal.</w:t>
      </w:r>
    </w:p>
    <w:p>
      <w:pPr>
        <w:pStyle w:val="ListBullet"/>
        <w:spacing w:after="60"/>
      </w:pPr>
      <w:r>
        <w:t>Multilingual is machine translation requiring internet, not full localisation.</w:t>
      </w:r>
    </w:p>
    <w:p>
      <w:pPr>
        <w:spacing w:after="120"/>
      </w:pPr>
    </w:p>
    <w:p>
      <w:pPr>
        <w:spacing w:after="120"/>
      </w:pPr>
      <w:r>
        <w:rPr>
          <w:b w:val="0"/>
          <w:i/>
        </w:rPr>
        <w:t>This document is a living reference. Add sections as the portal grows — the intent is that any claim here can be traced to code or to the project docs.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54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54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25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