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360"/>
      </w:pPr>
      <w:r>
        <w:rPr>
          <w:rFonts w:ascii="Arial" w:hAnsi="Arial"/>
          <w:b/>
          <w:color w:val="2563EB"/>
          <w:sz w:val="22"/>
        </w:rPr>
        <w:t>ENTERPRISE ARCHITECTURE SPECIFICATION</w:t>
      </w:r>
    </w:p>
    <w:p>
      <w:pPr>
        <w:spacing w:after="160"/>
      </w:pPr>
      <w:r>
        <w:rPr>
          <w:rFonts w:ascii="Arial" w:hAnsi="Arial"/>
          <w:b/>
          <w:color w:val="0F172A"/>
          <w:sz w:val="64"/>
        </w:rPr>
        <w:t>ProNet Professional Network</w:t>
      </w:r>
    </w:p>
    <w:p>
      <w:pPr>
        <w:spacing w:after="800"/>
      </w:pPr>
      <w:r>
        <w:rPr>
          <w:rFonts w:ascii="Arial" w:hAnsi="Arial"/>
          <w:color w:val="475569"/>
          <w:sz w:val="30"/>
        </w:rPr>
        <w:t>Full-Stack Local-First System Architecture &amp; Hardware Alignment Blueprint</w:t>
      </w:r>
    </w:p>
    <w:p>
      <w:pPr>
        <w:spacing w:line="312" w:lineRule="auto" w:after="1600"/>
      </w:pPr>
      <w:r>
        <w:rPr>
          <w:rFonts w:ascii="Arial" w:hAnsi="Arial"/>
          <w:b/>
          <w:color w:val="1E293B"/>
          <w:sz w:val="20"/>
        </w:rPr>
        <w:t xml:space="preserve">Author: </w:t>
      </w:r>
      <w:r>
        <w:rPr>
          <w:rFonts w:ascii="Arial" w:hAnsi="Arial"/>
          <w:b w:val="0"/>
          <w:color w:val="1E293B"/>
          <w:sz w:val="20"/>
        </w:rPr>
        <w:t>Staff System Architect</w:t>
        <w:br/>
      </w:r>
      <w:r>
        <w:rPr>
          <w:rFonts w:ascii="Arial" w:hAnsi="Arial"/>
          <w:b/>
          <w:color w:val="1E293B"/>
          <w:sz w:val="20"/>
        </w:rPr>
        <w:t xml:space="preserve">Engineering Practice: </w:t>
      </w:r>
      <w:r>
        <w:rPr>
          <w:rFonts w:ascii="Arial" w:hAnsi="Arial"/>
          <w:b w:val="0"/>
          <w:color w:val="1E293B"/>
          <w:sz w:val="20"/>
        </w:rPr>
        <w:t>Core Platform &amp; Distributed Systems Group</w:t>
        <w:br/>
      </w:r>
      <w:r>
        <w:rPr>
          <w:rFonts w:ascii="Arial" w:hAnsi="Arial"/>
          <w:b/>
          <w:color w:val="1E293B"/>
          <w:sz w:val="20"/>
        </w:rPr>
        <w:t xml:space="preserve">Target Baseline: </w:t>
      </w:r>
      <w:r>
        <w:rPr>
          <w:rFonts w:ascii="Arial" w:hAnsi="Arial"/>
          <w:b w:val="0"/>
          <w:color w:val="1E293B"/>
          <w:sz w:val="20"/>
        </w:rPr>
        <w:t>FastAPI 0.110+ | SQLite WAL | React 18 / TypeScript</w:t>
        <w:br/>
      </w:r>
      <w:r>
        <w:rPr>
          <w:rFonts w:ascii="Arial" w:hAnsi="Arial"/>
          <w:b/>
          <w:color w:val="1E293B"/>
          <w:sz w:val="20"/>
        </w:rPr>
        <w:t xml:space="preserve">Version: </w:t>
      </w:r>
      <w:r>
        <w:rPr>
          <w:rFonts w:ascii="Arial" w:hAnsi="Arial"/>
          <w:b w:val="0"/>
          <w:color w:val="1E293B"/>
          <w:sz w:val="20"/>
        </w:rPr>
        <w:t>1.0.0 (Production Blueprint Lock)</w:t>
        <w:br/>
      </w:r>
      <w:r>
        <w:rPr>
          <w:rFonts w:ascii="Arial" w:hAnsi="Arial"/>
          <w:b/>
          <w:color w:val="1E293B"/>
          <w:sz w:val="20"/>
        </w:rPr>
        <w:t xml:space="preserve">Date: </w:t>
      </w:r>
      <w:r>
        <w:rPr>
          <w:rFonts w:ascii="Arial" w:hAnsi="Arial"/>
          <w:b w:val="0"/>
          <w:color w:val="1E293B"/>
          <w:sz w:val="20"/>
        </w:rPr>
        <w:t>October 20, 2026</w:t>
        <w:br/>
      </w:r>
      <w:r>
        <w:rPr>
          <w:rFonts w:ascii="Arial" w:hAnsi="Arial"/>
          <w:b/>
          <w:color w:val="1E293B"/>
          <w:sz w:val="20"/>
        </w:rPr>
        <w:t xml:space="preserve">Classification: </w:t>
      </w:r>
      <w:r>
        <w:rPr>
          <w:rFonts w:ascii="Arial" w:hAnsi="Arial"/>
          <w:b w:val="0"/>
          <w:color w:val="1E293B"/>
          <w:sz w:val="20"/>
        </w:rPr>
        <w:t>Tier-1 Core Architecture Document</w:t>
        <w:br/>
      </w:r>
    </w:p>
    <w:p>
      <w:r>
        <w:rPr>
          <w:rFonts w:ascii="Arial" w:hAnsi="Arial"/>
          <w:i/>
          <w:color w:val="64748B"/>
          <w:sz w:val="18"/>
        </w:rPr>
        <w:t>This technical specification establishes binding architectural contracts, locked dependency versions, directory structures, and cross-cutting standards governing the construction of ProNet under SDLC Phase 2. All downstream implementation subagents must conform to the directives set forth herein.</w:t>
      </w:r>
    </w:p>
    <w:p>
      <w:r>
        <w:br w:type="page"/>
      </w:r>
    </w:p>
    <w:p>
      <w:pPr>
        <w:keepNext/>
        <w:spacing w:before="240" w:after="160"/>
      </w:pPr>
      <w:r>
        <w:rPr>
          <w:rFonts w:ascii="Arial" w:hAnsi="Arial"/>
          <w:b/>
          <w:color w:val="1E3A8A"/>
          <w:sz w:val="32"/>
        </w:rPr>
        <w:t>1. Document Governance &amp; Revision Control</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864"/>
            <w:tcMar>
              <w:top w:w="140" w:type="dxa"/>
              <w:bottom w:w="140" w:type="dxa"/>
              <w:left w:w="140" w:type="dxa"/>
              <w:right w:w="140" w:type="dxa"/>
            </w:tcMar>
            <w:shd w:fill="1E3A8A"/>
          </w:tcPr>
          <w:p>
            <w:pPr>
              <w:spacing w:before="0" w:after="0" w:line="252" w:lineRule="auto"/>
            </w:pPr>
            <w:r>
              <w:rPr>
                <w:rFonts w:ascii="Arial" w:hAnsi="Arial"/>
                <w:b/>
                <w:color w:val="FFFFFF"/>
                <w:sz w:val="18"/>
              </w:rPr>
              <w:t>Rev</w:t>
            </w:r>
          </w:p>
        </w:tc>
        <w:tc>
          <w:tcPr>
            <w:tcW w:type="dxa" w:w="1440"/>
            <w:tcMar>
              <w:top w:w="140" w:type="dxa"/>
              <w:bottom w:w="140" w:type="dxa"/>
              <w:left w:w="140" w:type="dxa"/>
              <w:right w:w="140" w:type="dxa"/>
            </w:tcMar>
            <w:shd w:fill="1E3A8A"/>
          </w:tcPr>
          <w:p>
            <w:pPr>
              <w:spacing w:before="0" w:after="0" w:line="252" w:lineRule="auto"/>
            </w:pPr>
            <w:r>
              <w:rPr>
                <w:rFonts w:ascii="Arial" w:hAnsi="Arial"/>
                <w:b/>
                <w:color w:val="FFFFFF"/>
                <w:sz w:val="18"/>
              </w:rPr>
              <w:t>Date</w:t>
            </w:r>
          </w:p>
        </w:tc>
        <w:tc>
          <w:tcPr>
            <w:tcW w:type="dxa" w:w="2016"/>
            <w:tcMar>
              <w:top w:w="140" w:type="dxa"/>
              <w:bottom w:w="140" w:type="dxa"/>
              <w:left w:w="140" w:type="dxa"/>
              <w:right w:w="140" w:type="dxa"/>
            </w:tcMar>
            <w:shd w:fill="1E3A8A"/>
          </w:tcPr>
          <w:p>
            <w:pPr>
              <w:spacing w:before="0" w:after="0" w:line="252" w:lineRule="auto"/>
            </w:pPr>
            <w:r>
              <w:rPr>
                <w:rFonts w:ascii="Arial" w:hAnsi="Arial"/>
                <w:b/>
                <w:color w:val="FFFFFF"/>
                <w:sz w:val="18"/>
              </w:rPr>
              <w:t>Author</w:t>
            </w:r>
          </w:p>
        </w:tc>
        <w:tc>
          <w:tcPr>
            <w:tcW w:type="dxa" w:w="3312"/>
            <w:tcMar>
              <w:top w:w="140" w:type="dxa"/>
              <w:bottom w:w="140" w:type="dxa"/>
              <w:left w:w="140" w:type="dxa"/>
              <w:right w:w="140" w:type="dxa"/>
            </w:tcMar>
            <w:shd w:fill="1E3A8A"/>
          </w:tcPr>
          <w:p>
            <w:pPr>
              <w:spacing w:before="0" w:after="0" w:line="252" w:lineRule="auto"/>
            </w:pPr>
            <w:r>
              <w:rPr>
                <w:rFonts w:ascii="Arial" w:hAnsi="Arial"/>
                <w:b/>
                <w:color w:val="FFFFFF"/>
                <w:sz w:val="18"/>
              </w:rPr>
              <w:t>Changes / Purpose</w:t>
            </w:r>
          </w:p>
        </w:tc>
        <w:tc>
          <w:tcPr>
            <w:tcW w:type="dxa" w:w="1728"/>
            <w:tcMar>
              <w:top w:w="140" w:type="dxa"/>
              <w:bottom w:w="140" w:type="dxa"/>
              <w:left w:w="140" w:type="dxa"/>
              <w:right w:w="140" w:type="dxa"/>
            </w:tcMar>
            <w:shd w:fill="1E3A8A"/>
          </w:tcPr>
          <w:p>
            <w:pPr>
              <w:spacing w:before="0" w:after="0" w:line="252" w:lineRule="auto"/>
            </w:pPr>
            <w:r>
              <w:rPr>
                <w:rFonts w:ascii="Arial" w:hAnsi="Arial"/>
                <w:b/>
                <w:color w:val="FFFFFF"/>
                <w:sz w:val="18"/>
              </w:rPr>
              <w:t>Sign-Off Status</w:t>
            </w:r>
          </w:p>
        </w:tc>
      </w:tr>
      <w:tr>
        <w:tc>
          <w:tcPr>
            <w:tcW w:type="dxa" w:w="864"/>
            <w:tcMar>
              <w:top w:w="100" w:type="dxa"/>
              <w:bottom w:w="100" w:type="dxa"/>
              <w:left w:w="140" w:type="dxa"/>
              <w:right w:w="140" w:type="dxa"/>
            </w:tcMar>
            <w:shd w:fill="FFFFFF"/>
          </w:tcPr>
          <w:p>
            <w:pPr>
              <w:spacing w:before="0" w:after="0" w:line="264" w:lineRule="auto"/>
            </w:pPr>
            <w:r>
              <w:rPr>
                <w:rFonts w:ascii="Arial" w:hAnsi="Arial"/>
                <w:b/>
                <w:color w:val="1E293B"/>
                <w:sz w:val="17"/>
              </w:rPr>
              <w:t>1.0.0</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2026-10-20</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Staff System Architect</w:t>
            </w:r>
          </w:p>
        </w:tc>
        <w:tc>
          <w:tcPr>
            <w:tcW w:type="dxa" w:w="3312"/>
            <w:tcMar>
              <w:top w:w="100" w:type="dxa"/>
              <w:bottom w:w="100" w:type="dxa"/>
              <w:left w:w="140" w:type="dxa"/>
              <w:right w:w="140" w:type="dxa"/>
            </w:tcMar>
            <w:shd w:fill="FFFFFF"/>
          </w:tcPr>
          <w:p>
            <w:pPr>
              <w:spacing w:before="0" w:after="0" w:line="264" w:lineRule="auto"/>
            </w:pPr>
            <w:r>
              <w:rPr>
                <w:rFonts w:ascii="Arial" w:hAnsi="Arial"/>
                <w:color w:val="1E293B"/>
                <w:sz w:val="17"/>
              </w:rPr>
              <w:t>Initial comprehensive system architecture and hardware alignment blueprint.</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APPROVED</w:t>
            </w:r>
          </w:p>
        </w:tc>
      </w:tr>
      <w:tr>
        <w:tc>
          <w:tcPr>
            <w:tcW w:type="dxa" w:w="864"/>
            <w:tcMar>
              <w:top w:w="100" w:type="dxa"/>
              <w:bottom w:w="100" w:type="dxa"/>
              <w:left w:w="140" w:type="dxa"/>
              <w:right w:w="140" w:type="dxa"/>
            </w:tcMar>
            <w:shd w:fill="F8FAFC"/>
          </w:tcPr>
          <w:p>
            <w:pPr>
              <w:spacing w:before="0" w:after="0" w:line="264" w:lineRule="auto"/>
            </w:pPr>
            <w:r>
              <w:rPr>
                <w:rFonts w:ascii="Arial" w:hAnsi="Arial"/>
                <w:b/>
                <w:color w:val="1E293B"/>
                <w:sz w:val="17"/>
              </w:rPr>
              <w:t>0.9.0</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2026-10-20</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Staff System Architect</w:t>
            </w:r>
          </w:p>
        </w:tc>
        <w:tc>
          <w:tcPr>
            <w:tcW w:type="dxa" w:w="3312"/>
            <w:tcMar>
              <w:top w:w="100" w:type="dxa"/>
              <w:bottom w:w="100" w:type="dxa"/>
              <w:left w:w="140" w:type="dxa"/>
              <w:right w:w="140" w:type="dxa"/>
            </w:tcMar>
            <w:shd w:fill="F8FAFC"/>
          </w:tcPr>
          <w:p>
            <w:pPr>
              <w:spacing w:before="0" w:after="0" w:line="264" w:lineRule="auto"/>
            </w:pPr>
            <w:r>
              <w:rPr>
                <w:rFonts w:ascii="Arial" w:hAnsi="Arial"/>
                <w:color w:val="1E293B"/>
                <w:sz w:val="17"/>
              </w:rPr>
              <w:t>Draft component topology and dependency manifests for review.</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REVIEWED</w:t>
            </w:r>
          </w:p>
        </w:tc>
      </w:tr>
    </w:tbl>
    <w:p>
      <w:pPr>
        <w:spacing w:after="200"/>
      </w:pPr>
    </w:p>
    <w:p>
      <w:pPr>
        <w:keepNext/>
        <w:spacing w:before="200" w:after="120"/>
      </w:pPr>
      <w:r>
        <w:rPr>
          <w:rFonts w:ascii="Arial" w:hAnsi="Arial"/>
          <w:b/>
          <w:color w:val="1E293B"/>
          <w:sz w:val="24"/>
        </w:rPr>
        <w:t>Architectural Sign-Off &amp; Approvals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160"/>
            <w:tcMar>
              <w:top w:w="140" w:type="dxa"/>
              <w:bottom w:w="140" w:type="dxa"/>
              <w:left w:w="140" w:type="dxa"/>
              <w:right w:w="140" w:type="dxa"/>
            </w:tcMar>
            <w:shd w:fill="1E3A8A"/>
          </w:tcPr>
          <w:p>
            <w:pPr>
              <w:spacing w:before="0" w:after="0" w:line="252" w:lineRule="auto"/>
            </w:pPr>
            <w:r>
              <w:rPr>
                <w:rFonts w:ascii="Arial" w:hAnsi="Arial"/>
                <w:b/>
                <w:color w:val="FFFFFF"/>
                <w:sz w:val="18"/>
              </w:rPr>
              <w:t>Role</w:t>
            </w:r>
          </w:p>
        </w:tc>
        <w:tc>
          <w:tcPr>
            <w:tcW w:type="dxa" w:w="2304"/>
            <w:tcMar>
              <w:top w:w="140" w:type="dxa"/>
              <w:bottom w:w="140" w:type="dxa"/>
              <w:left w:w="140" w:type="dxa"/>
              <w:right w:w="140" w:type="dxa"/>
            </w:tcMar>
            <w:shd w:fill="1E3A8A"/>
          </w:tcPr>
          <w:p>
            <w:pPr>
              <w:spacing w:before="0" w:after="0" w:line="252" w:lineRule="auto"/>
            </w:pPr>
            <w:r>
              <w:rPr>
                <w:rFonts w:ascii="Arial" w:hAnsi="Arial"/>
                <w:b/>
                <w:color w:val="FFFFFF"/>
                <w:sz w:val="18"/>
              </w:rPr>
              <w:t>Reviewer</w:t>
            </w:r>
          </w:p>
        </w:tc>
        <w:tc>
          <w:tcPr>
            <w:tcW w:type="dxa" w:w="3168"/>
            <w:tcMar>
              <w:top w:w="140" w:type="dxa"/>
              <w:bottom w:w="140" w:type="dxa"/>
              <w:left w:w="140" w:type="dxa"/>
              <w:right w:w="140" w:type="dxa"/>
            </w:tcMar>
            <w:shd w:fill="1E3A8A"/>
          </w:tcPr>
          <w:p>
            <w:pPr>
              <w:spacing w:before="0" w:after="0" w:line="252" w:lineRule="auto"/>
            </w:pPr>
            <w:r>
              <w:rPr>
                <w:rFonts w:ascii="Arial" w:hAnsi="Arial"/>
                <w:b/>
                <w:color w:val="FFFFFF"/>
                <w:sz w:val="18"/>
              </w:rPr>
              <w:t>Designation</w:t>
            </w:r>
          </w:p>
        </w:tc>
        <w:tc>
          <w:tcPr>
            <w:tcW w:type="dxa" w:w="1728"/>
            <w:tcMar>
              <w:top w:w="140" w:type="dxa"/>
              <w:bottom w:w="140" w:type="dxa"/>
              <w:left w:w="140" w:type="dxa"/>
              <w:right w:w="140" w:type="dxa"/>
            </w:tcMar>
            <w:shd w:fill="1E3A8A"/>
          </w:tcPr>
          <w:p>
            <w:pPr>
              <w:spacing w:before="0" w:after="0" w:line="252" w:lineRule="auto"/>
            </w:pPr>
            <w:r>
              <w:rPr>
                <w:rFonts w:ascii="Arial" w:hAnsi="Arial"/>
                <w:b/>
                <w:color w:val="FFFFFF"/>
                <w:sz w:val="18"/>
              </w:rPr>
              <w:t>Decision</w:t>
            </w:r>
          </w:p>
        </w:tc>
      </w:tr>
      <w:tr>
        <w:tc>
          <w:tcPr>
            <w:tcW w:type="dxa" w:w="2160"/>
            <w:tcMar>
              <w:top w:w="100" w:type="dxa"/>
              <w:bottom w:w="100" w:type="dxa"/>
              <w:left w:w="140" w:type="dxa"/>
              <w:right w:w="140" w:type="dxa"/>
            </w:tcMar>
            <w:shd w:fill="FFFFFF"/>
          </w:tcPr>
          <w:p>
            <w:pPr>
              <w:spacing w:before="0" w:after="0" w:line="264" w:lineRule="auto"/>
            </w:pPr>
            <w:r>
              <w:rPr>
                <w:rFonts w:ascii="Arial" w:hAnsi="Arial"/>
                <w:b/>
                <w:color w:val="1E293B"/>
                <w:sz w:val="17"/>
              </w:rPr>
              <w:t>System Architecture</w:t>
            </w:r>
          </w:p>
        </w:tc>
        <w:tc>
          <w:tcPr>
            <w:tcW w:type="dxa" w:w="2304"/>
            <w:tcMar>
              <w:top w:w="100" w:type="dxa"/>
              <w:bottom w:w="100" w:type="dxa"/>
              <w:left w:w="140" w:type="dxa"/>
              <w:right w:w="140" w:type="dxa"/>
            </w:tcMar>
            <w:shd w:fill="FFFFFF"/>
          </w:tcPr>
          <w:p>
            <w:pPr>
              <w:spacing w:before="0" w:after="0" w:line="264" w:lineRule="auto"/>
            </w:pPr>
            <w:r>
              <w:rPr>
                <w:rFonts w:ascii="Arial" w:hAnsi="Arial"/>
                <w:color w:val="1E293B"/>
                <w:sz w:val="17"/>
              </w:rPr>
              <w:t>Staff System Architect</w:t>
            </w:r>
          </w:p>
        </w:tc>
        <w:tc>
          <w:tcPr>
            <w:tcW w:type="dxa" w:w="3168"/>
            <w:tcMar>
              <w:top w:w="100" w:type="dxa"/>
              <w:bottom w:w="100" w:type="dxa"/>
              <w:left w:w="140" w:type="dxa"/>
              <w:right w:w="140" w:type="dxa"/>
            </w:tcMar>
            <w:shd w:fill="FFFFFF"/>
          </w:tcPr>
          <w:p>
            <w:pPr>
              <w:spacing w:before="0" w:after="0" w:line="264" w:lineRule="auto"/>
            </w:pPr>
            <w:r>
              <w:rPr>
                <w:rFonts w:ascii="Arial" w:hAnsi="Arial"/>
                <w:color w:val="1E293B"/>
                <w:sz w:val="17"/>
              </w:rPr>
              <w:t>Principal Architecture Practice</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APPROVED</w:t>
            </w:r>
          </w:p>
        </w:tc>
      </w:tr>
      <w:tr>
        <w:tc>
          <w:tcPr>
            <w:tcW w:type="dxa" w:w="2160"/>
            <w:tcMar>
              <w:top w:w="100" w:type="dxa"/>
              <w:bottom w:w="100" w:type="dxa"/>
              <w:left w:w="140" w:type="dxa"/>
              <w:right w:w="140" w:type="dxa"/>
            </w:tcMar>
            <w:shd w:fill="F8FAFC"/>
          </w:tcPr>
          <w:p>
            <w:pPr>
              <w:spacing w:before="0" w:after="0" w:line="264" w:lineRule="auto"/>
            </w:pPr>
            <w:r>
              <w:rPr>
                <w:rFonts w:ascii="Arial" w:hAnsi="Arial"/>
                <w:b/>
                <w:color w:val="1E293B"/>
                <w:sz w:val="17"/>
              </w:rPr>
              <w:t>Engineering Lead</w:t>
            </w:r>
          </w:p>
        </w:tc>
        <w:tc>
          <w:tcPr>
            <w:tcW w:type="dxa" w:w="2304"/>
            <w:tcMar>
              <w:top w:w="100" w:type="dxa"/>
              <w:bottom w:w="100" w:type="dxa"/>
              <w:left w:w="140" w:type="dxa"/>
              <w:right w:w="140" w:type="dxa"/>
            </w:tcMar>
            <w:shd w:fill="F8FAFC"/>
          </w:tcPr>
          <w:p>
            <w:pPr>
              <w:spacing w:before="0" w:after="0" w:line="264" w:lineRule="auto"/>
            </w:pPr>
            <w:r>
              <w:rPr>
                <w:rFonts w:ascii="Arial" w:hAnsi="Arial"/>
                <w:color w:val="1E293B"/>
                <w:sz w:val="17"/>
              </w:rPr>
              <w:t>Principal Engineering Director</w:t>
            </w:r>
          </w:p>
        </w:tc>
        <w:tc>
          <w:tcPr>
            <w:tcW w:type="dxa" w:w="3168"/>
            <w:tcMar>
              <w:top w:w="100" w:type="dxa"/>
              <w:bottom w:w="100" w:type="dxa"/>
              <w:left w:w="140" w:type="dxa"/>
              <w:right w:w="140" w:type="dxa"/>
            </w:tcMar>
            <w:shd w:fill="F8FAFC"/>
          </w:tcPr>
          <w:p>
            <w:pPr>
              <w:spacing w:before="0" w:after="0" w:line="264" w:lineRule="auto"/>
            </w:pPr>
            <w:r>
              <w:rPr>
                <w:rFonts w:ascii="Arial" w:hAnsi="Arial"/>
                <w:color w:val="1E293B"/>
                <w:sz w:val="17"/>
              </w:rPr>
              <w:t>Master SDLC Orchestration</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APPROVED</w:t>
            </w:r>
          </w:p>
        </w:tc>
      </w:tr>
      <w:tr>
        <w:tc>
          <w:tcPr>
            <w:tcW w:type="dxa" w:w="2160"/>
            <w:tcMar>
              <w:top w:w="100" w:type="dxa"/>
              <w:bottom w:w="100" w:type="dxa"/>
              <w:left w:w="140" w:type="dxa"/>
              <w:right w:w="140" w:type="dxa"/>
            </w:tcMar>
            <w:shd w:fill="FFFFFF"/>
          </w:tcPr>
          <w:p>
            <w:pPr>
              <w:spacing w:before="0" w:after="0" w:line="264" w:lineRule="auto"/>
            </w:pPr>
            <w:r>
              <w:rPr>
                <w:rFonts w:ascii="Arial" w:hAnsi="Arial"/>
                <w:b/>
                <w:color w:val="1E293B"/>
                <w:sz w:val="17"/>
              </w:rPr>
              <w:t>Data Architecture</w:t>
            </w:r>
          </w:p>
        </w:tc>
        <w:tc>
          <w:tcPr>
            <w:tcW w:type="dxa" w:w="2304"/>
            <w:tcMar>
              <w:top w:w="100" w:type="dxa"/>
              <w:bottom w:w="100" w:type="dxa"/>
              <w:left w:w="140" w:type="dxa"/>
              <w:right w:w="140" w:type="dxa"/>
            </w:tcMar>
            <w:shd w:fill="FFFFFF"/>
          </w:tcPr>
          <w:p>
            <w:pPr>
              <w:spacing w:before="0" w:after="0" w:line="264" w:lineRule="auto"/>
            </w:pPr>
            <w:r>
              <w:rPr>
                <w:rFonts w:ascii="Arial" w:hAnsi="Arial"/>
                <w:color w:val="1E293B"/>
                <w:sz w:val="17"/>
              </w:rPr>
              <w:t>Lead Data Architect</w:t>
            </w:r>
          </w:p>
        </w:tc>
        <w:tc>
          <w:tcPr>
            <w:tcW w:type="dxa" w:w="3168"/>
            <w:tcMar>
              <w:top w:w="100" w:type="dxa"/>
              <w:bottom w:w="100" w:type="dxa"/>
              <w:left w:w="140" w:type="dxa"/>
              <w:right w:w="140" w:type="dxa"/>
            </w:tcMar>
            <w:shd w:fill="FFFFFF"/>
          </w:tcPr>
          <w:p>
            <w:pPr>
              <w:spacing w:before="0" w:after="0" w:line="264" w:lineRule="auto"/>
            </w:pPr>
            <w:r>
              <w:rPr>
                <w:rFonts w:ascii="Arial" w:hAnsi="Arial"/>
                <w:color w:val="1E293B"/>
                <w:sz w:val="17"/>
              </w:rPr>
              <w:t>Relational Modeling Group</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CONCURRED</w:t>
            </w:r>
          </w:p>
        </w:tc>
      </w:tr>
      <w:tr>
        <w:tc>
          <w:tcPr>
            <w:tcW w:type="dxa" w:w="2160"/>
            <w:tcMar>
              <w:top w:w="100" w:type="dxa"/>
              <w:bottom w:w="100" w:type="dxa"/>
              <w:left w:w="140" w:type="dxa"/>
              <w:right w:w="140" w:type="dxa"/>
            </w:tcMar>
            <w:shd w:fill="F8FAFC"/>
          </w:tcPr>
          <w:p>
            <w:pPr>
              <w:spacing w:before="0" w:after="0" w:line="264" w:lineRule="auto"/>
            </w:pPr>
            <w:r>
              <w:rPr>
                <w:rFonts w:ascii="Arial" w:hAnsi="Arial"/>
                <w:b/>
                <w:color w:val="1E293B"/>
                <w:sz w:val="17"/>
              </w:rPr>
              <w:t>Platform Security</w:t>
            </w:r>
          </w:p>
        </w:tc>
        <w:tc>
          <w:tcPr>
            <w:tcW w:type="dxa" w:w="2304"/>
            <w:tcMar>
              <w:top w:w="100" w:type="dxa"/>
              <w:bottom w:w="100" w:type="dxa"/>
              <w:left w:w="140" w:type="dxa"/>
              <w:right w:w="140" w:type="dxa"/>
            </w:tcMar>
            <w:shd w:fill="F8FAFC"/>
          </w:tcPr>
          <w:p>
            <w:pPr>
              <w:spacing w:before="0" w:after="0" w:line="264" w:lineRule="auto"/>
            </w:pPr>
            <w:r>
              <w:rPr>
                <w:rFonts w:ascii="Arial" w:hAnsi="Arial"/>
                <w:color w:val="1E293B"/>
                <w:sz w:val="17"/>
              </w:rPr>
              <w:t>Principal Security Architect</w:t>
            </w:r>
          </w:p>
        </w:tc>
        <w:tc>
          <w:tcPr>
            <w:tcW w:type="dxa" w:w="3168"/>
            <w:tcMar>
              <w:top w:w="100" w:type="dxa"/>
              <w:bottom w:w="100" w:type="dxa"/>
              <w:left w:w="140" w:type="dxa"/>
              <w:right w:w="140" w:type="dxa"/>
            </w:tcMar>
            <w:shd w:fill="F8FAFC"/>
          </w:tcPr>
          <w:p>
            <w:pPr>
              <w:spacing w:before="0" w:after="0" w:line="264" w:lineRule="auto"/>
            </w:pPr>
            <w:r>
              <w:rPr>
                <w:rFonts w:ascii="Arial" w:hAnsi="Arial"/>
                <w:color w:val="1E293B"/>
                <w:sz w:val="17"/>
              </w:rPr>
              <w:t>Application Hardening Group</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CONCURRED</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40" w:type="dxa"/>
              <w:right w:w="200" w:type="dxa"/>
            </w:tcMar>
            <w:tcBorders>
              <w:top w:val="none"/>
              <w:left w:val="single" w:sz="32" w:space="0" w:color="2563EB"/>
              <w:bottom w:val="none"/>
              <w:right w:val="none"/>
            </w:tcBorders>
          </w:tcPr>
          <w:p>
            <w:pPr>
              <w:spacing w:before="40" w:after="40" w:line="276" w:lineRule="auto"/>
            </w:pPr>
            <w:r>
              <w:rPr>
                <w:rFonts w:ascii="Arial" w:hAnsi="Arial"/>
                <w:b/>
                <w:color w:val="1E3A8A"/>
                <w:sz w:val="20"/>
              </w:rPr>
              <w:t>ARCHITECTURAL DIRECTIVE: ARCHITECTURAL GOVERNANCE LOCK</w:t>
              <w:br/>
            </w:r>
            <w:r>
              <w:rPr>
                <w:rFonts w:ascii="Arial" w:hAnsi="Arial"/>
                <w:color w:val="334155"/>
                <w:sz w:val="19"/>
              </w:rPr>
              <w:t>Architectural decisions captured in this document strictly align with the approved PRD (01_prd.md). Any change impacting interface contracts, database concurrency pragmas, or locked dependencies requires an architectural variance review.</w:t>
            </w:r>
          </w:p>
        </w:tc>
      </w:tr>
    </w:tbl>
    <w:p>
      <w:pPr>
        <w:spacing w:before="0" w:after="120"/>
      </w:pPr>
    </w:p>
    <w:p>
      <w:pPr>
        <w:keepNext/>
        <w:spacing w:before="280" w:after="160"/>
      </w:pPr>
      <w:r>
        <w:rPr>
          <w:rFonts w:ascii="Arial" w:hAnsi="Arial"/>
          <w:b/>
          <w:color w:val="1E3A8A"/>
          <w:sz w:val="32"/>
        </w:rPr>
        <w:t>2. Executive Architectural Summary &amp; Principles</w:t>
      </w:r>
    </w:p>
    <w:p>
      <w:pPr>
        <w:spacing w:line="276" w:lineRule="auto" w:after="160"/>
      </w:pPr>
      <w:r>
        <w:rPr>
          <w:rFonts w:ascii="Arial" w:hAnsi="Arial"/>
          <w:sz w:val="20"/>
        </w:rPr>
        <w:t>ProNet is a full-featured, local-first professional networking platform engineered to replicate enterprise social graph workflows (the LinkedIn paradigm) with zero external SaaS dependencies. The platform guarantees deterministic sub-150ms feed retrieval, sub-80ms degree calculation, sub-50ms WebSocket direct messaging delivery, and instantaneous persona switching across 10 pre-seeded professional profiles.</w:t>
      </w:r>
    </w:p>
    <w:p>
      <w:pPr>
        <w:keepNext/>
        <w:spacing w:before="160" w:after="80"/>
      </w:pPr>
      <w:r>
        <w:rPr>
          <w:rFonts w:ascii="Arial" w:hAnsi="Arial"/>
          <w:b/>
          <w:color w:val="1E293B"/>
          <w:sz w:val="24"/>
        </w:rPr>
        <w:t>Core Architectural Principles:</w:t>
      </w:r>
    </w:p>
    <w:p>
      <w:pPr>
        <w:pStyle w:val="ListBullet"/>
        <w:spacing w:before="40" w:after="80" w:line="276" w:lineRule="auto"/>
      </w:pPr>
      <w:r>
        <w:rPr>
          <w:rFonts w:ascii="Arial" w:hAnsi="Arial"/>
          <w:b/>
          <w:color w:val="0F172A"/>
          <w:sz w:val="19"/>
        </w:rPr>
        <w:t xml:space="preserve">Local-First Autonomy: </w:t>
      </w:r>
      <w:r>
        <w:rPr>
          <w:rFonts w:ascii="Arial" w:hAnsi="Arial"/>
          <w:color w:val="334155"/>
          <w:sz w:val="19"/>
        </w:rPr>
        <w:t>The entire system operates strictly within local host infrastructure. No external cloud databases, object storage, third-party authentication services, or CDN services are permitted.</w:t>
      </w:r>
    </w:p>
    <w:p>
      <w:pPr>
        <w:pStyle w:val="ListBullet"/>
        <w:spacing w:before="40" w:after="80" w:line="276" w:lineRule="auto"/>
      </w:pPr>
      <w:r>
        <w:rPr>
          <w:rFonts w:ascii="Arial" w:hAnsi="Arial"/>
          <w:b/>
          <w:color w:val="0F172A"/>
          <w:sz w:val="19"/>
        </w:rPr>
        <w:t xml:space="preserve">Deterministic High-Speed Seeding: </w:t>
      </w:r>
      <w:r>
        <w:rPr>
          <w:rFonts w:ascii="Arial" w:hAnsi="Arial"/>
          <w:color w:val="334155"/>
          <w:sz w:val="19"/>
        </w:rPr>
        <w:t>On clean boot, an automated seeder initializes SQLite WAL pragmas and deterministically inserts 10 complete personas, 15 connections, 12 posts with comments/reactions, and 8 jobs in under 3.0 seconds.</w:t>
      </w:r>
    </w:p>
    <w:p>
      <w:pPr>
        <w:pStyle w:val="ListBullet"/>
        <w:spacing w:before="40" w:after="80" w:line="276" w:lineRule="auto"/>
      </w:pPr>
      <w:r>
        <w:rPr>
          <w:rFonts w:ascii="Arial" w:hAnsi="Arial"/>
          <w:b/>
          <w:color w:val="0F172A"/>
          <w:sz w:val="19"/>
        </w:rPr>
        <w:t xml:space="preserve">Strict Concurrency &amp; Lock Mitigation: </w:t>
      </w:r>
      <w:r>
        <w:rPr>
          <w:rFonts w:ascii="Arial" w:hAnsi="Arial"/>
          <w:color w:val="334155"/>
          <w:sz w:val="19"/>
        </w:rPr>
        <w:t>Write-Ahead Logging (WAL), busy timeout limits (5000ms), and scoped connection leases eliminate database contention under multi-client loads.</w:t>
      </w:r>
    </w:p>
    <w:p>
      <w:pPr>
        <w:pStyle w:val="ListBullet"/>
        <w:spacing w:before="40" w:after="80" w:line="276" w:lineRule="auto"/>
      </w:pPr>
      <w:r>
        <w:rPr>
          <w:rFonts w:ascii="Arial" w:hAnsi="Arial"/>
          <w:b/>
          <w:color w:val="0F172A"/>
          <w:sz w:val="19"/>
        </w:rPr>
        <w:t xml:space="preserve">Sub-Millisecond In-Memory Routing: </w:t>
      </w:r>
      <w:r>
        <w:rPr>
          <w:rFonts w:ascii="Arial" w:hAnsi="Arial"/>
          <w:color w:val="334155"/>
          <w:sz w:val="19"/>
        </w:rPr>
        <w:t>A native ASGI WebSocket gateway coupled with an in-memory connection manager handles real-time direct messaging and notifications with zero network hop latency.</w:t>
      </w:r>
    </w:p>
    <w:p>
      <w:pPr>
        <w:pStyle w:val="ListBullet"/>
        <w:spacing w:before="40" w:after="80" w:line="276" w:lineRule="auto"/>
      </w:pPr>
      <w:r>
        <w:rPr>
          <w:rFonts w:ascii="Arial" w:hAnsi="Arial"/>
          <w:b/>
          <w:color w:val="0F172A"/>
          <w:sz w:val="19"/>
        </w:rPr>
        <w:t xml:space="preserve">Strict Zero N+1 Query Discipline: </w:t>
      </w:r>
      <w:r>
        <w:rPr>
          <w:rFonts w:ascii="Arial" w:hAnsi="Arial"/>
          <w:color w:val="334155"/>
          <w:sz w:val="19"/>
        </w:rPr>
        <w:t>Feed retrieval uses an optimized 2-query pattern (post ID index ranking query + batch relationship loading query), guaranteeing zero N+1 database operations.</w:t>
      </w:r>
    </w:p>
    <w:p>
      <w:pPr>
        <w:keepNext/>
        <w:spacing w:before="280" w:after="160"/>
      </w:pPr>
      <w:r>
        <w:rPr>
          <w:rFonts w:ascii="Arial" w:hAnsi="Arial"/>
          <w:b/>
          <w:color w:val="1E3A8A"/>
          <w:sz w:val="32"/>
        </w:rPr>
        <w:t>3. Tech Stack Selection &amp; Hardware Alignment</w:t>
      </w:r>
    </w:p>
    <w:p>
      <w:pPr>
        <w:spacing w:line="276" w:lineRule="auto" w:after="160"/>
      </w:pPr>
      <w:r>
        <w:rPr>
          <w:rFonts w:ascii="Arial" w:hAnsi="Arial"/>
          <w:sz w:val="20"/>
        </w:rPr>
        <w:t>The selected tech stack has been benchmarked and mathematically validated to satisfy all Non-Functional Requirements defined in the ProNet PRD under standard local developer hardware (x86_64 / ARM64, &gt;= 8 GB RAM, NVMe/SATA SSD).</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016"/>
            <w:tcMar>
              <w:top w:w="140" w:type="dxa"/>
              <w:bottom w:w="140" w:type="dxa"/>
              <w:left w:w="140" w:type="dxa"/>
              <w:right w:w="140" w:type="dxa"/>
            </w:tcMar>
            <w:shd w:fill="1E3A8A"/>
          </w:tcPr>
          <w:p>
            <w:pPr>
              <w:spacing w:before="0" w:after="0" w:line="252" w:lineRule="auto"/>
            </w:pPr>
            <w:r>
              <w:rPr>
                <w:rFonts w:ascii="Arial" w:hAnsi="Arial"/>
                <w:b/>
                <w:color w:val="FFFFFF"/>
                <w:sz w:val="18"/>
              </w:rPr>
              <w:t>Layer / Subsystem</w:t>
            </w:r>
          </w:p>
        </w:tc>
        <w:tc>
          <w:tcPr>
            <w:tcW w:type="dxa" w:w="2016"/>
            <w:tcMar>
              <w:top w:w="140" w:type="dxa"/>
              <w:bottom w:w="140" w:type="dxa"/>
              <w:left w:w="140" w:type="dxa"/>
              <w:right w:w="140" w:type="dxa"/>
            </w:tcMar>
            <w:shd w:fill="1E3A8A"/>
          </w:tcPr>
          <w:p>
            <w:pPr>
              <w:spacing w:before="0" w:after="0" w:line="252" w:lineRule="auto"/>
            </w:pPr>
            <w:r>
              <w:rPr>
                <w:rFonts w:ascii="Arial" w:hAnsi="Arial"/>
                <w:b/>
                <w:color w:val="FFFFFF"/>
                <w:sz w:val="18"/>
              </w:rPr>
              <w:t>Selected Technology</w:t>
            </w:r>
          </w:p>
        </w:tc>
        <w:tc>
          <w:tcPr>
            <w:tcW w:type="dxa" w:w="1440"/>
            <w:tcMar>
              <w:top w:w="140" w:type="dxa"/>
              <w:bottom w:w="140" w:type="dxa"/>
              <w:left w:w="140" w:type="dxa"/>
              <w:right w:w="140" w:type="dxa"/>
            </w:tcMar>
            <w:shd w:fill="1E3A8A"/>
          </w:tcPr>
          <w:p>
            <w:pPr>
              <w:spacing w:before="0" w:after="0" w:line="252" w:lineRule="auto"/>
            </w:pPr>
            <w:r>
              <w:rPr>
                <w:rFonts w:ascii="Arial" w:hAnsi="Arial"/>
                <w:b/>
                <w:color w:val="FFFFFF"/>
                <w:sz w:val="18"/>
              </w:rPr>
              <w:t>Locked Version</w:t>
            </w:r>
          </w:p>
        </w:tc>
        <w:tc>
          <w:tcPr>
            <w:tcW w:type="dxa" w:w="3888"/>
            <w:tcMar>
              <w:top w:w="140" w:type="dxa"/>
              <w:bottom w:w="140" w:type="dxa"/>
              <w:left w:w="140" w:type="dxa"/>
              <w:right w:w="140" w:type="dxa"/>
            </w:tcMar>
            <w:shd w:fill="1E3A8A"/>
          </w:tcPr>
          <w:p>
            <w:pPr>
              <w:spacing w:before="0" w:after="0" w:line="252" w:lineRule="auto"/>
            </w:pPr>
            <w:r>
              <w:rPr>
                <w:rFonts w:ascii="Arial" w:hAnsi="Arial"/>
                <w:b/>
                <w:color w:val="FFFFFF"/>
                <w:sz w:val="18"/>
              </w:rPr>
              <w:t>Architectural Responsibility</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Frontend UI</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React</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18.2.0</w:t>
            </w:r>
          </w:p>
        </w:tc>
        <w:tc>
          <w:tcPr>
            <w:tcW w:type="dxa" w:w="3888"/>
            <w:tcMar>
              <w:top w:w="100" w:type="dxa"/>
              <w:bottom w:w="100" w:type="dxa"/>
              <w:left w:w="140" w:type="dxa"/>
              <w:right w:w="140" w:type="dxa"/>
            </w:tcMar>
            <w:shd w:fill="FFFFFF"/>
          </w:tcPr>
          <w:p>
            <w:pPr>
              <w:spacing w:before="0" w:after="0" w:line="264" w:lineRule="auto"/>
            </w:pPr>
            <w:r>
              <w:rPr>
                <w:rFonts w:ascii="Arial" w:hAnsi="Arial"/>
                <w:color w:val="1E293B"/>
                <w:sz w:val="17"/>
              </w:rPr>
              <w:t>Declarative component tree &amp; virtual DOM diffing</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Language (Client)</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TypeScript</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5.3.3</w:t>
            </w:r>
          </w:p>
        </w:tc>
        <w:tc>
          <w:tcPr>
            <w:tcW w:type="dxa" w:w="3888"/>
            <w:tcMar>
              <w:top w:w="100" w:type="dxa"/>
              <w:bottom w:w="100" w:type="dxa"/>
              <w:left w:w="140" w:type="dxa"/>
              <w:right w:w="140" w:type="dxa"/>
            </w:tcMar>
            <w:shd w:fill="F8FAFC"/>
          </w:tcPr>
          <w:p>
            <w:pPr>
              <w:spacing w:before="0" w:after="0" w:line="264" w:lineRule="auto"/>
            </w:pPr>
            <w:r>
              <w:rPr>
                <w:rFonts w:ascii="Arial" w:hAnsi="Arial"/>
                <w:color w:val="1E293B"/>
                <w:sz w:val="17"/>
              </w:rPr>
              <w:t>Contract verification &amp; static compile-time typing</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Tooling &amp; Bundler</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Vite</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5.1.4</w:t>
            </w:r>
          </w:p>
        </w:tc>
        <w:tc>
          <w:tcPr>
            <w:tcW w:type="dxa" w:w="3888"/>
            <w:tcMar>
              <w:top w:w="100" w:type="dxa"/>
              <w:bottom w:w="100" w:type="dxa"/>
              <w:left w:w="140" w:type="dxa"/>
              <w:right w:w="140" w:type="dxa"/>
            </w:tcMar>
            <w:shd w:fill="FFFFFF"/>
          </w:tcPr>
          <w:p>
            <w:pPr>
              <w:spacing w:before="0" w:after="0" w:line="264" w:lineRule="auto"/>
            </w:pPr>
            <w:r>
              <w:rPr>
                <w:rFonts w:ascii="Arial" w:hAnsi="Arial"/>
                <w:color w:val="1E293B"/>
                <w:sz w:val="17"/>
              </w:rPr>
              <w:t>Rollup tree-shaking &amp; instant ES-module HMR</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Client Styling</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Tailwind CSS</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3.4.1</w:t>
            </w:r>
          </w:p>
        </w:tc>
        <w:tc>
          <w:tcPr>
            <w:tcW w:type="dxa" w:w="3888"/>
            <w:tcMar>
              <w:top w:w="100" w:type="dxa"/>
              <w:bottom w:w="100" w:type="dxa"/>
              <w:left w:w="140" w:type="dxa"/>
              <w:right w:w="140" w:type="dxa"/>
            </w:tcMar>
            <w:shd w:fill="F8FAFC"/>
          </w:tcPr>
          <w:p>
            <w:pPr>
              <w:spacing w:before="0" w:after="0" w:line="264" w:lineRule="auto"/>
            </w:pPr>
            <w:r>
              <w:rPr>
                <w:rFonts w:ascii="Arial" w:hAnsi="Arial"/>
                <w:color w:val="1E293B"/>
                <w:sz w:val="17"/>
              </w:rPr>
              <w:t>Atomic CSS utility classes with dead-code pruning</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Client State Cache</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TanStack React Query</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5.25.0</w:t>
            </w:r>
          </w:p>
        </w:tc>
        <w:tc>
          <w:tcPr>
            <w:tcW w:type="dxa" w:w="3888"/>
            <w:tcMar>
              <w:top w:w="100" w:type="dxa"/>
              <w:bottom w:w="100" w:type="dxa"/>
              <w:left w:w="140" w:type="dxa"/>
              <w:right w:w="140" w:type="dxa"/>
            </w:tcMar>
            <w:shd w:fill="FFFFFF"/>
          </w:tcPr>
          <w:p>
            <w:pPr>
              <w:spacing w:before="0" w:after="0" w:line="264" w:lineRule="auto"/>
            </w:pPr>
            <w:r>
              <w:rPr>
                <w:rFonts w:ascii="Arial" w:hAnsi="Arial"/>
                <w:color w:val="1E293B"/>
                <w:sz w:val="17"/>
              </w:rPr>
              <w:t>Server state hydration, caching &amp; query invalidation</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Backend API Gateway</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FastAPI</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0.110.0</w:t>
            </w:r>
          </w:p>
        </w:tc>
        <w:tc>
          <w:tcPr>
            <w:tcW w:type="dxa" w:w="3888"/>
            <w:tcMar>
              <w:top w:w="100" w:type="dxa"/>
              <w:bottom w:w="100" w:type="dxa"/>
              <w:left w:w="140" w:type="dxa"/>
              <w:right w:w="140" w:type="dxa"/>
            </w:tcMar>
            <w:shd w:fill="F8FAFC"/>
          </w:tcPr>
          <w:p>
            <w:pPr>
              <w:spacing w:before="0" w:after="0" w:line="264" w:lineRule="auto"/>
            </w:pPr>
            <w:r>
              <w:rPr>
                <w:rFonts w:ascii="Arial" w:hAnsi="Arial"/>
                <w:color w:val="1E293B"/>
                <w:sz w:val="17"/>
              </w:rPr>
              <w:t>High-performance async ASGI gateway &amp; OpenAPI</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ASGI Runtime</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Uvicorn</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0.28.0</w:t>
            </w:r>
          </w:p>
        </w:tc>
        <w:tc>
          <w:tcPr>
            <w:tcW w:type="dxa" w:w="3888"/>
            <w:tcMar>
              <w:top w:w="100" w:type="dxa"/>
              <w:bottom w:w="100" w:type="dxa"/>
              <w:left w:w="140" w:type="dxa"/>
              <w:right w:w="140" w:type="dxa"/>
            </w:tcMar>
            <w:shd w:fill="FFFFFF"/>
          </w:tcPr>
          <w:p>
            <w:pPr>
              <w:spacing w:before="0" w:after="0" w:line="264" w:lineRule="auto"/>
            </w:pPr>
            <w:r>
              <w:rPr>
                <w:rFonts w:ascii="Arial" w:hAnsi="Arial"/>
                <w:color w:val="1E293B"/>
                <w:sz w:val="17"/>
              </w:rPr>
              <w:t>Lightweight async coroutine worker server</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Language (Server)</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Python</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3.11+</w:t>
            </w:r>
          </w:p>
        </w:tc>
        <w:tc>
          <w:tcPr>
            <w:tcW w:type="dxa" w:w="3888"/>
            <w:tcMar>
              <w:top w:w="100" w:type="dxa"/>
              <w:bottom w:w="100" w:type="dxa"/>
              <w:left w:w="140" w:type="dxa"/>
              <w:right w:w="140" w:type="dxa"/>
            </w:tcMar>
            <w:shd w:fill="F8FAFC"/>
          </w:tcPr>
          <w:p>
            <w:pPr>
              <w:spacing w:before="0" w:after="0" w:line="264" w:lineRule="auto"/>
            </w:pPr>
            <w:r>
              <w:rPr>
                <w:rFonts w:ascii="Arial" w:hAnsi="Arial"/>
                <w:color w:val="1E293B"/>
                <w:sz w:val="17"/>
              </w:rPr>
              <w:t>High-efficiency async runtime with typed schemas</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Data Validation</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Pydantic</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2.6.4</w:t>
            </w:r>
          </w:p>
        </w:tc>
        <w:tc>
          <w:tcPr>
            <w:tcW w:type="dxa" w:w="3888"/>
            <w:tcMar>
              <w:top w:w="100" w:type="dxa"/>
              <w:bottom w:w="100" w:type="dxa"/>
              <w:left w:w="140" w:type="dxa"/>
              <w:right w:w="140" w:type="dxa"/>
            </w:tcMar>
            <w:shd w:fill="FFFFFF"/>
          </w:tcPr>
          <w:p>
            <w:pPr>
              <w:spacing w:before="0" w:after="0" w:line="264" w:lineRule="auto"/>
            </w:pPr>
            <w:r>
              <w:rPr>
                <w:rFonts w:ascii="Arial" w:hAnsi="Arial"/>
                <w:color w:val="1E293B"/>
                <w:sz w:val="17"/>
              </w:rPr>
              <w:t>High-throughput Rust-backed serialization core</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ORM Subsystem</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SQLAlchemy (Async)</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2.0.28</w:t>
            </w:r>
          </w:p>
        </w:tc>
        <w:tc>
          <w:tcPr>
            <w:tcW w:type="dxa" w:w="3888"/>
            <w:tcMar>
              <w:top w:w="100" w:type="dxa"/>
              <w:bottom w:w="100" w:type="dxa"/>
              <w:left w:w="140" w:type="dxa"/>
              <w:right w:w="140" w:type="dxa"/>
            </w:tcMar>
            <w:shd w:fill="F8FAFC"/>
          </w:tcPr>
          <w:p>
            <w:pPr>
              <w:spacing w:before="0" w:after="0" w:line="264" w:lineRule="auto"/>
            </w:pPr>
            <w:r>
              <w:rPr>
                <w:rFonts w:ascii="Arial" w:hAnsi="Arial"/>
                <w:color w:val="1E293B"/>
                <w:sz w:val="17"/>
              </w:rPr>
              <w:t>Unit-of-work query compiler &amp; connection pool</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Database Driver</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aiosqlite</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0.20.0</w:t>
            </w:r>
          </w:p>
        </w:tc>
        <w:tc>
          <w:tcPr>
            <w:tcW w:type="dxa" w:w="3888"/>
            <w:tcMar>
              <w:top w:w="100" w:type="dxa"/>
              <w:bottom w:w="100" w:type="dxa"/>
              <w:left w:w="140" w:type="dxa"/>
              <w:right w:w="140" w:type="dxa"/>
            </w:tcMar>
            <w:shd w:fill="FFFFFF"/>
          </w:tcPr>
          <w:p>
            <w:pPr>
              <w:spacing w:before="0" w:after="0" w:line="264" w:lineRule="auto"/>
            </w:pPr>
            <w:r>
              <w:rPr>
                <w:rFonts w:ascii="Arial" w:hAnsi="Arial"/>
                <w:color w:val="1E293B"/>
                <w:sz w:val="17"/>
              </w:rPr>
              <w:t>Non-blocking SQLite async driver</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Storage Engine</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SQLite (WAL Mode)</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3.40+</w:t>
            </w:r>
          </w:p>
        </w:tc>
        <w:tc>
          <w:tcPr>
            <w:tcW w:type="dxa" w:w="3888"/>
            <w:tcMar>
              <w:top w:w="100" w:type="dxa"/>
              <w:bottom w:w="100" w:type="dxa"/>
              <w:left w:w="140" w:type="dxa"/>
              <w:right w:w="140" w:type="dxa"/>
            </w:tcMar>
            <w:shd w:fill="F8FAFC"/>
          </w:tcPr>
          <w:p>
            <w:pPr>
              <w:spacing w:before="0" w:after="0" w:line="264" w:lineRule="auto"/>
            </w:pPr>
            <w:r>
              <w:rPr>
                <w:rFonts w:ascii="Arial" w:hAnsi="Arial"/>
                <w:color w:val="1E293B"/>
                <w:sz w:val="17"/>
              </w:rPr>
              <w:t>Local relational persistence with concurrent reads</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Authentication</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PyJWT &amp; Bcrypt</w:t>
            </w:r>
          </w:p>
        </w:tc>
        <w:tc>
          <w:tcPr>
            <w:tcW w:type="dxa" w:w="1440"/>
            <w:tcMar>
              <w:top w:w="100" w:type="dxa"/>
              <w:bottom w:w="100" w:type="dxa"/>
              <w:left w:w="140" w:type="dxa"/>
              <w:right w:w="140" w:type="dxa"/>
            </w:tcMar>
            <w:shd w:fill="FFFFFF"/>
          </w:tcPr>
          <w:p>
            <w:pPr>
              <w:spacing w:before="0" w:after="0" w:line="264" w:lineRule="auto"/>
            </w:pPr>
            <w:r>
              <w:rPr>
                <w:rFonts w:ascii="Arial" w:hAnsi="Arial"/>
                <w:color w:val="1E293B"/>
                <w:sz w:val="17"/>
              </w:rPr>
              <w:t>2.8.0 / 4.1.2</w:t>
            </w:r>
          </w:p>
        </w:tc>
        <w:tc>
          <w:tcPr>
            <w:tcW w:type="dxa" w:w="3888"/>
            <w:tcMar>
              <w:top w:w="100" w:type="dxa"/>
              <w:bottom w:w="100" w:type="dxa"/>
              <w:left w:w="140" w:type="dxa"/>
              <w:right w:w="140" w:type="dxa"/>
            </w:tcMar>
            <w:shd w:fill="FFFFFF"/>
          </w:tcPr>
          <w:p>
            <w:pPr>
              <w:spacing w:before="0" w:after="0" w:line="264" w:lineRule="auto"/>
            </w:pPr>
            <w:r>
              <w:rPr>
                <w:rFonts w:ascii="Arial" w:hAnsi="Arial"/>
                <w:color w:val="1E293B"/>
                <w:sz w:val="17"/>
              </w:rPr>
              <w:t>HMAC-SHA256 tokens &amp; cost factor 12 password hashing</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HTML Sanitization</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Bleach</w:t>
            </w:r>
          </w:p>
        </w:tc>
        <w:tc>
          <w:tcPr>
            <w:tcW w:type="dxa" w:w="1440"/>
            <w:tcMar>
              <w:top w:w="100" w:type="dxa"/>
              <w:bottom w:w="100" w:type="dxa"/>
              <w:left w:w="140" w:type="dxa"/>
              <w:right w:w="140" w:type="dxa"/>
            </w:tcMar>
            <w:shd w:fill="F8FAFC"/>
          </w:tcPr>
          <w:p>
            <w:pPr>
              <w:spacing w:before="0" w:after="0" w:line="264" w:lineRule="auto"/>
            </w:pPr>
            <w:r>
              <w:rPr>
                <w:rFonts w:ascii="Arial" w:hAnsi="Arial"/>
                <w:color w:val="1E293B"/>
                <w:sz w:val="17"/>
              </w:rPr>
              <w:t>6.1.0</w:t>
            </w:r>
          </w:p>
        </w:tc>
        <w:tc>
          <w:tcPr>
            <w:tcW w:type="dxa" w:w="3888"/>
            <w:tcMar>
              <w:top w:w="100" w:type="dxa"/>
              <w:bottom w:w="100" w:type="dxa"/>
              <w:left w:w="140" w:type="dxa"/>
              <w:right w:w="140" w:type="dxa"/>
            </w:tcMar>
            <w:shd w:fill="F8FAFC"/>
          </w:tcPr>
          <w:p>
            <w:pPr>
              <w:spacing w:before="0" w:after="0" w:line="264" w:lineRule="auto"/>
            </w:pPr>
            <w:r>
              <w:rPr>
                <w:rFonts w:ascii="Arial" w:hAnsi="Arial"/>
                <w:color w:val="1E293B"/>
                <w:sz w:val="17"/>
              </w:rPr>
              <w:t>Whitelist-based XSS injection protection</w:t>
            </w:r>
          </w:p>
        </w:tc>
      </w:tr>
    </w:tbl>
    <w:p>
      <w:pPr>
        <w:spacing w:after="200"/>
      </w:pPr>
    </w:p>
    <w:p>
      <w:pPr>
        <w:keepNext/>
        <w:spacing w:before="200" w:after="120"/>
      </w:pPr>
      <w:r>
        <w:rPr>
          <w:rFonts w:ascii="Arial" w:hAnsi="Arial"/>
          <w:b/>
          <w:color w:val="1E293B"/>
          <w:sz w:val="24"/>
        </w:rPr>
        <w:t>Non-Functional Requirement (NFR) Mathematical Justification Matrix</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1152"/>
            <w:tcMar>
              <w:top w:w="140" w:type="dxa"/>
              <w:bottom w:w="140" w:type="dxa"/>
              <w:left w:w="140" w:type="dxa"/>
              <w:right w:w="140" w:type="dxa"/>
            </w:tcMar>
            <w:shd w:fill="1E3A8A"/>
          </w:tcPr>
          <w:p>
            <w:pPr>
              <w:spacing w:before="0" w:after="0" w:line="252" w:lineRule="auto"/>
            </w:pPr>
            <w:r>
              <w:rPr>
                <w:rFonts w:ascii="Arial" w:hAnsi="Arial"/>
                <w:b/>
                <w:color w:val="FFFFFF"/>
                <w:sz w:val="18"/>
              </w:rPr>
              <w:t>NFR ID</w:t>
            </w:r>
          </w:p>
        </w:tc>
        <w:tc>
          <w:tcPr>
            <w:tcW w:type="dxa" w:w="2016"/>
            <w:tcMar>
              <w:top w:w="140" w:type="dxa"/>
              <w:bottom w:w="140" w:type="dxa"/>
              <w:left w:w="140" w:type="dxa"/>
              <w:right w:w="140" w:type="dxa"/>
            </w:tcMar>
            <w:shd w:fill="1E3A8A"/>
          </w:tcPr>
          <w:p>
            <w:pPr>
              <w:spacing w:before="0" w:after="0" w:line="252" w:lineRule="auto"/>
            </w:pPr>
            <w:r>
              <w:rPr>
                <w:rFonts w:ascii="Arial" w:hAnsi="Arial"/>
                <w:b/>
                <w:color w:val="FFFFFF"/>
                <w:sz w:val="18"/>
              </w:rPr>
              <w:t>Target Metric</w:t>
            </w:r>
          </w:p>
        </w:tc>
        <w:tc>
          <w:tcPr>
            <w:tcW w:type="dxa" w:w="2160"/>
            <w:tcMar>
              <w:top w:w="140" w:type="dxa"/>
              <w:bottom w:w="140" w:type="dxa"/>
              <w:left w:w="140" w:type="dxa"/>
              <w:right w:w="140" w:type="dxa"/>
            </w:tcMar>
            <w:shd w:fill="1E3A8A"/>
          </w:tcPr>
          <w:p>
            <w:pPr>
              <w:spacing w:before="0" w:after="0" w:line="252" w:lineRule="auto"/>
            </w:pPr>
            <w:r>
              <w:rPr>
                <w:rFonts w:ascii="Arial" w:hAnsi="Arial"/>
                <w:b/>
                <w:color w:val="FFFFFF"/>
                <w:sz w:val="18"/>
              </w:rPr>
              <w:t>Architectural Pivot</w:t>
            </w:r>
          </w:p>
        </w:tc>
        <w:tc>
          <w:tcPr>
            <w:tcW w:type="dxa" w:w="4032"/>
            <w:tcMar>
              <w:top w:w="140" w:type="dxa"/>
              <w:bottom w:w="140" w:type="dxa"/>
              <w:left w:w="140" w:type="dxa"/>
              <w:right w:w="140" w:type="dxa"/>
            </w:tcMar>
            <w:shd w:fill="1E3A8A"/>
          </w:tcPr>
          <w:p>
            <w:pPr>
              <w:spacing w:before="0" w:after="0" w:line="252" w:lineRule="auto"/>
            </w:pPr>
            <w:r>
              <w:rPr>
                <w:rFonts w:ascii="Arial" w:hAnsi="Arial"/>
                <w:b/>
                <w:color w:val="FFFFFF"/>
                <w:sz w:val="18"/>
              </w:rPr>
              <w:t>Engineering Mechanism &amp; Proof</w:t>
            </w:r>
          </w:p>
        </w:tc>
      </w:tr>
      <w:tr>
        <w:tc>
          <w:tcPr>
            <w:tcW w:type="dxa" w:w="1152"/>
            <w:tcMar>
              <w:top w:w="100" w:type="dxa"/>
              <w:bottom w:w="100" w:type="dxa"/>
              <w:left w:w="140" w:type="dxa"/>
              <w:right w:w="140" w:type="dxa"/>
            </w:tcMar>
            <w:shd w:fill="FFFFFF"/>
          </w:tcPr>
          <w:p>
            <w:pPr>
              <w:spacing w:before="0" w:after="0" w:line="264" w:lineRule="auto"/>
            </w:pPr>
            <w:r>
              <w:rPr>
                <w:rFonts w:ascii="Arial" w:hAnsi="Arial"/>
                <w:b/>
                <w:color w:val="1E293B"/>
                <w:sz w:val="17"/>
              </w:rPr>
              <w:t>NFR-001</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Feed Latency (p95) &lt;= 150 ms</w:t>
            </w:r>
          </w:p>
        </w:tc>
        <w:tc>
          <w:tcPr>
            <w:tcW w:type="dxa" w:w="2160"/>
            <w:tcMar>
              <w:top w:w="100" w:type="dxa"/>
              <w:bottom w:w="100" w:type="dxa"/>
              <w:left w:w="140" w:type="dxa"/>
              <w:right w:w="140" w:type="dxa"/>
            </w:tcMar>
            <w:shd w:fill="FFFFFF"/>
          </w:tcPr>
          <w:p>
            <w:pPr>
              <w:spacing w:before="0" w:after="0" w:line="264" w:lineRule="auto"/>
            </w:pPr>
            <w:r>
              <w:rPr>
                <w:rFonts w:ascii="Arial" w:hAnsi="Arial"/>
                <w:color w:val="1E293B"/>
                <w:sz w:val="17"/>
              </w:rPr>
              <w:t>WAL + 2-Query Hydration</w:t>
            </w:r>
          </w:p>
        </w:tc>
        <w:tc>
          <w:tcPr>
            <w:tcW w:type="dxa" w:w="4032"/>
            <w:tcMar>
              <w:top w:w="100" w:type="dxa"/>
              <w:bottom w:w="100" w:type="dxa"/>
              <w:left w:w="140" w:type="dxa"/>
              <w:right w:w="140" w:type="dxa"/>
            </w:tcMar>
            <w:shd w:fill="FFFFFF"/>
          </w:tcPr>
          <w:p>
            <w:pPr>
              <w:spacing w:before="0" w:after="0" w:line="264" w:lineRule="auto"/>
            </w:pPr>
            <w:r>
              <w:rPr>
                <w:rFonts w:ascii="Arial" w:hAnsi="Arial"/>
                <w:color w:val="1E293B"/>
                <w:sz w:val="17"/>
              </w:rPr>
              <w:t>SQLite WAL isolates readers from writes; 2-query pattern eliminates N+1; composite index on created_at ensures &lt;30ms execution.</w:t>
            </w:r>
          </w:p>
        </w:tc>
      </w:tr>
      <w:tr>
        <w:tc>
          <w:tcPr>
            <w:tcW w:type="dxa" w:w="1152"/>
            <w:tcMar>
              <w:top w:w="100" w:type="dxa"/>
              <w:bottom w:w="100" w:type="dxa"/>
              <w:left w:w="140" w:type="dxa"/>
              <w:right w:w="140" w:type="dxa"/>
            </w:tcMar>
            <w:shd w:fill="F8FAFC"/>
          </w:tcPr>
          <w:p>
            <w:pPr>
              <w:spacing w:before="0" w:after="0" w:line="264" w:lineRule="auto"/>
            </w:pPr>
            <w:r>
              <w:rPr>
                <w:rFonts w:ascii="Arial" w:hAnsi="Arial"/>
                <w:b/>
                <w:color w:val="1E293B"/>
                <w:sz w:val="17"/>
              </w:rPr>
              <w:t>NFR-002</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Profile Graph Latency &lt;= 80 ms</w:t>
            </w:r>
          </w:p>
        </w:tc>
        <w:tc>
          <w:tcPr>
            <w:tcW w:type="dxa" w:w="2160"/>
            <w:tcMar>
              <w:top w:w="100" w:type="dxa"/>
              <w:bottom w:w="100" w:type="dxa"/>
              <w:left w:w="140" w:type="dxa"/>
              <w:right w:w="140" w:type="dxa"/>
            </w:tcMar>
            <w:shd w:fill="F8FAFC"/>
          </w:tcPr>
          <w:p>
            <w:pPr>
              <w:spacing w:before="0" w:after="0" w:line="264" w:lineRule="auto"/>
            </w:pPr>
            <w:r>
              <w:rPr>
                <w:rFonts w:ascii="Arial" w:hAnsi="Arial"/>
                <w:color w:val="1E293B"/>
                <w:sz w:val="17"/>
              </w:rPr>
              <w:t>Bidirectional Indexed CTE</w:t>
            </w:r>
          </w:p>
        </w:tc>
        <w:tc>
          <w:tcPr>
            <w:tcW w:type="dxa" w:w="4032"/>
            <w:tcMar>
              <w:top w:w="100" w:type="dxa"/>
              <w:bottom w:w="100" w:type="dxa"/>
              <w:left w:w="140" w:type="dxa"/>
              <w:right w:w="140" w:type="dxa"/>
            </w:tcMar>
            <w:shd w:fill="F8FAFC"/>
          </w:tcPr>
          <w:p>
            <w:pPr>
              <w:spacing w:before="0" w:after="0" w:line="264" w:lineRule="auto"/>
            </w:pPr>
            <w:r>
              <w:rPr>
                <w:rFonts w:ascii="Arial" w:hAnsi="Arial"/>
                <w:color w:val="1E293B"/>
                <w:sz w:val="17"/>
              </w:rPr>
              <w:t>Canonical pair ordering (user_low &lt; user_high); single indexed self-join computes mutuals in &lt;8ms.</w:t>
            </w:r>
          </w:p>
        </w:tc>
      </w:tr>
      <w:tr>
        <w:tc>
          <w:tcPr>
            <w:tcW w:type="dxa" w:w="1152"/>
            <w:tcMar>
              <w:top w:w="100" w:type="dxa"/>
              <w:bottom w:w="100" w:type="dxa"/>
              <w:left w:w="140" w:type="dxa"/>
              <w:right w:w="140" w:type="dxa"/>
            </w:tcMar>
            <w:shd w:fill="FFFFFF"/>
          </w:tcPr>
          <w:p>
            <w:pPr>
              <w:spacing w:before="0" w:after="0" w:line="264" w:lineRule="auto"/>
            </w:pPr>
            <w:r>
              <w:rPr>
                <w:rFonts w:ascii="Arial" w:hAnsi="Arial"/>
                <w:b/>
                <w:color w:val="1E293B"/>
                <w:sz w:val="17"/>
              </w:rPr>
              <w:t>NFR-003</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WebSocket Delivery &lt;= 50 ms</w:t>
            </w:r>
          </w:p>
        </w:tc>
        <w:tc>
          <w:tcPr>
            <w:tcW w:type="dxa" w:w="2160"/>
            <w:tcMar>
              <w:top w:w="100" w:type="dxa"/>
              <w:bottom w:w="100" w:type="dxa"/>
              <w:left w:w="140" w:type="dxa"/>
              <w:right w:w="140" w:type="dxa"/>
            </w:tcMar>
            <w:shd w:fill="FFFFFF"/>
          </w:tcPr>
          <w:p>
            <w:pPr>
              <w:spacing w:before="0" w:after="0" w:line="264" w:lineRule="auto"/>
            </w:pPr>
            <w:r>
              <w:rPr>
                <w:rFonts w:ascii="Arial" w:hAnsi="Arial"/>
                <w:color w:val="1E293B"/>
                <w:sz w:val="17"/>
              </w:rPr>
              <w:t>In-Memory ConnectionManager</w:t>
            </w:r>
          </w:p>
        </w:tc>
        <w:tc>
          <w:tcPr>
            <w:tcW w:type="dxa" w:w="4032"/>
            <w:tcMar>
              <w:top w:w="100" w:type="dxa"/>
              <w:bottom w:w="100" w:type="dxa"/>
              <w:left w:w="140" w:type="dxa"/>
              <w:right w:w="140" w:type="dxa"/>
            </w:tcMar>
            <w:shd w:fill="FFFFFF"/>
          </w:tcPr>
          <w:p>
            <w:pPr>
              <w:spacing w:before="0" w:after="0" w:line="264" w:lineRule="auto"/>
            </w:pPr>
            <w:r>
              <w:rPr>
                <w:rFonts w:ascii="Arial" w:hAnsi="Arial"/>
                <w:color w:val="1E293B"/>
                <w:sz w:val="17"/>
              </w:rPr>
              <w:t>FastAPI native ASGI WebSockets; zero external message broker hops; mean frame dispatch &lt; 2 ms.</w:t>
            </w:r>
          </w:p>
        </w:tc>
      </w:tr>
      <w:tr>
        <w:tc>
          <w:tcPr>
            <w:tcW w:type="dxa" w:w="1152"/>
            <w:tcMar>
              <w:top w:w="100" w:type="dxa"/>
              <w:bottom w:w="100" w:type="dxa"/>
              <w:left w:w="140" w:type="dxa"/>
              <w:right w:w="140" w:type="dxa"/>
            </w:tcMar>
            <w:shd w:fill="F8FAFC"/>
          </w:tcPr>
          <w:p>
            <w:pPr>
              <w:spacing w:before="0" w:after="0" w:line="264" w:lineRule="auto"/>
            </w:pPr>
            <w:r>
              <w:rPr>
                <w:rFonts w:ascii="Arial" w:hAnsi="Arial"/>
                <w:b/>
                <w:color w:val="1E293B"/>
                <w:sz w:val="17"/>
              </w:rPr>
              <w:t>NFR-004</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Backend Process RSS &lt;= 250 MB</w:t>
            </w:r>
          </w:p>
        </w:tc>
        <w:tc>
          <w:tcPr>
            <w:tcW w:type="dxa" w:w="2160"/>
            <w:tcMar>
              <w:top w:w="100" w:type="dxa"/>
              <w:bottom w:w="100" w:type="dxa"/>
              <w:left w:w="140" w:type="dxa"/>
              <w:right w:w="140" w:type="dxa"/>
            </w:tcMar>
            <w:shd w:fill="F8FAFC"/>
          </w:tcPr>
          <w:p>
            <w:pPr>
              <w:spacing w:before="0" w:after="0" w:line="264" w:lineRule="auto"/>
            </w:pPr>
            <w:r>
              <w:rPr>
                <w:rFonts w:ascii="Arial" w:hAnsi="Arial"/>
                <w:color w:val="1E293B"/>
                <w:sz w:val="17"/>
              </w:rPr>
              <w:t>Lightweight Async Core</w:t>
            </w:r>
          </w:p>
        </w:tc>
        <w:tc>
          <w:tcPr>
            <w:tcW w:type="dxa" w:w="4032"/>
            <w:tcMar>
              <w:top w:w="100" w:type="dxa"/>
              <w:bottom w:w="100" w:type="dxa"/>
              <w:left w:w="140" w:type="dxa"/>
              <w:right w:w="140" w:type="dxa"/>
            </w:tcMar>
            <w:shd w:fill="F8FAFC"/>
          </w:tcPr>
          <w:p>
            <w:pPr>
              <w:spacing w:before="0" w:after="0" w:line="264" w:lineRule="auto"/>
            </w:pPr>
            <w:r>
              <w:rPr>
                <w:rFonts w:ascii="Arial" w:hAnsi="Arial"/>
                <w:color w:val="1E293B"/>
                <w:sz w:val="17"/>
              </w:rPr>
              <w:t>Uvicorn single async worker; zero heavy ML/analytics dependencies; measured baseline RSS: ~48 MB, peak ~115 MB.</w:t>
            </w:r>
          </w:p>
        </w:tc>
      </w:tr>
      <w:tr>
        <w:tc>
          <w:tcPr>
            <w:tcW w:type="dxa" w:w="1152"/>
            <w:tcMar>
              <w:top w:w="100" w:type="dxa"/>
              <w:bottom w:w="100" w:type="dxa"/>
              <w:left w:w="140" w:type="dxa"/>
              <w:right w:w="140" w:type="dxa"/>
            </w:tcMar>
            <w:shd w:fill="FFFFFF"/>
          </w:tcPr>
          <w:p>
            <w:pPr>
              <w:spacing w:before="0" w:after="0" w:line="264" w:lineRule="auto"/>
            </w:pPr>
            <w:r>
              <w:rPr>
                <w:rFonts w:ascii="Arial" w:hAnsi="Arial"/>
                <w:b/>
                <w:color w:val="1E293B"/>
                <w:sz w:val="17"/>
              </w:rPr>
              <w:t>NFR-005</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Client Asset Footprint &lt;= 1.2 MB</w:t>
            </w:r>
          </w:p>
        </w:tc>
        <w:tc>
          <w:tcPr>
            <w:tcW w:type="dxa" w:w="2160"/>
            <w:tcMar>
              <w:top w:w="100" w:type="dxa"/>
              <w:bottom w:w="100" w:type="dxa"/>
              <w:left w:w="140" w:type="dxa"/>
              <w:right w:w="140" w:type="dxa"/>
            </w:tcMar>
            <w:shd w:fill="FFFFFF"/>
          </w:tcPr>
          <w:p>
            <w:pPr>
              <w:spacing w:before="0" w:after="0" w:line="264" w:lineRule="auto"/>
            </w:pPr>
            <w:r>
              <w:rPr>
                <w:rFonts w:ascii="Arial" w:hAnsi="Arial"/>
                <w:color w:val="1E293B"/>
                <w:sz w:val="17"/>
              </w:rPr>
              <w:t>Vite Rollup Tree-Shaking</w:t>
            </w:r>
          </w:p>
        </w:tc>
        <w:tc>
          <w:tcPr>
            <w:tcW w:type="dxa" w:w="4032"/>
            <w:tcMar>
              <w:top w:w="100" w:type="dxa"/>
              <w:bottom w:w="100" w:type="dxa"/>
              <w:left w:w="140" w:type="dxa"/>
              <w:right w:w="140" w:type="dxa"/>
            </w:tcMar>
            <w:shd w:fill="FFFFFF"/>
          </w:tcPr>
          <w:p>
            <w:pPr>
              <w:spacing w:before="0" w:after="0" w:line="264" w:lineRule="auto"/>
            </w:pPr>
            <w:r>
              <w:rPr>
                <w:rFonts w:ascii="Arial" w:hAnsi="Arial"/>
                <w:color w:val="1E293B"/>
                <w:sz w:val="17"/>
              </w:rPr>
              <w:t>Tailwind CSS compilation purges unused classes; Lucide-React tree-shaking; total uncompressed JS/CSS: ~980 KB.</w:t>
            </w:r>
          </w:p>
        </w:tc>
      </w:tr>
      <w:tr>
        <w:tc>
          <w:tcPr>
            <w:tcW w:type="dxa" w:w="1152"/>
            <w:tcMar>
              <w:top w:w="100" w:type="dxa"/>
              <w:bottom w:w="100" w:type="dxa"/>
              <w:left w:w="140" w:type="dxa"/>
              <w:right w:w="140" w:type="dxa"/>
            </w:tcMar>
            <w:shd w:fill="F8FAFC"/>
          </w:tcPr>
          <w:p>
            <w:pPr>
              <w:spacing w:before="0" w:after="0" w:line="264" w:lineRule="auto"/>
            </w:pPr>
            <w:r>
              <w:rPr>
                <w:rFonts w:ascii="Arial" w:hAnsi="Arial"/>
                <w:b/>
                <w:color w:val="1E293B"/>
                <w:sz w:val="17"/>
              </w:rPr>
              <w:t>NFR-006</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File Limits: Avatar 2MB, Media 5MB</w:t>
            </w:r>
          </w:p>
        </w:tc>
        <w:tc>
          <w:tcPr>
            <w:tcW w:type="dxa" w:w="2160"/>
            <w:tcMar>
              <w:top w:w="100" w:type="dxa"/>
              <w:bottom w:w="100" w:type="dxa"/>
              <w:left w:w="140" w:type="dxa"/>
              <w:right w:w="140" w:type="dxa"/>
            </w:tcMar>
            <w:shd w:fill="F8FAFC"/>
          </w:tcPr>
          <w:p>
            <w:pPr>
              <w:spacing w:before="0" w:after="0" w:line="264" w:lineRule="auto"/>
            </w:pPr>
            <w:r>
              <w:rPr>
                <w:rFonts w:ascii="Arial" w:hAnsi="Arial"/>
                <w:color w:val="1E293B"/>
                <w:sz w:val="17"/>
              </w:rPr>
              <w:t>Streaming Magic Byte Check</w:t>
            </w:r>
          </w:p>
        </w:tc>
        <w:tc>
          <w:tcPr>
            <w:tcW w:type="dxa" w:w="4032"/>
            <w:tcMar>
              <w:top w:w="100" w:type="dxa"/>
              <w:bottom w:w="100" w:type="dxa"/>
              <w:left w:w="140" w:type="dxa"/>
              <w:right w:w="140" w:type="dxa"/>
            </w:tcMar>
            <w:shd w:fill="F8FAFC"/>
          </w:tcPr>
          <w:p>
            <w:pPr>
              <w:spacing w:before="0" w:after="0" w:line="264" w:lineRule="auto"/>
            </w:pPr>
            <w:r>
              <w:rPr>
                <w:rFonts w:ascii="Arial" w:hAnsi="Arial"/>
                <w:color w:val="1E293B"/>
                <w:sz w:val="17"/>
              </w:rPr>
              <w:t>Content-Length header checked before buffering; first 2048 bytes inspected for genuine JPEG/PNG/WEBP/PDF magic bytes.</w:t>
            </w:r>
          </w:p>
        </w:tc>
      </w:tr>
      <w:tr>
        <w:tc>
          <w:tcPr>
            <w:tcW w:type="dxa" w:w="1152"/>
            <w:tcMar>
              <w:top w:w="100" w:type="dxa"/>
              <w:bottom w:w="100" w:type="dxa"/>
              <w:left w:w="140" w:type="dxa"/>
              <w:right w:w="140" w:type="dxa"/>
            </w:tcMar>
            <w:shd w:fill="FFFFFF"/>
          </w:tcPr>
          <w:p>
            <w:pPr>
              <w:spacing w:before="0" w:after="0" w:line="264" w:lineRule="auto"/>
            </w:pPr>
            <w:r>
              <w:rPr>
                <w:rFonts w:ascii="Arial" w:hAnsi="Arial"/>
                <w:b/>
                <w:color w:val="1E293B"/>
                <w:sz w:val="17"/>
              </w:rPr>
              <w:t>NFR-007</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Concurrency Contention Timeout 5000ms</w:t>
            </w:r>
          </w:p>
        </w:tc>
        <w:tc>
          <w:tcPr>
            <w:tcW w:type="dxa" w:w="2160"/>
            <w:tcMar>
              <w:top w:w="100" w:type="dxa"/>
              <w:bottom w:w="100" w:type="dxa"/>
              <w:left w:w="140" w:type="dxa"/>
              <w:right w:w="140" w:type="dxa"/>
            </w:tcMar>
            <w:shd w:fill="FFFFFF"/>
          </w:tcPr>
          <w:p>
            <w:pPr>
              <w:spacing w:before="0" w:after="0" w:line="264" w:lineRule="auto"/>
            </w:pPr>
            <w:r>
              <w:rPr>
                <w:rFonts w:ascii="Arial" w:hAnsi="Arial"/>
                <w:color w:val="1E293B"/>
                <w:sz w:val="17"/>
              </w:rPr>
              <w:t>WAL Mode + Jitter Retries</w:t>
            </w:r>
          </w:p>
        </w:tc>
        <w:tc>
          <w:tcPr>
            <w:tcW w:type="dxa" w:w="4032"/>
            <w:tcMar>
              <w:top w:w="100" w:type="dxa"/>
              <w:bottom w:w="100" w:type="dxa"/>
              <w:left w:w="140" w:type="dxa"/>
              <w:right w:w="140" w:type="dxa"/>
            </w:tcMar>
            <w:shd w:fill="FFFFFF"/>
          </w:tcPr>
          <w:p>
            <w:pPr>
              <w:spacing w:before="0" w:after="0" w:line="264" w:lineRule="auto"/>
            </w:pPr>
            <w:r>
              <w:rPr>
                <w:rFonts w:ascii="Arial" w:hAnsi="Arial"/>
                <w:color w:val="1E293B"/>
                <w:sz w:val="17"/>
              </w:rPr>
              <w:t>PRAGMA journal_mode=WAL; PRAGMA busy_timeout=5000; session retry wrapper with exponential backoff absorbs write spikes.</w:t>
            </w:r>
          </w:p>
        </w:tc>
      </w:tr>
      <w:tr>
        <w:tc>
          <w:tcPr>
            <w:tcW w:type="dxa" w:w="1152"/>
            <w:tcMar>
              <w:top w:w="100" w:type="dxa"/>
              <w:bottom w:w="100" w:type="dxa"/>
              <w:left w:w="140" w:type="dxa"/>
              <w:right w:w="140" w:type="dxa"/>
            </w:tcMar>
            <w:shd w:fill="F8FAFC"/>
          </w:tcPr>
          <w:p>
            <w:pPr>
              <w:spacing w:before="0" w:after="0" w:line="264" w:lineRule="auto"/>
            </w:pPr>
            <w:r>
              <w:rPr>
                <w:rFonts w:ascii="Arial" w:hAnsi="Arial"/>
                <w:b/>
                <w:color w:val="1E293B"/>
                <w:sz w:val="17"/>
              </w:rPr>
              <w:t>NFR-008</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Cryptographic Security Factor 12</w:t>
            </w:r>
          </w:p>
        </w:tc>
        <w:tc>
          <w:tcPr>
            <w:tcW w:type="dxa" w:w="2160"/>
            <w:tcMar>
              <w:top w:w="100" w:type="dxa"/>
              <w:bottom w:w="100" w:type="dxa"/>
              <w:left w:w="140" w:type="dxa"/>
              <w:right w:w="140" w:type="dxa"/>
            </w:tcMar>
            <w:shd w:fill="F8FAFC"/>
          </w:tcPr>
          <w:p>
            <w:pPr>
              <w:spacing w:before="0" w:after="0" w:line="264" w:lineRule="auto"/>
            </w:pPr>
            <w:r>
              <w:rPr>
                <w:rFonts w:ascii="Arial" w:hAnsi="Arial"/>
                <w:color w:val="1E293B"/>
                <w:sz w:val="17"/>
              </w:rPr>
              <w:t>Bcrypt + HS256 JWT</w:t>
            </w:r>
          </w:p>
        </w:tc>
        <w:tc>
          <w:tcPr>
            <w:tcW w:type="dxa" w:w="4032"/>
            <w:tcMar>
              <w:top w:w="100" w:type="dxa"/>
              <w:bottom w:w="100" w:type="dxa"/>
              <w:left w:w="140" w:type="dxa"/>
              <w:right w:w="140" w:type="dxa"/>
            </w:tcMar>
            <w:shd w:fill="F8FAFC"/>
          </w:tcPr>
          <w:p>
            <w:pPr>
              <w:spacing w:before="0" w:after="0" w:line="264" w:lineRule="auto"/>
            </w:pPr>
            <w:r>
              <w:rPr>
                <w:rFonts w:ascii="Arial" w:hAnsi="Arial"/>
                <w:color w:val="1E293B"/>
                <w:sz w:val="17"/>
              </w:rPr>
              <w:t>Bcrypt work factor 12 (~250ms per hash); persona switcher mints tokens directly in dev mode to guarantee zero-latency testing.</w:t>
            </w:r>
          </w:p>
        </w:tc>
      </w:tr>
      <w:tr>
        <w:tc>
          <w:tcPr>
            <w:tcW w:type="dxa" w:w="1152"/>
            <w:tcMar>
              <w:top w:w="100" w:type="dxa"/>
              <w:bottom w:w="100" w:type="dxa"/>
              <w:left w:w="140" w:type="dxa"/>
              <w:right w:w="140" w:type="dxa"/>
            </w:tcMar>
            <w:shd w:fill="FFFFFF"/>
          </w:tcPr>
          <w:p>
            <w:pPr>
              <w:spacing w:before="0" w:after="0" w:line="264" w:lineRule="auto"/>
            </w:pPr>
            <w:r>
              <w:rPr>
                <w:rFonts w:ascii="Arial" w:hAnsi="Arial"/>
                <w:b/>
                <w:color w:val="1E293B"/>
                <w:sz w:val="17"/>
              </w:rPr>
              <w:t>NFR-009</w:t>
            </w:r>
          </w:p>
        </w:tc>
        <w:tc>
          <w:tcPr>
            <w:tcW w:type="dxa" w:w="2016"/>
            <w:tcMar>
              <w:top w:w="100" w:type="dxa"/>
              <w:bottom w:w="100" w:type="dxa"/>
              <w:left w:w="140" w:type="dxa"/>
              <w:right w:w="140" w:type="dxa"/>
            </w:tcMar>
            <w:shd w:fill="FFFFFF"/>
          </w:tcPr>
          <w:p>
            <w:pPr>
              <w:spacing w:before="0" w:after="0" w:line="264" w:lineRule="auto"/>
            </w:pPr>
            <w:r>
              <w:rPr>
                <w:rFonts w:ascii="Arial" w:hAnsi="Arial"/>
                <w:color w:val="1E293B"/>
                <w:sz w:val="17"/>
              </w:rPr>
              <w:t>Injection &amp; XSS Protection 100%</w:t>
            </w:r>
          </w:p>
        </w:tc>
        <w:tc>
          <w:tcPr>
            <w:tcW w:type="dxa" w:w="2160"/>
            <w:tcMar>
              <w:top w:w="100" w:type="dxa"/>
              <w:bottom w:w="100" w:type="dxa"/>
              <w:left w:w="140" w:type="dxa"/>
              <w:right w:w="140" w:type="dxa"/>
            </w:tcMar>
            <w:shd w:fill="FFFFFF"/>
          </w:tcPr>
          <w:p>
            <w:pPr>
              <w:spacing w:before="0" w:after="0" w:line="264" w:lineRule="auto"/>
            </w:pPr>
            <w:r>
              <w:rPr>
                <w:rFonts w:ascii="Arial" w:hAnsi="Arial"/>
                <w:color w:val="1E293B"/>
                <w:sz w:val="17"/>
              </w:rPr>
              <w:t>Bleach + Pydantic + JSX</w:t>
            </w:r>
          </w:p>
        </w:tc>
        <w:tc>
          <w:tcPr>
            <w:tcW w:type="dxa" w:w="4032"/>
            <w:tcMar>
              <w:top w:w="100" w:type="dxa"/>
              <w:bottom w:w="100" w:type="dxa"/>
              <w:left w:w="140" w:type="dxa"/>
              <w:right w:w="140" w:type="dxa"/>
            </w:tcMar>
            <w:shd w:fill="FFFFFF"/>
          </w:tcPr>
          <w:p>
            <w:pPr>
              <w:spacing w:before="0" w:after="0" w:line="264" w:lineRule="auto"/>
            </w:pPr>
            <w:r>
              <w:rPr>
                <w:rFonts w:ascii="Arial" w:hAnsi="Arial"/>
                <w:color w:val="1E293B"/>
                <w:sz w:val="17"/>
              </w:rPr>
              <w:t>Pydantic models validate input types; Bleach strips unsafe HTML; React JSX escapes dynamic output; SQLAlchemy parameterizes SQL.</w:t>
            </w:r>
          </w:p>
        </w:tc>
      </w:tr>
      <w:tr>
        <w:tc>
          <w:tcPr>
            <w:tcW w:type="dxa" w:w="1152"/>
            <w:tcMar>
              <w:top w:w="100" w:type="dxa"/>
              <w:bottom w:w="100" w:type="dxa"/>
              <w:left w:w="140" w:type="dxa"/>
              <w:right w:w="140" w:type="dxa"/>
            </w:tcMar>
            <w:shd w:fill="F8FAFC"/>
          </w:tcPr>
          <w:p>
            <w:pPr>
              <w:spacing w:before="0" w:after="0" w:line="264" w:lineRule="auto"/>
            </w:pPr>
            <w:r>
              <w:rPr>
                <w:rFonts w:ascii="Arial" w:hAnsi="Arial"/>
                <w:b/>
                <w:color w:val="1E293B"/>
                <w:sz w:val="17"/>
              </w:rPr>
              <w:t>NFR-010</w:t>
            </w:r>
          </w:p>
        </w:tc>
        <w:tc>
          <w:tcPr>
            <w:tcW w:type="dxa" w:w="2016"/>
            <w:tcMar>
              <w:top w:w="100" w:type="dxa"/>
              <w:bottom w:w="100" w:type="dxa"/>
              <w:left w:w="140" w:type="dxa"/>
              <w:right w:w="140" w:type="dxa"/>
            </w:tcMar>
            <w:shd w:fill="F8FAFC"/>
          </w:tcPr>
          <w:p>
            <w:pPr>
              <w:spacing w:before="0" w:after="0" w:line="264" w:lineRule="auto"/>
            </w:pPr>
            <w:r>
              <w:rPr>
                <w:rFonts w:ascii="Arial" w:hAnsi="Arial"/>
                <w:color w:val="1E293B"/>
                <w:sz w:val="17"/>
              </w:rPr>
              <w:t>Database Seeding &lt;= 3.0 s</w:t>
            </w:r>
          </w:p>
        </w:tc>
        <w:tc>
          <w:tcPr>
            <w:tcW w:type="dxa" w:w="2160"/>
            <w:tcMar>
              <w:top w:w="100" w:type="dxa"/>
              <w:bottom w:w="100" w:type="dxa"/>
              <w:left w:w="140" w:type="dxa"/>
              <w:right w:w="140" w:type="dxa"/>
            </w:tcMar>
            <w:shd w:fill="F8FAFC"/>
          </w:tcPr>
          <w:p>
            <w:pPr>
              <w:spacing w:before="0" w:after="0" w:line="264" w:lineRule="auto"/>
            </w:pPr>
            <w:r>
              <w:rPr>
                <w:rFonts w:ascii="Arial" w:hAnsi="Arial"/>
                <w:color w:val="1E293B"/>
                <w:sz w:val="17"/>
              </w:rPr>
              <w:t>Atomic Single Transaction</w:t>
            </w:r>
          </w:p>
        </w:tc>
        <w:tc>
          <w:tcPr>
            <w:tcW w:type="dxa" w:w="4032"/>
            <w:tcMar>
              <w:top w:w="100" w:type="dxa"/>
              <w:bottom w:w="100" w:type="dxa"/>
              <w:left w:w="140" w:type="dxa"/>
              <w:right w:w="140" w:type="dxa"/>
            </w:tcMar>
            <w:shd w:fill="F8FAFC"/>
          </w:tcPr>
          <w:p>
            <w:pPr>
              <w:spacing w:before="0" w:after="0" w:line="264" w:lineRule="auto"/>
            </w:pPr>
            <w:r>
              <w:rPr>
                <w:rFonts w:ascii="Arial" w:hAnsi="Arial"/>
                <w:color w:val="1E293B"/>
                <w:sz w:val="17"/>
              </w:rPr>
              <w:t>All initial records (10 personas, 15 connections, 12 posts, 8 jobs) committed in a single atomic transaction (&lt; 0.65 s).</w:t>
            </w:r>
          </w:p>
        </w:tc>
      </w:tr>
    </w:tbl>
    <w:p>
      <w:pPr>
        <w:keepNext/>
        <w:spacing w:before="280" w:after="160"/>
      </w:pPr>
      <w:r>
        <w:rPr>
          <w:rFonts w:ascii="Arial" w:hAnsi="Arial"/>
          <w:b/>
          <w:color w:val="1E3A8A"/>
          <w:sz w:val="32"/>
        </w:rPr>
        <w:t>4. Component Architecture &amp; End-to-End Workflows</w:t>
      </w:r>
    </w:p>
    <w:p>
      <w:pPr>
        <w:spacing w:line="276" w:lineRule="auto" w:after="160"/>
      </w:pPr>
      <w:r>
        <w:rPr>
          <w:rFonts w:ascii="Arial" w:hAnsi="Arial"/>
          <w:sz w:val="20"/>
        </w:rPr>
        <w:t>ProNet is partitioned into four decoupled tiers: Client Presentation Tier, FastAPI Gateway Tier, Core Domain Service Tier, and Persistence Subsystem. The diagram and workflow models below represent the end-to-end interactions.</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2E8F0"/>
                <w:sz w:val="17"/>
              </w:rPr>
              <w:t>+-----------------------------------------------------------------------------------+</w:t>
              <w:br/>
              <w:t>|                        PRONET COMPONENT TOPOLOGY OVERVIEW                         |</w:t>
              <w:br/>
              <w:t>+-----------------------------------------------------------------------------------+</w:t>
              <w:br/>
              <w:t>[ Browser Client (React 18 + Vite + TanStack Query) ]</w:t>
              <w:br/>
              <w:t xml:space="preserve">       |                                      ^</w:t>
              <w:br/>
              <w:t xml:space="preserve">       | HTTP Requests (REST JSON)            | WebSockets (ws:// /ws)</w:t>
              <w:br/>
              <w:t xml:space="preserve">       v                                      v</w:t>
              <w:br/>
              <w:t>[ FastAPI Gateway: CORS, JWT Auth, Error Middleware, Streaming File Validator ]</w:t>
              <w:br/>
              <w:t xml:space="preserve">       |</w:t>
              <w:br/>
              <w:t xml:space="preserve">       +---&gt; [ AuthService: Persona Switcher, Credential Verifier ]</w:t>
              <w:br/>
              <w:t xml:space="preserve">       +---&gt; [ GraphService: 1st/2nd Degree Calculator, Mutual Connections ]</w:t>
              <w:br/>
              <w:t xml:space="preserve">       +---&gt; [ FeedService: Dual-Mode Top/Recent Algorithmic Ranker ]</w:t>
              <w:br/>
              <w:t xml:space="preserve">       +---&gt; [ JobService: Mini-ATS Candidate Pipeline State Machine ]</w:t>
              <w:br/>
              <w:t xml:space="preserve">       +---&gt; [ ConnectionManager: In-Memory WebSocket User Session Map ]</w:t>
              <w:br/>
              <w:t xml:space="preserve">       |</w:t>
              <w:br/>
              <w:t xml:space="preserve">       v</w:t>
              <w:br/>
              <w:t>[ SQLAlchemy 2.0 Async Engine + Connection Lease Pool ]</w:t>
              <w:br/>
              <w:t xml:space="preserve">       |</w:t>
              <w:br/>
              <w:t xml:space="preserve">       +---&gt; [ pronet.db (Primary SQLite Storage in WAL Mode) ]</w:t>
              <w:br/>
              <w:t xml:space="preserve">       +---&gt; [ pronet.db-wal &amp; pronet.db-shm (Write-Ahead Log &amp; Shared Memory) ]</w:t>
              <w:br/>
              <w:t xml:space="preserve">       +---&gt; [ Host File System: /uploads/avatars, /uploads/posts, /uploads/resumes ]</w:t>
              <w:br/>
              <w:t>+-----------------------------------------------------------------------------------+</w:t>
            </w:r>
          </w:p>
        </w:tc>
      </w:tr>
    </w:tbl>
    <w:p>
      <w:pPr>
        <w:spacing w:before="0" w:after="120"/>
      </w:pPr>
    </w:p>
    <w:p>
      <w:pPr>
        <w:keepNext/>
        <w:spacing w:before="200" w:after="120"/>
      </w:pPr>
      <w:r>
        <w:rPr>
          <w:rFonts w:ascii="Arial" w:hAnsi="Arial"/>
          <w:b/>
          <w:color w:val="1E293B"/>
          <w:sz w:val="24"/>
        </w:rPr>
        <w:t>End-to-End Real-Time Messaging &amp; Security Enforcement Workflow</w:t>
      </w:r>
    </w:p>
    <w:p>
      <w:pPr>
        <w:pStyle w:val="ListBullet"/>
        <w:spacing w:before="40" w:after="80" w:line="276" w:lineRule="auto"/>
      </w:pPr>
      <w:r>
        <w:rPr>
          <w:rFonts w:ascii="Arial" w:hAnsi="Arial"/>
          <w:b/>
          <w:color w:val="0F172A"/>
          <w:sz w:val="19"/>
        </w:rPr>
        <w:t xml:space="preserve">Step 1 (WebSocket Handshake): </w:t>
      </w:r>
      <w:r>
        <w:rPr>
          <w:rFonts w:ascii="Arial" w:hAnsi="Arial"/>
          <w:color w:val="334155"/>
          <w:sz w:val="19"/>
        </w:rPr>
        <w:t>User connects to ws://localhost:8000/ws?token=JWT. The gateway validates the token, extracts user_id, and registers the active socket in the in-memory ConnectionManager.</w:t>
      </w:r>
    </w:p>
    <w:p>
      <w:pPr>
        <w:pStyle w:val="ListBullet"/>
        <w:spacing w:before="40" w:after="80" w:line="276" w:lineRule="auto"/>
      </w:pPr>
      <w:r>
        <w:rPr>
          <w:rFonts w:ascii="Arial" w:hAnsi="Arial"/>
          <w:b/>
          <w:color w:val="0F172A"/>
          <w:sz w:val="19"/>
        </w:rPr>
        <w:t xml:space="preserve">Step 2 (1st-Degree Edge Verification): </w:t>
      </w:r>
      <w:r>
        <w:rPr>
          <w:rFonts w:ascii="Arial" w:hAnsi="Arial"/>
          <w:color w:val="334155"/>
          <w:sz w:val="19"/>
        </w:rPr>
        <w:t>When Client A transmits a message frame to Client B, the WebSocket gateway queries GraphService to assert that an ACCEPTED connection edge exists between Client A and Client B. If unconfirmed, the frame is rejected with code 4003 (MUST_BE_FIRST_DEGREE_CONNECTION).</w:t>
      </w:r>
    </w:p>
    <w:p>
      <w:pPr>
        <w:pStyle w:val="ListBullet"/>
        <w:spacing w:before="40" w:after="80" w:line="276" w:lineRule="auto"/>
      </w:pPr>
      <w:r>
        <w:rPr>
          <w:rFonts w:ascii="Arial" w:hAnsi="Arial"/>
          <w:b/>
          <w:color w:val="0F172A"/>
          <w:sz w:val="19"/>
        </w:rPr>
        <w:t xml:space="preserve">Step 3 (Persistent Storage): </w:t>
      </w:r>
      <w:r>
        <w:rPr>
          <w:rFonts w:ascii="Arial" w:hAnsi="Arial"/>
          <w:color w:val="334155"/>
          <w:sz w:val="19"/>
        </w:rPr>
        <w:t>The message record is persisted to SQLite direct_messages table with read_at = NULL.</w:t>
      </w:r>
    </w:p>
    <w:p>
      <w:pPr>
        <w:pStyle w:val="ListBullet"/>
        <w:spacing w:before="40" w:after="80" w:line="276" w:lineRule="auto"/>
      </w:pPr>
      <w:r>
        <w:rPr>
          <w:rFonts w:ascii="Arial" w:hAnsi="Arial"/>
          <w:b/>
          <w:color w:val="0F172A"/>
          <w:sz w:val="19"/>
        </w:rPr>
        <w:t xml:space="preserve">Step 4 (Dispatch &amp; ACK): </w:t>
      </w:r>
      <w:r>
        <w:rPr>
          <w:rFonts w:ascii="Arial" w:hAnsi="Arial"/>
          <w:color w:val="334155"/>
          <w:sz w:val="19"/>
        </w:rPr>
        <w:t>If Client B maintains an active socket, ConnectionManager pushes the message frame immediately (&lt;50ms). An acknowledgment frame is returned to Client A. If Client B is offline, a notification is queued for delivery upon reconnect.</w:t>
      </w:r>
    </w:p>
    <w:p>
      <w:r>
        <w:br w:type="page"/>
      </w:r>
    </w:p>
    <w:p>
      <w:pPr>
        <w:keepNext/>
        <w:spacing w:before="240" w:after="160"/>
      </w:pPr>
      <w:r>
        <w:rPr>
          <w:rFonts w:ascii="Arial" w:hAnsi="Arial"/>
          <w:b/>
          <w:color w:val="1E3A8A"/>
          <w:sz w:val="32"/>
        </w:rPr>
        <w:t>5. Locked Dependency Manifest Blueprints</w:t>
      </w:r>
    </w:p>
    <w:p>
      <w:pPr>
        <w:spacing w:line="276" w:lineRule="auto" w:after="160"/>
      </w:pPr>
      <w:r>
        <w:rPr>
          <w:rFonts w:ascii="Arial" w:hAnsi="Arial"/>
          <w:sz w:val="20"/>
        </w:rPr>
        <w:t>In accordance with enterprise deployment predictability standards, all dependencies are strictly locked to semantic versions. Zero open-ended ranges (^ or ~) are permitted.</w:t>
      </w:r>
    </w:p>
    <w:p>
      <w:pPr>
        <w:keepNext/>
        <w:spacing w:before="160" w:after="80"/>
      </w:pPr>
      <w:r>
        <w:rPr>
          <w:rFonts w:ascii="Arial" w:hAnsi="Arial"/>
          <w:b/>
          <w:color w:val="1E293B"/>
          <w:sz w:val="22"/>
        </w:rPr>
        <w:t>Backend Manifest: requirements.txt (Python 3.11+)</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2E8F0"/>
                <w:sz w:val="17"/>
              </w:rPr>
              <w:t>fastapi==0.110.0</w:t>
              <w:br/>
              <w:t>uvicorn[standard]==0.28.0</w:t>
              <w:br/>
              <w:t>starlette==0.36.3</w:t>
              <w:br/>
              <w:t>pydantic==2.6.4</w:t>
              <w:br/>
              <w:t>pydantic-settings==2.2.1</w:t>
              <w:br/>
              <w:t>SQLAlchemy==2.0.28</w:t>
              <w:br/>
              <w:t>aiosqlite==0.20.0</w:t>
              <w:br/>
              <w:t>alembic==1.13.1</w:t>
              <w:br/>
              <w:t>bcrypt==4.1.2</w:t>
              <w:br/>
              <w:t>passlib[bcrypt]==1.7.4</w:t>
              <w:br/>
              <w:t>PyJWT==2.8.0</w:t>
              <w:br/>
              <w:t>python-multipart==0.0.9</w:t>
              <w:br/>
              <w:t>bleach==6.1.0</w:t>
              <w:br/>
              <w:t>filetype==1.2.0</w:t>
              <w:br/>
              <w:t>websockets==12.0</w:t>
              <w:br/>
              <w:t>python-dateutil==2.9.0.post0</w:t>
              <w:br/>
              <w:t>pytest==8.1.1</w:t>
              <w:br/>
              <w:t>pytest-asyncio==0.23.5</w:t>
              <w:br/>
              <w:t>httpx==0.27.0</w:t>
              <w:br/>
              <w:t>pytest-cov==4.1.0</w:t>
              <w:br/>
              <w:t>ruff==0.3.3</w:t>
            </w:r>
          </w:p>
        </w:tc>
      </w:tr>
    </w:tbl>
    <w:p>
      <w:pPr>
        <w:spacing w:before="0" w:after="120"/>
      </w:pPr>
    </w:p>
    <w:p>
      <w:pPr>
        <w:keepNext/>
        <w:spacing w:before="160" w:after="80"/>
      </w:pPr>
      <w:r>
        <w:rPr>
          <w:rFonts w:ascii="Arial" w:hAnsi="Arial"/>
          <w:b/>
          <w:color w:val="1E293B"/>
          <w:sz w:val="22"/>
        </w:rPr>
        <w:t>Frontend Manifest: package.json (Node.js 18+ / React 18)</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2E8F0"/>
                <w:sz w:val="17"/>
              </w:rPr>
              <w:t>{</w:t>
              <w:br/>
              <w:t xml:space="preserve">  "name": "pronet-frontend",</w:t>
              <w:br/>
              <w:t xml:space="preserve">  "version": "1.0.0",</w:t>
              <w:br/>
              <w:t xml:space="preserve">  "private": true,</w:t>
              <w:br/>
              <w:t xml:space="preserve">  "type": "module",</w:t>
              <w:br/>
              <w:t xml:space="preserve">  "dependencies": {</w:t>
              <w:br/>
              <w:t xml:space="preserve">    "react": "18.2.0",</w:t>
              <w:br/>
              <w:t xml:space="preserve">    "react-dom": "18.2.0",</w:t>
              <w:br/>
              <w:t xml:space="preserve">    "react-router-dom": "6.22.3",</w:t>
              <w:br/>
              <w:t xml:space="preserve">    "@tanstack/react-query": "5.25.0",</w:t>
              <w:br/>
              <w:t xml:space="preserve">    "axios": "1.6.7",</w:t>
              <w:br/>
              <w:t xml:space="preserve">    "lucide-react": "0.354.0",</w:t>
              <w:br/>
              <w:t xml:space="preserve">    "clsx": "2.1.0",</w:t>
              <w:br/>
              <w:t xml:space="preserve">    "tailwind-merge": "2.2.1",</w:t>
              <w:br/>
              <w:t xml:space="preserve">    "date-fns": "3.3.1",</w:t>
              <w:br/>
              <w:t xml:space="preserve">    "dompurify": "3.0.9"</w:t>
              <w:br/>
              <w:t xml:space="preserve">  },</w:t>
              <w:br/>
              <w:t xml:space="preserve">  "devDependencies": {</w:t>
              <w:br/>
              <w:t xml:space="preserve">    "@types/react": "18.2.65",</w:t>
              <w:br/>
              <w:t xml:space="preserve">    "@types/react-dom": "18.2.22",</w:t>
              <w:br/>
              <w:t xml:space="preserve">    "@types/dompurify": "3.0.5",</w:t>
              <w:br/>
              <w:t xml:space="preserve">    "@typescript-eslint/eslint-plugin": "7.2.0",</w:t>
              <w:br/>
              <w:t xml:space="preserve">    "@typescript-eslint/parser": "7.2.0",</w:t>
              <w:br/>
              <w:t xml:space="preserve">    "@vitejs/plugin-react": "4.2.1",</w:t>
              <w:br/>
              <w:t xml:space="preserve">    "tailwindcss": "3.4.1",</w:t>
              <w:br/>
              <w:t xml:space="preserve">    "typescript": "5.3.3",</w:t>
              <w:br/>
              <w:t xml:space="preserve">    "vite": "5.1.4"</w:t>
              <w:br/>
              <w:t xml:space="preserve">  }</w:t>
              <w:br/>
              <w:t>}</w:t>
            </w:r>
          </w:p>
        </w:tc>
      </w:tr>
    </w:tbl>
    <w:p>
      <w:pPr>
        <w:spacing w:before="0" w:after="120"/>
      </w:pPr>
    </w:p>
    <w:p>
      <w:pPr>
        <w:keepNext/>
        <w:spacing w:before="240" w:after="160"/>
      </w:pPr>
      <w:r>
        <w:rPr>
          <w:rFonts w:ascii="Arial" w:hAnsi="Arial"/>
          <w:b/>
          <w:color w:val="1E3A8A"/>
          <w:sz w:val="32"/>
        </w:rPr>
        <w:t>6. Canonical Directory Tree Architecture</w:t>
      </w:r>
    </w:p>
    <w:p>
      <w:pPr>
        <w:spacing w:line="276" w:lineRule="auto" w:after="160"/>
      </w:pPr>
      <w:r>
        <w:rPr>
          <w:rFonts w:ascii="Arial" w:hAnsi="Arial"/>
          <w:sz w:val="20"/>
        </w:rPr>
        <w:t>All files, source code, tests, documentation, and configuration must strictly reside within Apps/ProNet/ pursuant to LAW 6.</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2E8F0"/>
                <w:sz w:val="17"/>
              </w:rPr>
              <w:t>Apps/ProNet/</w:t>
              <w:br/>
              <w:t>├── .env.example                               # Canonical environment configuration template</w:t>
              <w:br/>
              <w:t>├── README.md                                  # Setup &amp; startup operations guide</w:t>
              <w:br/>
              <w:t>├── docs/                                      # Specification &amp; architectural documents</w:t>
              <w:br/>
              <w:t>│   ├── 01_prd.md                              # Product Requirements Document</w:t>
              <w:br/>
              <w:t>│   ├── 02_architecture.md                     # System Architecture Blueprint</w:t>
              <w:br/>
              <w:t>│   ├── 03_data_schema.md                      # Relational Database Schema</w:t>
              <w:br/>
              <w:t>│   ├── 04_api_contracts.md                    # REST &amp; WebSocket Interface Contracts</w:t>
              <w:br/>
              <w:t>│   ├── 05_ui_system.md                        # Design Tokens &amp; UI Guidelines</w:t>
              <w:br/>
              <w:t>│   ├── 08_test_report.md                      # Quality Assurance Test Execution Report</w:t>
              <w:br/>
              <w:t>│   ├── 09_audit_report.md                     # Security &amp; Code Audit Report</w:t>
              <w:br/>
              <w:t>│   └── word/                                  # Big 4 / Fortune 500 Executive Deliverables (.docx)</w:t>
              <w:br/>
              <w:t>│       ├── ProNet_Product_Requirements_Document_v1.0.docx</w:t>
              <w:br/>
              <w:t>│       └── ProNet_System_Architecture_v1.0.docx</w:t>
              <w:br/>
              <w:t>├── src/</w:t>
              <w:br/>
              <w:t>│   ├── backend/                               # FastAPI Application Core</w:t>
              <w:br/>
              <w:t>│   │   ├── requirements.txt                   # Locked backend dependencies</w:t>
              <w:br/>
              <w:t>│   │   ├── app/</w:t>
              <w:br/>
              <w:t>│   │   │   ├── main.py                        # Application entrypoint &amp; middleware</w:t>
              <w:br/>
              <w:t>│   │   │   ├── core/                          # Security, config, logging, database, exceptions</w:t>
              <w:br/>
              <w:t>│   │   │   ├── models/                        # SQLAlchemy ORM entity classes</w:t>
              <w:br/>
              <w:t>│   │   │   ├── schemas/                       # Pydantic request &amp; response schemas</w:t>
              <w:br/>
              <w:t>│   │   │   ├── api/                           # HTTP &amp; WebSocket endpoints (v1)</w:t>
              <w:br/>
              <w:t>│   │   │   └── services/                      # Domain logic (graph, feed, jobs, seeder)</w:t>
              <w:br/>
              <w:t>│   │   └── uploads/                           # Local persistence (avatars, posts, resumes)</w:t>
              <w:br/>
              <w:t>│   └── frontend/                              # React 18 TypeScript Single Page Application</w:t>
              <w:br/>
              <w:t>│       ├── package.json                       # Locked frontend dependencies</w:t>
              <w:br/>
              <w:t>│       ├── vite.config.ts                     # Build &amp; bundle configuration</w:t>
              <w:br/>
              <w:t>│       ├── tailwind.config.js                 # Design tokens &amp; color system</w:t>
              <w:br/>
              <w:t>│       └── src/</w:t>
              <w:br/>
              <w:t>│           ├── api/                           # Axios client &amp; WebSocket subscription engine</w:t>
              <w:br/>
              <w:t>│           ├── components/                    # Modular UI components (feed, jobs, profile, chat)</w:t>
              <w:br/>
              <w:t>│           ├── hooks/                         # React custom hooks (useAuth, useFeed, useWS)</w:t>
              <w:br/>
              <w:t>│           ├── pages/                         # Route page views (Feed, Jobs, Profile, Chat)</w:t>
              <w:br/>
              <w:t>│           └── context/                       # Global state providers (Auth, Notifications)</w:t>
              <w:br/>
              <w:t>└── tests/                                     # Comprehensive Quality Assurance Suite</w:t>
              <w:br/>
              <w:t xml:space="preserve">    ├── conftest.py                            # Pytest fixtures &amp; isolated test DB setup</w:t>
              <w:br/>
              <w:t xml:space="preserve">    ├── unit/                                  # Unit tests for graph, feed scoring, auth, files</w:t>
              <w:br/>
              <w:t xml:space="preserve">    ├── integration/                           # Integration tests for REST API &amp; WebSockets</w:t>
              <w:br/>
              <w:t xml:space="preserve">    └── performance/                           # Automated NFR latency &amp; contention benchmarks</w:t>
            </w:r>
          </w:p>
        </w:tc>
      </w:tr>
    </w:tbl>
    <w:p>
      <w:pPr>
        <w:spacing w:before="0" w:after="120"/>
      </w:pPr>
    </w:p>
    <w:p>
      <w:pPr>
        <w:keepNext/>
        <w:spacing w:before="280" w:after="160"/>
      </w:pPr>
      <w:r>
        <w:rPr>
          <w:rFonts w:ascii="Arial" w:hAnsi="Arial"/>
          <w:b/>
          <w:color w:val="1E3A8A"/>
          <w:sz w:val="32"/>
        </w:rPr>
        <w:t>7. Cross-Cutting Engineering Standards</w:t>
      </w:r>
    </w:p>
    <w:p>
      <w:pPr>
        <w:keepNext/>
        <w:spacing w:before="160" w:after="80"/>
      </w:pPr>
      <w:r>
        <w:rPr>
          <w:rFonts w:ascii="Arial" w:hAnsi="Arial"/>
          <w:b/>
          <w:color w:val="1E293B"/>
          <w:sz w:val="24"/>
        </w:rPr>
        <w:t>7.1 Environment Variable Schema &amp; Security</w:t>
      </w:r>
    </w:p>
    <w:p>
      <w:pPr>
        <w:spacing w:line="276" w:lineRule="auto" w:after="120"/>
      </w:pPr>
      <w:r>
        <w:rPr>
          <w:rFonts w:ascii="Arial" w:hAnsi="Arial"/>
          <w:sz w:val="19"/>
        </w:rPr>
        <w:t>All variables follow the canonical PRONET_ prefix and are parsed through Pydantic BaseSettings. Missing required settings fail-fast during startup. Sensitive keys (JWT secret) default to secure local development tokens but require environment override in production.</w:t>
      </w:r>
    </w:p>
    <w:p>
      <w:pPr>
        <w:keepNext/>
        <w:spacing w:before="160" w:after="80"/>
      </w:pPr>
      <w:r>
        <w:rPr>
          <w:rFonts w:ascii="Arial" w:hAnsi="Arial"/>
          <w:b/>
          <w:color w:val="1E293B"/>
          <w:sz w:val="24"/>
        </w:rPr>
        <w:t>7.2 Structured JSON Logging Standard</w:t>
      </w:r>
    </w:p>
    <w:p>
      <w:pPr>
        <w:spacing w:line="276" w:lineRule="auto" w:after="120"/>
      </w:pPr>
      <w:r>
        <w:rPr>
          <w:rFonts w:ascii="Arial" w:hAnsi="Arial"/>
          <w:sz w:val="19"/>
        </w:rPr>
        <w:t>All logging output is structured JSON emitted to stdout. Every request is assigned a unique X-Request-ID correlation header. Logs record HTTP method, path, response status, duration_ms, authenticated user_id, and process RSS memory without exposing plaintext credentials.</w:t>
      </w:r>
    </w:p>
    <w:p>
      <w:pPr>
        <w:keepNext/>
        <w:spacing w:before="160" w:after="80"/>
      </w:pPr>
      <w:r>
        <w:rPr>
          <w:rFonts w:ascii="Arial" w:hAnsi="Arial"/>
          <w:b/>
          <w:color w:val="1E293B"/>
          <w:sz w:val="24"/>
        </w:rPr>
        <w:t>7.3 Unified Global Error Handling Schema</w:t>
      </w:r>
    </w:p>
    <w:p>
      <w:pPr>
        <w:spacing w:line="276" w:lineRule="auto" w:after="120"/>
      </w:pPr>
      <w:r>
        <w:rPr>
          <w:rFonts w:ascii="Arial" w:hAnsi="Arial"/>
          <w:sz w:val="19"/>
        </w:rPr>
        <w:t>A global exception handler traps HTTP exceptions, validation errors, and unexpected server faults into a uniform JSON response envelope: { error: { code, message, status_code, timestamp, path, request_id, details } }.</w:t>
      </w:r>
    </w:p>
    <w:p>
      <w:pPr>
        <w:keepNext/>
        <w:spacing w:before="160" w:after="80"/>
      </w:pPr>
      <w:r>
        <w:rPr>
          <w:rFonts w:ascii="Arial" w:hAnsi="Arial"/>
          <w:b/>
          <w:color w:val="1E293B"/>
          <w:sz w:val="24"/>
        </w:rPr>
        <w:t>7.4 Database Concurrency &amp; SQLite WAL Strategy</w:t>
      </w:r>
    </w:p>
    <w:p>
      <w:pPr>
        <w:spacing w:line="276" w:lineRule="auto" w:after="120"/>
      </w:pPr>
      <w:r>
        <w:rPr>
          <w:rFonts w:ascii="Arial" w:hAnsi="Arial"/>
          <w:sz w:val="19"/>
        </w:rPr>
        <w:t>SQLite operates with PRAGMA journal_mode=WAL and PRAGMA busy_timeout=5000. Write transactions use scoped async session context blocks. Exponential retry with jitter prevents database lock collisions during burst write traffic.</w:t>
      </w:r>
    </w:p>
    <w:p>
      <w:pPr>
        <w:keepNext/>
        <w:spacing w:before="160" w:after="80"/>
      </w:pPr>
      <w:r>
        <w:rPr>
          <w:rFonts w:ascii="Arial" w:hAnsi="Arial"/>
          <w:b/>
          <w:color w:val="1E293B"/>
          <w:sz w:val="24"/>
        </w:rPr>
        <w:t>7.5 Content Sanitization &amp; Magic Byte Verification</w:t>
      </w:r>
    </w:p>
    <w:p>
      <w:pPr>
        <w:spacing w:line="276" w:lineRule="auto" w:after="120"/>
      </w:pPr>
      <w:r>
        <w:rPr>
          <w:rFonts w:ascii="Arial" w:hAnsi="Arial"/>
          <w:sz w:val="19"/>
        </w:rPr>
        <w:t>All uploaded media are inspected at the binary level (first 2048 bytes) for authentic image (JPEG, PNG, WEBP) or document (PDF, DOCX) magic signatures, neutralizing file spoofing. Text inputs are sanitized via Bleach to eliminate XSS vectors.</w:t>
      </w:r>
    </w:p>
    <w:p>
      <w:pPr>
        <w:keepNext/>
        <w:spacing w:before="280" w:after="160"/>
      </w:pPr>
      <w:r>
        <w:rPr>
          <w:rFonts w:ascii="Arial" w:hAnsi="Arial"/>
          <w:b/>
          <w:color w:val="1E3A8A"/>
          <w:sz w:val="32"/>
        </w:rPr>
        <w:t>8. Full Requirements Traceability Matrix</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016"/>
            <w:tcMar>
              <w:top w:w="140" w:type="dxa"/>
              <w:bottom w:w="140" w:type="dxa"/>
              <w:left w:w="140" w:type="dxa"/>
              <w:right w:w="140" w:type="dxa"/>
            </w:tcMar>
            <w:shd w:fill="1E3A8A"/>
          </w:tcPr>
          <w:p>
            <w:pPr>
              <w:spacing w:before="0" w:after="0" w:line="252" w:lineRule="auto"/>
            </w:pPr>
            <w:r>
              <w:rPr>
                <w:rFonts w:ascii="Arial" w:hAnsi="Arial"/>
                <w:b/>
                <w:color w:val="FFFFFF"/>
                <w:sz w:val="18"/>
              </w:rPr>
              <w:t>Requirement ID</w:t>
            </w:r>
          </w:p>
        </w:tc>
        <w:tc>
          <w:tcPr>
            <w:tcW w:type="dxa" w:w="1728"/>
            <w:tcMar>
              <w:top w:w="140" w:type="dxa"/>
              <w:bottom w:w="140" w:type="dxa"/>
              <w:left w:w="140" w:type="dxa"/>
              <w:right w:w="140" w:type="dxa"/>
            </w:tcMar>
            <w:shd w:fill="1E3A8A"/>
          </w:tcPr>
          <w:p>
            <w:pPr>
              <w:spacing w:before="0" w:after="0" w:line="252" w:lineRule="auto"/>
            </w:pPr>
            <w:r>
              <w:rPr>
                <w:rFonts w:ascii="Arial" w:hAnsi="Arial"/>
                <w:b/>
                <w:color w:val="FFFFFF"/>
                <w:sz w:val="18"/>
              </w:rPr>
              <w:t>Component</w:t>
            </w:r>
          </w:p>
        </w:tc>
        <w:tc>
          <w:tcPr>
            <w:tcW w:type="dxa" w:w="2592"/>
            <w:tcMar>
              <w:top w:w="140" w:type="dxa"/>
              <w:bottom w:w="140" w:type="dxa"/>
              <w:left w:w="140" w:type="dxa"/>
              <w:right w:w="140" w:type="dxa"/>
            </w:tcMar>
            <w:shd w:fill="1E3A8A"/>
          </w:tcPr>
          <w:p>
            <w:pPr>
              <w:spacing w:before="0" w:after="0" w:line="252" w:lineRule="auto"/>
            </w:pPr>
            <w:r>
              <w:rPr>
                <w:rFonts w:ascii="Arial" w:hAnsi="Arial"/>
                <w:b/>
                <w:color w:val="FFFFFF"/>
                <w:sz w:val="18"/>
              </w:rPr>
              <w:t>Target Location</w:t>
            </w:r>
          </w:p>
        </w:tc>
        <w:tc>
          <w:tcPr>
            <w:tcW w:type="dxa" w:w="3024"/>
            <w:tcMar>
              <w:top w:w="140" w:type="dxa"/>
              <w:bottom w:w="140" w:type="dxa"/>
              <w:left w:w="140" w:type="dxa"/>
              <w:right w:w="140" w:type="dxa"/>
            </w:tcMar>
            <w:shd w:fill="1E3A8A"/>
          </w:tcPr>
          <w:p>
            <w:pPr>
              <w:spacing w:before="0" w:after="0" w:line="252" w:lineRule="auto"/>
            </w:pPr>
            <w:r>
              <w:rPr>
                <w:rFonts w:ascii="Arial" w:hAnsi="Arial"/>
                <w:b/>
                <w:color w:val="FFFFFF"/>
                <w:sz w:val="18"/>
              </w:rPr>
              <w:t>Architectural Compliance</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REQ-001 (Persona Switch)</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AuthService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src/backend/app/api/v1/auth.py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Direct JWT minting for 10 personas without password entry.</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REQ-002 (Auth &amp; JWT)</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SecurityCore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src/backend/app/core/security.py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Bcrypt factor 12 hashing &amp; 24h HS256 Bearer JWT tokens.</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REQ-003 (Profile Edit)</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UserService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src/backend/app/api/v1/users.py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Relational models for Experience, Education, and Skills.</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REQ-004 (Degree Badging)</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GraphService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src/backend/app/services/graph_service.py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1st-degree direct check &amp; 2nd-degree mutual indexed CTE.</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REQ-005 (Connection Req)</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ConnectionService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src/backend/app/api/v1/connections.py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Canonical pair check; auto-resolves reciprocal requests.</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REQ-006 (Accept / Ignore)</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ConnectionService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src/backend/app/api/v1/connections.py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ACCEPTED / IGNORED state transitions; count increments.</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REQ-007 (Withdraw Req)</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ConnectionService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src/backend/app/api/v1/connections.py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Deletes pending request; prevents withdrawal of accepted.</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REQ-008 (Disconnect)</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ConnectionService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src/backend/app/api/v1/connections.py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Deletes connection edge; revokes messaging &amp; updates feed.</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REQ-009 (Rich Posts)</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FeedService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src/backend/app/api/v1/posts.py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Supports text (3k chars), code block, and media upload.</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REQ-010 (Dual-Mode Feed)</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FeedService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src/backend/app/services/feed_service.py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Recent vs Top sorting algorithm executed in strictly 2 queries.</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REQ-011 (Reactions)</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ReactionService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src/backend/app/api/v1/posts.py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LIKE, CELEBRATE, INSIGHTFUL with toggle and switch logic.</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REQ-012 (Comments)</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CommentService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src/backend/app/api/v1/posts.py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Two-level threading (root + reply); depth &gt; 2 blocked.</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REQ-013 (Job Creation)</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JobService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src/backend/app/api/v1/jobs.py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Job posting with salary range, workplace type, and skills.</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REQ-014 (Job Search)</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JobService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src/backend/app/api/v1/jobs.py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Multi-facet filtering on title, workplace type, and skills.</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REQ-015 (Easy Apply)</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JobService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src/backend/app/api/v1/jobs.py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Profile snapshot + resume file upload; duplicate guard.</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REQ-016 (ATS Pipeline)</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JobService</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src/backend/app/api/v1/jobs.py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Role-guarded pipeline transitions (APPLIED -&gt; REJECTED).</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REQ-017 (Messaging)</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ConnectionMgr</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src/backend/app/api/ws/endpoint.py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Real-time WebSocket chat restricted to 1st-degree peers.</w:t>
            </w:r>
          </w:p>
        </w:tc>
      </w:tr>
      <w:tr>
        <w:tc>
          <w:tcPr>
            <w:tcW w:type="dxa" w:w="2016"/>
            <w:tcMar>
              <w:top w:w="100" w:type="dxa"/>
              <w:bottom w:w="100" w:type="dxa"/>
              <w:left w:w="140" w:type="dxa"/>
              <w:right w:w="140" w:type="dxa"/>
            </w:tcMar>
            <w:shd w:fill="F8FAFC"/>
          </w:tcPr>
          <w:p>
            <w:pPr>
              <w:spacing w:before="0" w:after="0" w:line="264" w:lineRule="auto"/>
            </w:pPr>
            <w:r>
              <w:rPr>
                <w:rFonts w:ascii="Arial" w:hAnsi="Arial"/>
                <w:b/>
                <w:color w:val="1E293B"/>
                <w:sz w:val="17"/>
              </w:rPr>
              <w:t>REQ-018 (Live Alerts)</w:t>
            </w:r>
          </w:p>
        </w:tc>
        <w:tc>
          <w:tcPr>
            <w:tcW w:type="dxa" w:w="1728"/>
            <w:tcMar>
              <w:top w:w="100" w:type="dxa"/>
              <w:bottom w:w="100" w:type="dxa"/>
              <w:left w:w="140" w:type="dxa"/>
              <w:right w:w="140" w:type="dxa"/>
            </w:tcMar>
            <w:shd w:fill="F8FAFC"/>
          </w:tcPr>
          <w:p>
            <w:pPr>
              <w:spacing w:before="0" w:after="0" w:line="264" w:lineRule="auto"/>
            </w:pPr>
            <w:r>
              <w:rPr>
                <w:rFonts w:ascii="Arial" w:hAnsi="Arial"/>
                <w:color w:val="1E293B"/>
                <w:sz w:val="17"/>
              </w:rPr>
              <w:t>NotificationSvc</w:t>
            </w:r>
          </w:p>
        </w:tc>
        <w:tc>
          <w:tcPr>
            <w:tcW w:type="dxa" w:w="2592"/>
            <w:tcMar>
              <w:top w:w="100" w:type="dxa"/>
              <w:bottom w:w="100" w:type="dxa"/>
              <w:left w:w="140" w:type="dxa"/>
              <w:right w:w="140" w:type="dxa"/>
            </w:tcMar>
            <w:shd w:fill="F8FAFC"/>
          </w:tcPr>
          <w:p>
            <w:pPr>
              <w:spacing w:before="0" w:after="0" w:line="264" w:lineRule="auto"/>
            </w:pPr>
            <w:r>
              <w:rPr>
                <w:rFonts w:ascii="Arial" w:hAnsi="Arial"/>
                <w:color w:val="1E293B"/>
                <w:sz w:val="17"/>
              </w:rPr>
              <w:t>src/backend/app/services/seeder.py</w:t>
            </w:r>
          </w:p>
        </w:tc>
        <w:tc>
          <w:tcPr>
            <w:tcW w:type="dxa" w:w="3024"/>
            <w:tcMar>
              <w:top w:w="100" w:type="dxa"/>
              <w:bottom w:w="100" w:type="dxa"/>
              <w:left w:w="140" w:type="dxa"/>
              <w:right w:w="140" w:type="dxa"/>
            </w:tcMar>
            <w:shd w:fill="F8FAFC"/>
          </w:tcPr>
          <w:p>
            <w:pPr>
              <w:spacing w:before="0" w:after="0" w:line="264" w:lineRule="auto"/>
            </w:pPr>
            <w:r>
              <w:rPr>
                <w:rFonts w:ascii="Arial" w:hAnsi="Arial"/>
                <w:color w:val="1E293B"/>
                <w:sz w:val="17"/>
              </w:rPr>
              <w:t>Real-time push notifications for chat, connections &amp; jobs.</w:t>
            </w:r>
          </w:p>
        </w:tc>
      </w:tr>
      <w:tr>
        <w:tc>
          <w:tcPr>
            <w:tcW w:type="dxa" w:w="2016"/>
            <w:tcMar>
              <w:top w:w="100" w:type="dxa"/>
              <w:bottom w:w="100" w:type="dxa"/>
              <w:left w:w="140" w:type="dxa"/>
              <w:right w:w="140" w:type="dxa"/>
            </w:tcMar>
            <w:shd w:fill="FFFFFF"/>
          </w:tcPr>
          <w:p>
            <w:pPr>
              <w:spacing w:before="0" w:after="0" w:line="264" w:lineRule="auto"/>
            </w:pPr>
            <w:r>
              <w:rPr>
                <w:rFonts w:ascii="Arial" w:hAnsi="Arial"/>
                <w:b/>
                <w:color w:val="1E293B"/>
                <w:sz w:val="17"/>
              </w:rPr>
              <w:t>REQ-019 (Auto-Seeding)</w:t>
            </w:r>
          </w:p>
        </w:tc>
        <w:tc>
          <w:tcPr>
            <w:tcW w:type="dxa" w:w="1728"/>
            <w:tcMar>
              <w:top w:w="100" w:type="dxa"/>
              <w:bottom w:w="100" w:type="dxa"/>
              <w:left w:w="140" w:type="dxa"/>
              <w:right w:w="140" w:type="dxa"/>
            </w:tcMar>
            <w:shd w:fill="FFFFFF"/>
          </w:tcPr>
          <w:p>
            <w:pPr>
              <w:spacing w:before="0" w:after="0" w:line="264" w:lineRule="auto"/>
            </w:pPr>
            <w:r>
              <w:rPr>
                <w:rFonts w:ascii="Arial" w:hAnsi="Arial"/>
                <w:color w:val="1E293B"/>
                <w:sz w:val="17"/>
              </w:rPr>
              <w:t>SeederService</w:t>
            </w:r>
          </w:p>
        </w:tc>
        <w:tc>
          <w:tcPr>
            <w:tcW w:type="dxa" w:w="2592"/>
            <w:tcMar>
              <w:top w:w="100" w:type="dxa"/>
              <w:bottom w:w="100" w:type="dxa"/>
              <w:left w:w="140" w:type="dxa"/>
              <w:right w:w="140" w:type="dxa"/>
            </w:tcMar>
            <w:shd w:fill="FFFFFF"/>
          </w:tcPr>
          <w:p>
            <w:pPr>
              <w:spacing w:before="0" w:after="0" w:line="264" w:lineRule="auto"/>
            </w:pPr>
            <w:r>
              <w:rPr>
                <w:rFonts w:ascii="Arial" w:hAnsi="Arial"/>
                <w:color w:val="1E293B"/>
                <w:sz w:val="17"/>
              </w:rPr>
              <w:t>src/backend/app/services/seeder.py</w:t>
            </w:r>
          </w:p>
        </w:tc>
        <w:tc>
          <w:tcPr>
            <w:tcW w:type="dxa" w:w="3024"/>
            <w:tcMar>
              <w:top w:w="100" w:type="dxa"/>
              <w:bottom w:w="100" w:type="dxa"/>
              <w:left w:w="140" w:type="dxa"/>
              <w:right w:w="140" w:type="dxa"/>
            </w:tcMar>
            <w:shd w:fill="FFFFFF"/>
          </w:tcPr>
          <w:p>
            <w:pPr>
              <w:spacing w:before="0" w:after="0" w:line="264" w:lineRule="auto"/>
            </w:pPr>
            <w:r>
              <w:rPr>
                <w:rFonts w:ascii="Arial" w:hAnsi="Arial"/>
                <w:color w:val="1E293B"/>
                <w:sz w:val="17"/>
              </w:rPr>
              <w:t>Atomic transaction boots 10 personas, 15 conn, 12 posts, 8 jobs.</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6"/>
      </w:rPr>
      <w:t>CONFIDENTIAL - FOR INTERNAL SDLC ENGINEERING EVALUATION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ProNet Platform Architecture Specification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