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left"/>
      </w:pPr>
      <w:r>
        <w:rPr>
          <w:rFonts w:ascii="Calibri" w:hAnsi="Calibri"/>
          <w:b/>
          <w:color w:val="2B6CB0"/>
          <w:sz w:val="22"/>
        </w:rPr>
        <w:t>ACADEMIC CAPSTONE PROJECT REPORT — ADVANCED NLP &amp; VISION</w:t>
      </w:r>
    </w:p>
    <w:p>
      <w:pPr>
        <w:spacing w:before="160" w:after="160"/>
        <w:jc w:val="left"/>
      </w:pPr>
      <w:r>
        <w:rPr>
          <w:rFonts w:ascii="Calibri" w:hAnsi="Calibri"/>
          <w:b/>
          <w:color w:val="1A365D"/>
          <w:sz w:val="64"/>
        </w:rPr>
        <w:t>FAKELENS × SIGNAL</w:t>
      </w:r>
    </w:p>
    <w:p>
      <w:pPr>
        <w:spacing w:after="480"/>
        <w:jc w:val="left"/>
      </w:pPr>
      <w:r>
        <w:rPr>
          <w:rFonts w:ascii="Calibri" w:hAnsi="Calibri"/>
          <w:color w:val="4A5568"/>
          <w:sz w:val="28"/>
        </w:rPr>
        <w:t>A Unified Multimodal Forensic Intelligence Framework for Deep Contextual Misinformation Classification and Spatio-Temporal Deepfake Video Detection</w:t>
      </w:r>
    </w:p>
    <w:tbl>
      <w:tblPr>
        <w:tblW w:type="auto" w:w="0"/>
        <w:jc w:val="center"/>
        <w:tblLook w:firstColumn="1" w:firstRow="1" w:lastColumn="0" w:lastRow="0" w:noHBand="0" w:noVBand="1" w:val="04A0"/>
      </w:tblPr>
      <w:tblGrid>
        <w:gridCol w:w="9360"/>
      </w:tblGrid>
      <w:tr>
        <w:tc>
          <w:tcPr>
            <w:tcW w:type="dxa" w:w="9360"/>
            <w:shd w:fill="1A365D"/>
          </w:tcPr>
          <w:p>
            <w:pPr>
              <w:spacing w:after="0"/>
            </w:pPr>
          </w:p>
        </w:tc>
      </w:tr>
    </w:tbl>
    <w:p>
      <w:pPr>
        <w:spacing w:after="480"/>
      </w:pPr>
    </w:p>
    <w:tbl>
      <w:tblPr>
        <w:tblW w:type="auto" w:w="0"/>
        <w:jc w:val="center"/>
        <w:tblLook w:firstColumn="1" w:firstRow="1" w:lastColumn="0" w:lastRow="0" w:noHBand="0" w:noVBand="1" w:val="04A0"/>
      </w:tblPr>
      <w:tblGrid>
        <w:gridCol w:w="4680"/>
        <w:gridCol w:w="4680"/>
      </w:tblGrid>
      <w:tr>
        <w:tc>
          <w:tcPr>
            <w:tcW w:type="dxa" w:w="3312"/>
            <w:shd w:fill="EDF2F7"/>
            <w:tcMar>
              <w:top w:w="80" w:type="dxa"/>
              <w:bottom w:w="80" w:type="dxa"/>
              <w:left w:w="120" w:type="dxa"/>
              <w:right w:w="120" w:type="dxa"/>
            </w:tcMar>
          </w:tcPr>
          <w:p>
            <w:r>
              <w:rPr>
                <w:rFonts w:ascii="Calibri" w:hAnsi="Calibri"/>
                <w:b/>
                <w:sz w:val="20"/>
              </w:rPr>
              <w:t>Student Author / Candidate:</w:t>
            </w:r>
          </w:p>
        </w:tc>
        <w:tc>
          <w:tcPr>
            <w:tcW w:type="dxa" w:w="6048"/>
            <w:shd w:fill="F7FAFC"/>
            <w:tcMar>
              <w:top w:w="80" w:type="dxa"/>
              <w:bottom w:w="80" w:type="dxa"/>
              <w:left w:w="120" w:type="dxa"/>
              <w:right w:w="120" w:type="dxa"/>
            </w:tcMar>
          </w:tcPr>
          <w:p>
            <w:r>
              <w:rPr>
                <w:rFonts w:ascii="Calibri" w:hAnsi="Calibri"/>
                <w:sz w:val="20"/>
              </w:rPr>
              <w:t>[Student Name &amp; Registration ID]</w:t>
            </w:r>
          </w:p>
        </w:tc>
      </w:tr>
      <w:tr>
        <w:tc>
          <w:tcPr>
            <w:tcW w:type="dxa" w:w="3312"/>
            <w:shd w:fill="EDF2F7"/>
            <w:tcMar>
              <w:top w:w="80" w:type="dxa"/>
              <w:bottom w:w="80" w:type="dxa"/>
              <w:left w:w="120" w:type="dxa"/>
              <w:right w:w="120" w:type="dxa"/>
            </w:tcMar>
          </w:tcPr>
          <w:p>
            <w:r>
              <w:rPr>
                <w:rFonts w:ascii="Calibri" w:hAnsi="Calibri"/>
                <w:b/>
                <w:sz w:val="20"/>
              </w:rPr>
              <w:t>Faculty Evaluator / Professor:</w:t>
            </w:r>
          </w:p>
        </w:tc>
        <w:tc>
          <w:tcPr>
            <w:tcW w:type="dxa" w:w="6048"/>
            <w:shd w:fill="F7FAFC"/>
            <w:tcMar>
              <w:top w:w="80" w:type="dxa"/>
              <w:bottom w:w="80" w:type="dxa"/>
              <w:left w:w="120" w:type="dxa"/>
              <w:right w:w="120" w:type="dxa"/>
            </w:tcMar>
          </w:tcPr>
          <w:p>
            <w:r>
              <w:rPr>
                <w:rFonts w:ascii="Calibri" w:hAnsi="Calibri"/>
                <w:sz w:val="20"/>
              </w:rPr>
              <w:t>[Professor / Advisor Name]</w:t>
            </w:r>
          </w:p>
        </w:tc>
      </w:tr>
      <w:tr>
        <w:tc>
          <w:tcPr>
            <w:tcW w:type="dxa" w:w="3312"/>
            <w:shd w:fill="EDF2F7"/>
            <w:tcMar>
              <w:top w:w="80" w:type="dxa"/>
              <w:bottom w:w="80" w:type="dxa"/>
              <w:left w:w="120" w:type="dxa"/>
              <w:right w:w="120" w:type="dxa"/>
            </w:tcMar>
          </w:tcPr>
          <w:p>
            <w:r>
              <w:rPr>
                <w:rFonts w:ascii="Calibri" w:hAnsi="Calibri"/>
                <w:b/>
                <w:sz w:val="20"/>
              </w:rPr>
              <w:t>Academic Department:</w:t>
            </w:r>
          </w:p>
        </w:tc>
        <w:tc>
          <w:tcPr>
            <w:tcW w:type="dxa" w:w="6048"/>
            <w:shd w:fill="F7FAFC"/>
            <w:tcMar>
              <w:top w:w="80" w:type="dxa"/>
              <w:bottom w:w="80" w:type="dxa"/>
              <w:left w:w="120" w:type="dxa"/>
              <w:right w:w="120" w:type="dxa"/>
            </w:tcMar>
          </w:tcPr>
          <w:p>
            <w:r>
              <w:rPr>
                <w:rFonts w:ascii="Calibri" w:hAnsi="Calibri"/>
                <w:sz w:val="20"/>
              </w:rPr>
              <w:t>Department of Computer Science &amp; Engineering</w:t>
            </w:r>
          </w:p>
        </w:tc>
      </w:tr>
      <w:tr>
        <w:tc>
          <w:tcPr>
            <w:tcW w:type="dxa" w:w="3312"/>
            <w:shd w:fill="EDF2F7"/>
            <w:tcMar>
              <w:top w:w="80" w:type="dxa"/>
              <w:bottom w:w="80" w:type="dxa"/>
              <w:left w:w="120" w:type="dxa"/>
              <w:right w:w="120" w:type="dxa"/>
            </w:tcMar>
          </w:tcPr>
          <w:p>
            <w:r>
              <w:rPr>
                <w:rFonts w:ascii="Calibri" w:hAnsi="Calibri"/>
                <w:b/>
                <w:sz w:val="20"/>
              </w:rPr>
              <w:t>Subject / Specialization:</w:t>
            </w:r>
          </w:p>
        </w:tc>
        <w:tc>
          <w:tcPr>
            <w:tcW w:type="dxa" w:w="6048"/>
            <w:shd w:fill="F7FAFC"/>
            <w:tcMar>
              <w:top w:w="80" w:type="dxa"/>
              <w:bottom w:w="80" w:type="dxa"/>
              <w:left w:w="120" w:type="dxa"/>
              <w:right w:w="120" w:type="dxa"/>
            </w:tcMar>
          </w:tcPr>
          <w:p>
            <w:r>
              <w:rPr>
                <w:rFonts w:ascii="Calibri" w:hAnsi="Calibri"/>
                <w:sz w:val="20"/>
              </w:rPr>
              <w:t>Natural Language Processing &amp; Advanced Computer Vision</w:t>
            </w:r>
          </w:p>
        </w:tc>
      </w:tr>
      <w:tr>
        <w:tc>
          <w:tcPr>
            <w:tcW w:type="dxa" w:w="3312"/>
            <w:shd w:fill="EDF2F7"/>
            <w:tcMar>
              <w:top w:w="80" w:type="dxa"/>
              <w:bottom w:w="80" w:type="dxa"/>
              <w:left w:w="120" w:type="dxa"/>
              <w:right w:w="120" w:type="dxa"/>
            </w:tcMar>
          </w:tcPr>
          <w:p>
            <w:r>
              <w:rPr>
                <w:rFonts w:ascii="Calibri" w:hAnsi="Calibri"/>
                <w:b/>
                <w:sz w:val="20"/>
              </w:rPr>
              <w:t>Core Production Models:</w:t>
            </w:r>
          </w:p>
        </w:tc>
        <w:tc>
          <w:tcPr>
            <w:tcW w:type="dxa" w:w="6048"/>
            <w:shd w:fill="F7FAFC"/>
            <w:tcMar>
              <w:top w:w="80" w:type="dxa"/>
              <w:bottom w:w="80" w:type="dxa"/>
              <w:left w:w="120" w:type="dxa"/>
              <w:right w:w="120" w:type="dxa"/>
            </w:tcMar>
          </w:tcPr>
          <w:p>
            <w:r>
              <w:rPr>
                <w:rFonts w:ascii="Calibri" w:hAnsi="Calibri"/>
                <w:sz w:val="20"/>
              </w:rPr>
              <w:t>RoBERTa-Base (NLP) &amp; LipForensics MS-TCN (CVPR 2021)</w:t>
            </w:r>
          </w:p>
        </w:tc>
      </w:tr>
      <w:tr>
        <w:tc>
          <w:tcPr>
            <w:tcW w:type="dxa" w:w="3312"/>
            <w:shd w:fill="EDF2F7"/>
            <w:tcMar>
              <w:top w:w="80" w:type="dxa"/>
              <w:bottom w:w="80" w:type="dxa"/>
              <w:left w:w="120" w:type="dxa"/>
              <w:right w:w="120" w:type="dxa"/>
            </w:tcMar>
          </w:tcPr>
          <w:p>
            <w:r>
              <w:rPr>
                <w:rFonts w:ascii="Calibri" w:hAnsi="Calibri"/>
                <w:b/>
                <w:sz w:val="20"/>
              </w:rPr>
              <w:t>Submission Cycle:</w:t>
            </w:r>
          </w:p>
        </w:tc>
        <w:tc>
          <w:tcPr>
            <w:tcW w:type="dxa" w:w="6048"/>
            <w:shd w:fill="F7FAFC"/>
            <w:tcMar>
              <w:top w:w="80" w:type="dxa"/>
              <w:bottom w:w="80" w:type="dxa"/>
              <w:left w:w="120" w:type="dxa"/>
              <w:right w:w="120" w:type="dxa"/>
            </w:tcMar>
          </w:tcPr>
          <w:p>
            <w:r>
              <w:rPr>
                <w:rFonts w:ascii="Calibri" w:hAnsi="Calibri"/>
                <w:sz w:val="20"/>
              </w:rPr>
              <w:t>Academic Term 2026 — Final Project Submission</w:t>
            </w:r>
          </w:p>
        </w:tc>
      </w:tr>
    </w:tbl>
    <w:p>
      <w:r>
        <w:br w:type="page"/>
      </w:r>
    </w:p>
    <w:p>
      <w:pPr>
        <w:pStyle w:val="Heading1"/>
        <w:keepNext/>
        <w:spacing w:before="320" w:after="120"/>
        <w:jc w:val="left"/>
      </w:pPr>
      <w:r>
        <w:rPr>
          <w:rFonts w:ascii="Calibri" w:hAnsi="Calibri"/>
          <w:b/>
          <w:color w:val="1A365D"/>
          <w:sz w:val="32"/>
        </w:rPr>
        <w:t>Table of Contents</w:t>
      </w:r>
    </w:p>
    <w:tbl>
      <w:tblPr>
        <w:tblW w:type="auto" w:w="0"/>
        <w:jc w:val="center"/>
        <w:tblLook w:firstColumn="1" w:firstRow="1" w:lastColumn="0" w:lastRow="0" w:noHBand="0" w:noVBand="1" w:val="04A0"/>
      </w:tblPr>
      <w:tblGrid>
        <w:gridCol w:w="4680"/>
        <w:gridCol w:w="4680"/>
      </w:tblGrid>
      <w:tr>
        <w:tc>
          <w:tcPr>
            <w:tcW w:type="dxa" w:w="7632"/>
            <w:tcMar>
              <w:top w:w="40" w:type="dxa"/>
              <w:bottom w:w="40" w:type="dxa"/>
              <w:left w:w="60" w:type="dxa"/>
              <w:right w:w="60" w:type="dxa"/>
            </w:tcMar>
          </w:tcPr>
          <w:p>
            <w:pPr>
              <w:jc w:val="left"/>
            </w:pPr>
            <w:r>
              <w:rPr>
                <w:rFonts w:ascii="Calibri" w:hAnsi="Calibri"/>
                <w:color w:val="2D3748"/>
                <w:sz w:val="20"/>
              </w:rPr>
              <w:t>1. Executive Summary &amp; Abstract</w:t>
            </w:r>
          </w:p>
        </w:tc>
        <w:tc>
          <w:tcPr>
            <w:tcW w:type="dxa" w:w="1728"/>
            <w:tcMar>
              <w:top w:w="40" w:type="dxa"/>
              <w:bottom w:w="40" w:type="dxa"/>
              <w:left w:w="60" w:type="dxa"/>
              <w:right w:w="60" w:type="dxa"/>
            </w:tcMar>
          </w:tcPr>
          <w:p>
            <w:pPr>
              <w:jc w:val="right"/>
            </w:pPr>
            <w:r>
              <w:rPr>
                <w:rFonts w:ascii="Calibri" w:hAnsi="Calibri"/>
                <w:color w:val="718096"/>
                <w:sz w:val="20"/>
              </w:rPr>
              <w:t>Page 2</w:t>
            </w:r>
          </w:p>
        </w:tc>
      </w:tr>
      <w:tr>
        <w:tc>
          <w:tcPr>
            <w:tcW w:type="dxa" w:w="7632"/>
            <w:tcMar>
              <w:top w:w="40" w:type="dxa"/>
              <w:bottom w:w="40" w:type="dxa"/>
              <w:left w:w="60" w:type="dxa"/>
              <w:right w:w="60" w:type="dxa"/>
            </w:tcMar>
          </w:tcPr>
          <w:p>
            <w:pPr>
              <w:jc w:val="left"/>
            </w:pPr>
            <w:r>
              <w:rPr>
                <w:rFonts w:ascii="Calibri" w:hAnsi="Calibri"/>
                <w:color w:val="2D3748"/>
                <w:sz w:val="20"/>
              </w:rPr>
              <w:t>2. Problem Statement &amp; Classical Baseline Limitations</w:t>
            </w:r>
          </w:p>
        </w:tc>
        <w:tc>
          <w:tcPr>
            <w:tcW w:type="dxa" w:w="1728"/>
            <w:tcMar>
              <w:top w:w="40" w:type="dxa"/>
              <w:bottom w:w="40" w:type="dxa"/>
              <w:left w:w="60" w:type="dxa"/>
              <w:right w:w="60" w:type="dxa"/>
            </w:tcMar>
          </w:tcPr>
          <w:p>
            <w:pPr>
              <w:jc w:val="right"/>
            </w:pPr>
            <w:r>
              <w:rPr>
                <w:rFonts w:ascii="Calibri" w:hAnsi="Calibri"/>
                <w:color w:val="718096"/>
                <w:sz w:val="20"/>
              </w:rPr>
              <w:t>Page 3</w:t>
            </w:r>
          </w:p>
        </w:tc>
      </w:tr>
      <w:tr>
        <w:tc>
          <w:tcPr>
            <w:tcW w:type="dxa" w:w="7632"/>
            <w:tcMar>
              <w:top w:w="40" w:type="dxa"/>
              <w:bottom w:w="40" w:type="dxa"/>
              <w:left w:w="60" w:type="dxa"/>
              <w:right w:w="60" w:type="dxa"/>
            </w:tcMar>
          </w:tcPr>
          <w:p>
            <w:pPr>
              <w:jc w:val="left"/>
            </w:pPr>
            <w:r>
              <w:rPr>
                <w:rFonts w:ascii="Calibri" w:hAnsi="Calibri"/>
                <w:color w:val="2D3748"/>
                <w:sz w:val="20"/>
              </w:rPr>
              <w:t>3. Advanced Natural Language Forensics: The RoBERTa Architecture</w:t>
            </w:r>
          </w:p>
        </w:tc>
        <w:tc>
          <w:tcPr>
            <w:tcW w:type="dxa" w:w="1728"/>
            <w:tcMar>
              <w:top w:w="40" w:type="dxa"/>
              <w:bottom w:w="40" w:type="dxa"/>
              <w:left w:w="60" w:type="dxa"/>
              <w:right w:w="60" w:type="dxa"/>
            </w:tcMar>
          </w:tcPr>
          <w:p>
            <w:pPr>
              <w:jc w:val="right"/>
            </w:pPr>
            <w:r>
              <w:rPr>
                <w:rFonts w:ascii="Calibri" w:hAnsi="Calibri"/>
                <w:color w:val="718096"/>
                <w:sz w:val="20"/>
              </w:rPr>
              <w:t>Page 4</w:t>
            </w:r>
          </w:p>
        </w:tc>
      </w:tr>
      <w:tr>
        <w:tc>
          <w:tcPr>
            <w:tcW w:type="dxa" w:w="7632"/>
            <w:tcMar>
              <w:top w:w="40" w:type="dxa"/>
              <w:bottom w:w="40" w:type="dxa"/>
              <w:left w:w="60" w:type="dxa"/>
              <w:right w:w="60" w:type="dxa"/>
            </w:tcMar>
          </w:tcPr>
          <w:p>
            <w:pPr>
              <w:jc w:val="left"/>
            </w:pPr>
            <w:r>
              <w:rPr>
                <w:rFonts w:ascii="Calibri" w:hAnsi="Calibri"/>
                <w:color w:val="2D3748"/>
                <w:sz w:val="20"/>
              </w:rPr>
              <w:t>4. Spatio-Temporal Video Forensics: The LipForensics Pipeline</w:t>
            </w:r>
          </w:p>
        </w:tc>
        <w:tc>
          <w:tcPr>
            <w:tcW w:type="dxa" w:w="1728"/>
            <w:tcMar>
              <w:top w:w="40" w:type="dxa"/>
              <w:bottom w:w="40" w:type="dxa"/>
              <w:left w:w="60" w:type="dxa"/>
              <w:right w:w="60" w:type="dxa"/>
            </w:tcMar>
          </w:tcPr>
          <w:p>
            <w:pPr>
              <w:jc w:val="right"/>
            </w:pPr>
            <w:r>
              <w:rPr>
                <w:rFonts w:ascii="Calibri" w:hAnsi="Calibri"/>
                <w:color w:val="718096"/>
                <w:sz w:val="20"/>
              </w:rPr>
              <w:t>Page 5</w:t>
            </w:r>
          </w:p>
        </w:tc>
      </w:tr>
      <w:tr>
        <w:tc>
          <w:tcPr>
            <w:tcW w:type="dxa" w:w="7632"/>
            <w:tcMar>
              <w:top w:w="40" w:type="dxa"/>
              <w:bottom w:w="40" w:type="dxa"/>
              <w:left w:w="60" w:type="dxa"/>
              <w:right w:w="60" w:type="dxa"/>
            </w:tcMar>
          </w:tcPr>
          <w:p>
            <w:pPr>
              <w:jc w:val="left"/>
            </w:pPr>
            <w:r>
              <w:rPr>
                <w:rFonts w:ascii="Calibri" w:hAnsi="Calibri"/>
                <w:color w:val="2D3748"/>
                <w:sz w:val="20"/>
              </w:rPr>
              <w:t>5. Multimodal System Architecture &amp; Microservice Integration</w:t>
            </w:r>
          </w:p>
        </w:tc>
        <w:tc>
          <w:tcPr>
            <w:tcW w:type="dxa" w:w="1728"/>
            <w:tcMar>
              <w:top w:w="40" w:type="dxa"/>
              <w:bottom w:w="40" w:type="dxa"/>
              <w:left w:w="60" w:type="dxa"/>
              <w:right w:w="60" w:type="dxa"/>
            </w:tcMar>
          </w:tcPr>
          <w:p>
            <w:pPr>
              <w:jc w:val="right"/>
            </w:pPr>
            <w:r>
              <w:rPr>
                <w:rFonts w:ascii="Calibri" w:hAnsi="Calibri"/>
                <w:color w:val="718096"/>
                <w:sz w:val="20"/>
              </w:rPr>
              <w:t>Page 6</w:t>
            </w:r>
          </w:p>
        </w:tc>
      </w:tr>
      <w:tr>
        <w:tc>
          <w:tcPr>
            <w:tcW w:type="dxa" w:w="7632"/>
            <w:tcMar>
              <w:top w:w="40" w:type="dxa"/>
              <w:bottom w:w="40" w:type="dxa"/>
              <w:left w:w="60" w:type="dxa"/>
              <w:right w:w="60" w:type="dxa"/>
            </w:tcMar>
          </w:tcPr>
          <w:p>
            <w:pPr>
              <w:jc w:val="left"/>
            </w:pPr>
            <w:r>
              <w:rPr>
                <w:rFonts w:ascii="Calibri" w:hAnsi="Calibri"/>
                <w:color w:val="2D3748"/>
                <w:sz w:val="20"/>
              </w:rPr>
              <w:t>6. Frontend Engineering &amp; Forensic Telemetry (ORYZO AI)</w:t>
            </w:r>
          </w:p>
        </w:tc>
        <w:tc>
          <w:tcPr>
            <w:tcW w:type="dxa" w:w="1728"/>
            <w:tcMar>
              <w:top w:w="40" w:type="dxa"/>
              <w:bottom w:w="40" w:type="dxa"/>
              <w:left w:w="60" w:type="dxa"/>
              <w:right w:w="60" w:type="dxa"/>
            </w:tcMar>
          </w:tcPr>
          <w:p>
            <w:pPr>
              <w:jc w:val="right"/>
            </w:pPr>
            <w:r>
              <w:rPr>
                <w:rFonts w:ascii="Calibri" w:hAnsi="Calibri"/>
                <w:color w:val="718096"/>
                <w:sz w:val="20"/>
              </w:rPr>
              <w:t>Page 7</w:t>
            </w:r>
          </w:p>
        </w:tc>
      </w:tr>
      <w:tr>
        <w:tc>
          <w:tcPr>
            <w:tcW w:type="dxa" w:w="7632"/>
            <w:tcMar>
              <w:top w:w="40" w:type="dxa"/>
              <w:bottom w:w="40" w:type="dxa"/>
              <w:left w:w="60" w:type="dxa"/>
              <w:right w:w="60" w:type="dxa"/>
            </w:tcMar>
          </w:tcPr>
          <w:p>
            <w:pPr>
              <w:jc w:val="left"/>
            </w:pPr>
            <w:r>
              <w:rPr>
                <w:rFonts w:ascii="Calibri" w:hAnsi="Calibri"/>
                <w:color w:val="2D3748"/>
                <w:sz w:val="20"/>
              </w:rPr>
              <w:t>7. Quantitative Evaluation &amp; Comparative Model Impact</w:t>
            </w:r>
          </w:p>
        </w:tc>
        <w:tc>
          <w:tcPr>
            <w:tcW w:type="dxa" w:w="1728"/>
            <w:tcMar>
              <w:top w:w="40" w:type="dxa"/>
              <w:bottom w:w="40" w:type="dxa"/>
              <w:left w:w="60" w:type="dxa"/>
              <w:right w:w="60" w:type="dxa"/>
            </w:tcMar>
          </w:tcPr>
          <w:p>
            <w:pPr>
              <w:jc w:val="right"/>
            </w:pPr>
            <w:r>
              <w:rPr>
                <w:rFonts w:ascii="Calibri" w:hAnsi="Calibri"/>
                <w:color w:val="718096"/>
                <w:sz w:val="20"/>
              </w:rPr>
              <w:t>Page 8</w:t>
            </w:r>
          </w:p>
        </w:tc>
      </w:tr>
      <w:tr>
        <w:tc>
          <w:tcPr>
            <w:tcW w:type="dxa" w:w="7632"/>
            <w:tcMar>
              <w:top w:w="40" w:type="dxa"/>
              <w:bottom w:w="40" w:type="dxa"/>
              <w:left w:w="60" w:type="dxa"/>
              <w:right w:w="60" w:type="dxa"/>
            </w:tcMar>
          </w:tcPr>
          <w:p>
            <w:pPr>
              <w:jc w:val="left"/>
            </w:pPr>
            <w:r>
              <w:rPr>
                <w:rFonts w:ascii="Calibri" w:hAnsi="Calibri"/>
                <w:color w:val="2D3748"/>
                <w:sz w:val="20"/>
              </w:rPr>
              <w:t>8. Empirical Forensic Case Studies &amp; Compression Robustness</w:t>
            </w:r>
          </w:p>
        </w:tc>
        <w:tc>
          <w:tcPr>
            <w:tcW w:type="dxa" w:w="1728"/>
            <w:tcMar>
              <w:top w:w="40" w:type="dxa"/>
              <w:bottom w:w="40" w:type="dxa"/>
              <w:left w:w="60" w:type="dxa"/>
              <w:right w:w="60" w:type="dxa"/>
            </w:tcMar>
          </w:tcPr>
          <w:p>
            <w:pPr>
              <w:jc w:val="right"/>
            </w:pPr>
            <w:r>
              <w:rPr>
                <w:rFonts w:ascii="Calibri" w:hAnsi="Calibri"/>
                <w:color w:val="718096"/>
                <w:sz w:val="20"/>
              </w:rPr>
              <w:t>Page 9</w:t>
            </w:r>
          </w:p>
        </w:tc>
      </w:tr>
      <w:tr>
        <w:tc>
          <w:tcPr>
            <w:tcW w:type="dxa" w:w="7632"/>
            <w:tcMar>
              <w:top w:w="40" w:type="dxa"/>
              <w:bottom w:w="40" w:type="dxa"/>
              <w:left w:w="60" w:type="dxa"/>
              <w:right w:w="60" w:type="dxa"/>
            </w:tcMar>
          </w:tcPr>
          <w:p>
            <w:pPr>
              <w:jc w:val="left"/>
            </w:pPr>
            <w:r>
              <w:rPr>
                <w:rFonts w:ascii="Calibri" w:hAnsi="Calibri"/>
                <w:color w:val="2D3748"/>
                <w:sz w:val="20"/>
              </w:rPr>
              <w:t>9. Production Engineering, Fallbacks &amp; Storage Optimization</w:t>
            </w:r>
          </w:p>
        </w:tc>
        <w:tc>
          <w:tcPr>
            <w:tcW w:type="dxa" w:w="1728"/>
            <w:tcMar>
              <w:top w:w="40" w:type="dxa"/>
              <w:bottom w:w="40" w:type="dxa"/>
              <w:left w:w="60" w:type="dxa"/>
              <w:right w:w="60" w:type="dxa"/>
            </w:tcMar>
          </w:tcPr>
          <w:p>
            <w:pPr>
              <w:jc w:val="right"/>
            </w:pPr>
            <w:r>
              <w:rPr>
                <w:rFonts w:ascii="Calibri" w:hAnsi="Calibri"/>
                <w:color w:val="718096"/>
                <w:sz w:val="20"/>
              </w:rPr>
              <w:t>Page 10</w:t>
            </w:r>
          </w:p>
        </w:tc>
      </w:tr>
      <w:tr>
        <w:tc>
          <w:tcPr>
            <w:tcW w:type="dxa" w:w="7632"/>
            <w:tcMar>
              <w:top w:w="40" w:type="dxa"/>
              <w:bottom w:w="40" w:type="dxa"/>
              <w:left w:w="60" w:type="dxa"/>
              <w:right w:w="60" w:type="dxa"/>
            </w:tcMar>
          </w:tcPr>
          <w:p>
            <w:pPr>
              <w:jc w:val="left"/>
            </w:pPr>
            <w:r>
              <w:rPr>
                <w:rFonts w:ascii="Calibri" w:hAnsi="Calibri"/>
                <w:color w:val="2D3748"/>
                <w:sz w:val="20"/>
              </w:rPr>
              <w:t>10. Testing, Quality Assurance &amp; Test Suite Verification</w:t>
            </w:r>
          </w:p>
        </w:tc>
        <w:tc>
          <w:tcPr>
            <w:tcW w:type="dxa" w:w="1728"/>
            <w:tcMar>
              <w:top w:w="40" w:type="dxa"/>
              <w:bottom w:w="40" w:type="dxa"/>
              <w:left w:w="60" w:type="dxa"/>
              <w:right w:w="60" w:type="dxa"/>
            </w:tcMar>
          </w:tcPr>
          <w:p>
            <w:pPr>
              <w:jc w:val="right"/>
            </w:pPr>
            <w:r>
              <w:rPr>
                <w:rFonts w:ascii="Calibri" w:hAnsi="Calibri"/>
                <w:color w:val="718096"/>
                <w:sz w:val="20"/>
              </w:rPr>
              <w:t>Page 11</w:t>
            </w:r>
          </w:p>
        </w:tc>
      </w:tr>
      <w:tr>
        <w:tc>
          <w:tcPr>
            <w:tcW w:type="dxa" w:w="7632"/>
            <w:tcMar>
              <w:top w:w="40" w:type="dxa"/>
              <w:bottom w:w="40" w:type="dxa"/>
              <w:left w:w="60" w:type="dxa"/>
              <w:right w:w="60" w:type="dxa"/>
            </w:tcMar>
          </w:tcPr>
          <w:p>
            <w:pPr>
              <w:jc w:val="left"/>
            </w:pPr>
            <w:r>
              <w:rPr>
                <w:rFonts w:ascii="Calibri" w:hAnsi="Calibri"/>
                <w:color w:val="2D3748"/>
                <w:sz w:val="20"/>
              </w:rPr>
              <w:t>11. Ethical Considerations, Provisional Policies &amp; Future Roadmap</w:t>
            </w:r>
          </w:p>
        </w:tc>
        <w:tc>
          <w:tcPr>
            <w:tcW w:type="dxa" w:w="1728"/>
            <w:tcMar>
              <w:top w:w="40" w:type="dxa"/>
              <w:bottom w:w="40" w:type="dxa"/>
              <w:left w:w="60" w:type="dxa"/>
              <w:right w:w="60" w:type="dxa"/>
            </w:tcMar>
          </w:tcPr>
          <w:p>
            <w:pPr>
              <w:jc w:val="right"/>
            </w:pPr>
            <w:r>
              <w:rPr>
                <w:rFonts w:ascii="Calibri" w:hAnsi="Calibri"/>
                <w:color w:val="718096"/>
                <w:sz w:val="20"/>
              </w:rPr>
              <w:t>Page 12</w:t>
            </w:r>
          </w:p>
        </w:tc>
      </w:tr>
      <w:tr>
        <w:tc>
          <w:tcPr>
            <w:tcW w:type="dxa" w:w="7632"/>
            <w:tcMar>
              <w:top w:w="40" w:type="dxa"/>
              <w:bottom w:w="40" w:type="dxa"/>
              <w:left w:w="60" w:type="dxa"/>
              <w:right w:w="60" w:type="dxa"/>
            </w:tcMar>
          </w:tcPr>
          <w:p>
            <w:pPr>
              <w:jc w:val="left"/>
            </w:pPr>
            <w:r>
              <w:rPr>
                <w:rFonts w:ascii="Calibri" w:hAnsi="Calibri"/>
                <w:color w:val="2D3748"/>
                <w:sz w:val="20"/>
              </w:rPr>
              <w:t>12. References &amp; Selected Bibliography</w:t>
            </w:r>
          </w:p>
        </w:tc>
        <w:tc>
          <w:tcPr>
            <w:tcW w:type="dxa" w:w="1728"/>
            <w:tcMar>
              <w:top w:w="40" w:type="dxa"/>
              <w:bottom w:w="40" w:type="dxa"/>
              <w:left w:w="60" w:type="dxa"/>
              <w:right w:w="60" w:type="dxa"/>
            </w:tcMar>
          </w:tcPr>
          <w:p>
            <w:pPr>
              <w:jc w:val="right"/>
            </w:pPr>
            <w:r>
              <w:rPr>
                <w:rFonts w:ascii="Calibri" w:hAnsi="Calibri"/>
                <w:color w:val="718096"/>
                <w:sz w:val="20"/>
              </w:rPr>
              <w:t>Page 13</w:t>
            </w:r>
          </w:p>
        </w:tc>
      </w:tr>
    </w:tbl>
    <w:p>
      <w:pPr>
        <w:spacing w:after="240"/>
      </w:pPr>
    </w:p>
    <w:p>
      <w:pPr>
        <w:pStyle w:val="Heading2"/>
        <w:keepNext/>
        <w:spacing w:before="240" w:after="80"/>
        <w:jc w:val="left"/>
      </w:pPr>
      <w:r>
        <w:rPr>
          <w:rFonts w:ascii="Calibri" w:hAnsi="Calibri"/>
          <w:b/>
          <w:color w:val="2B6CB0"/>
          <w:sz w:val="26"/>
        </w:rPr>
        <w:t>Executive Summary &amp; Abstract</w:t>
      </w:r>
    </w:p>
    <w:p>
      <w:pPr>
        <w:spacing w:after="120" w:line="276" w:lineRule="auto"/>
        <w:jc w:val="both"/>
      </w:pPr>
      <w:r>
        <w:rPr>
          <w:rFonts w:ascii="Calibri" w:hAnsi="Calibri"/>
          <w:color w:val="2D3748"/>
          <w:sz w:val="22"/>
        </w:rPr>
        <w:t>The contemporary digital information sphere faces an unprecedented threat: the rapid emergence of multimodal synthetic propaganda. Threat actors no longer restrict their campaigns to solitary deceptive articles or crude image manipulations; modern deception campaigns synchronize convincingly fabricated textual journalism with hyper-realistic, AI-synthesized talking-head videos. Existing forensic technologies suffer from a critical architectural divide: natural language models and computer vision pipelines are developed in isolation, relying on simplistic baseline architectures that collapse when subjected to real-world operational conditions.</w:t>
      </w:r>
    </w:p>
    <w:p>
      <w:pPr>
        <w:spacing w:after="120" w:line="276" w:lineRule="auto"/>
        <w:jc w:val="both"/>
      </w:pPr>
      <w:r>
        <w:rPr>
          <w:rFonts w:ascii="Calibri" w:hAnsi="Calibri"/>
          <w:color w:val="2D3748"/>
          <w:sz w:val="22"/>
        </w:rPr>
        <w:t>This project introduces FakeLens x SIGNAL, an enterprise-grade multimodal forensic intelligence workbench. The system resolves two catastrophic failure modes of traditional automated verification: (1) the tendency of bag-of-words text classifiers to misclassify legitimate educational and investigative reporting as fraudulent, and (2) the failure of single-frame 2D vision models to detect deepfakes under video compression. By integrating a fine-tuned RoBERTa transformer for textual semantics with LipForensics (CVPR 2021) for spatio-temporal mouth dynamics, FakeLens x SIGNAL delivers state-of-the-art verification with sub-second inference latency, full explainability telemetry, and a 12-test automated regression validation suite.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32" w:space="0" w:color="1A365D"/>
              <w:bottom w:val="none"/>
              <w:right w:val="none"/>
            </w:tcBorders>
          </w:tcPr>
          <w:p>
            <w:pPr>
              <w:spacing w:before="40" w:after="40" w:line="276" w:lineRule="auto"/>
              <w:jc w:val="left"/>
            </w:pPr>
            <w:r>
              <w:rPr>
                <w:rFonts w:ascii="Calibri" w:hAnsi="Calibri"/>
                <w:b/>
                <w:color w:val="1A365D"/>
                <w:sz w:val="21"/>
              </w:rPr>
              <w:t xml:space="preserve">CORE CONTRIBUTION SUMMARY: </w:t>
            </w:r>
            <w:r>
              <w:rPr>
                <w:rFonts w:ascii="Calibri" w:hAnsi="Calibri"/>
                <w:color w:val="2D3748"/>
                <w:sz w:val="20"/>
              </w:rPr>
              <w:t>Through the systematic replacement of linear TF-IDF text models and static 2D vision transformers with RoBERTa and LipForensics, the project achieved a 100% false-positive elimination on tested academic publications while securing a 99.63% confidence rating on authentic human facial dynamics, operating reliably across real-world social media video compression formats.</w:t>
            </w:r>
          </w:p>
        </w:tc>
      </w:tr>
    </w:tbl>
    <w:p>
      <w:pPr>
        <w:spacing w:after="120"/>
      </w:pPr>
    </w:p>
    <w:p>
      <w:r>
        <w:br w:type="page"/>
      </w:r>
    </w:p>
    <w:p>
      <w:pPr>
        <w:pStyle w:val="Heading1"/>
        <w:keepNext/>
        <w:spacing w:before="320" w:after="120"/>
        <w:jc w:val="left"/>
      </w:pPr>
      <w:r>
        <w:rPr>
          <w:rFonts w:ascii="Calibri" w:hAnsi="Calibri"/>
          <w:b/>
          <w:color w:val="1A365D"/>
          <w:sz w:val="32"/>
        </w:rPr>
        <w:t>2. Problem Statement &amp; Classical Baseline Limitations</w:t>
      </w:r>
    </w:p>
    <w:p>
      <w:pPr>
        <w:pStyle w:val="Heading2"/>
        <w:keepNext/>
        <w:spacing w:before="240" w:after="80"/>
        <w:jc w:val="left"/>
      </w:pPr>
      <w:r>
        <w:rPr>
          <w:rFonts w:ascii="Calibri" w:hAnsi="Calibri"/>
          <w:b/>
          <w:color w:val="2B6CB0"/>
          <w:sz w:val="26"/>
        </w:rPr>
        <w:t>2.1 The Multimodal Disinformation Landscape</w:t>
      </w:r>
    </w:p>
    <w:p>
      <w:pPr>
        <w:spacing w:after="120" w:line="276" w:lineRule="auto"/>
        <w:jc w:val="both"/>
      </w:pPr>
      <w:r>
        <w:rPr>
          <w:rFonts w:ascii="Calibri" w:hAnsi="Calibri"/>
          <w:color w:val="2D3748"/>
          <w:sz w:val="22"/>
        </w:rPr>
        <w:t>The automated identification of false information is among the most demanding disciplines in applied machine learning. Information warfare is characterized by an asymmetric dynamic: generating convincing textual fabrications with Large Language Models (LLMs) and synthetic talking-head videos with neural renderers requires negligible computational expenditure, whereas detecting these manipulations requires exhaustive semantic, stylometric, and spatio-temporal forensic inspection.</w:t>
      </w:r>
    </w:p>
    <w:p>
      <w:pPr>
        <w:pStyle w:val="Heading2"/>
        <w:keepNext/>
        <w:spacing w:before="240" w:after="80"/>
        <w:jc w:val="left"/>
      </w:pPr>
      <w:r>
        <w:rPr>
          <w:rFonts w:ascii="Calibri" w:hAnsi="Calibri"/>
          <w:b/>
          <w:color w:val="2B6CB0"/>
          <w:sz w:val="26"/>
        </w:rPr>
        <w:t>2.2 Catastrophic Failure Modes of Bag-of-Words NLP (TF-IDF)</w:t>
      </w:r>
    </w:p>
    <w:p>
      <w:pPr>
        <w:spacing w:after="120" w:line="276" w:lineRule="auto"/>
        <w:jc w:val="both"/>
      </w:pPr>
      <w:r>
        <w:rPr>
          <w:rFonts w:ascii="Calibri" w:hAnsi="Calibri"/>
          <w:color w:val="2D3748"/>
          <w:sz w:val="22"/>
        </w:rPr>
        <w:t>The foundational release of FakeLens employed a Term Frequency-Inverse Document Frequency (TF-IDF) feature matrix coupled with a Logistic Regression classifier. While computationally efficient, this pipeline is fundamentally incapable of generalizing beyond narrow lexical domains:</w:t>
      </w:r>
    </w:p>
    <w:p>
      <w:pPr>
        <w:pStyle w:val="ListBullet"/>
        <w:spacing w:after="80" w:line="276" w:lineRule="auto"/>
        <w:ind w:left="432"/>
        <w:jc w:val="left"/>
      </w:pPr>
      <w:r>
        <w:rPr>
          <w:rFonts w:ascii="Calibri" w:hAnsi="Calibri"/>
          <w:b/>
          <w:color w:val="1A365D"/>
          <w:sz w:val="21"/>
        </w:rPr>
        <w:t xml:space="preserve">Complete Absence of Syntactic &amp; Semantic Context: </w:t>
      </w:r>
      <w:r>
        <w:rPr>
          <w:rFonts w:ascii="Calibri" w:hAnsi="Calibri"/>
          <w:color w:val="2D3748"/>
          <w:sz w:val="21"/>
        </w:rPr>
        <w:t>TF-IDF treats documents as unordered collections of n-grams. It cannot distinguish between an article asserting a falsehood and an investigative piece debunking that same claim. Words frequently associated with sensationalism ('claim', 'shocking', 'disputed') trigger high fraudulence scores regardless of sentence structure or contextual negation.</w:t>
      </w:r>
    </w:p>
    <w:p>
      <w:pPr>
        <w:pStyle w:val="ListBullet"/>
        <w:spacing w:after="80" w:line="276" w:lineRule="auto"/>
        <w:ind w:left="432"/>
        <w:jc w:val="left"/>
      </w:pPr>
      <w:r>
        <w:rPr>
          <w:rFonts w:ascii="Calibri" w:hAnsi="Calibri"/>
          <w:b/>
          <w:color w:val="1A365D"/>
          <w:sz w:val="21"/>
        </w:rPr>
        <w:t xml:space="preserve">Catastrophic Domain-Shift False Positives: </w:t>
      </w:r>
      <w:r>
        <w:rPr>
          <w:rFonts w:ascii="Calibri" w:hAnsi="Calibri"/>
          <w:color w:val="2D3748"/>
          <w:sz w:val="21"/>
        </w:rPr>
        <w:t>In empirical user testing, an authentic pedagogical paper analyzing project-based learning ('Well conceptualised driving questions help to improve the effectiveness of project-based learning...') was classified by the TF-IDF pipeline as 100% FAKE. Because the vocabulary of educational research did not overlap with the political training corpus, the model defaulted to an extreme fraud verdict.</w:t>
      </w:r>
    </w:p>
    <w:p>
      <w:pPr>
        <w:pStyle w:val="ListBullet"/>
        <w:spacing w:after="80" w:line="276" w:lineRule="auto"/>
        <w:ind w:left="432"/>
        <w:jc w:val="left"/>
      </w:pPr>
      <w:r>
        <w:rPr>
          <w:rFonts w:ascii="Calibri" w:hAnsi="Calibri"/>
          <w:b/>
          <w:color w:val="1A365D"/>
          <w:sz w:val="21"/>
        </w:rPr>
        <w:t xml:space="preserve">Vulnerability to Stylistic Paraphrasing: </w:t>
      </w:r>
      <w:r>
        <w:rPr>
          <w:rFonts w:ascii="Calibri" w:hAnsi="Calibri"/>
          <w:color w:val="2D3748"/>
          <w:sz w:val="21"/>
        </w:rPr>
        <w:t>Adversaries can readily bypass bag-of-words detectors by taking demonstrably false claims and rewriting them using formal, academic prose, completely subverting token frequency thresholds.</w:t>
      </w:r>
    </w:p>
    <w:p>
      <w:pPr>
        <w:pStyle w:val="Heading2"/>
        <w:keepNext/>
        <w:spacing w:before="240" w:after="80"/>
        <w:jc w:val="left"/>
      </w:pPr>
      <w:r>
        <w:rPr>
          <w:rFonts w:ascii="Calibri" w:hAnsi="Calibri"/>
          <w:b/>
          <w:color w:val="2B6CB0"/>
          <w:sz w:val="26"/>
        </w:rPr>
        <w:t>2.3 Fragility of Static 2D Vision Transformers in Deepfake Video</w:t>
      </w:r>
    </w:p>
    <w:p>
      <w:pPr>
        <w:spacing w:after="120" w:line="276" w:lineRule="auto"/>
        <w:jc w:val="both"/>
      </w:pPr>
      <w:r>
        <w:rPr>
          <w:rFonts w:ascii="Calibri" w:hAnsi="Calibri"/>
          <w:color w:val="2D3748"/>
          <w:sz w:val="22"/>
        </w:rPr>
        <w:t>Prior computer vision pipelines in SIGNAL evaluated video authenticity by extracting isolated frames and passing them through a 2D Vision Transformer (ViT-Base-Patch16-224). While effective on uncompressed, pristine laboratory benchmarks, this approach suffers from fatal vulnerabilities:</w:t>
      </w:r>
    </w:p>
    <w:p>
      <w:pPr>
        <w:pStyle w:val="ListBullet"/>
        <w:spacing w:after="80" w:line="276" w:lineRule="auto"/>
        <w:ind w:left="432"/>
        <w:jc w:val="left"/>
      </w:pPr>
      <w:r>
        <w:rPr>
          <w:rFonts w:ascii="Calibri" w:hAnsi="Calibri"/>
          <w:b/>
          <w:color w:val="1A365D"/>
          <w:sz w:val="21"/>
        </w:rPr>
        <w:t xml:space="preserve">High-Frequency Erasure via Video Compression: </w:t>
      </w:r>
      <w:r>
        <w:rPr>
          <w:rFonts w:ascii="Calibri" w:hAnsi="Calibri"/>
          <w:color w:val="2D3748"/>
          <w:sz w:val="21"/>
        </w:rPr>
        <w:t>Commercial distribution channels (e.g., WhatsApp, Telegram, X, YouTube) apply lossy H.264 or HEVC compression. The discrete cosine transform (DCT) and quantization steps aggressively eliminate high-frequency spatial noise. Because 2D CNNs and ViTs depend on subtle pixel boundary blending anomalies, compression completely wipes out their predictive signals.</w:t>
      </w:r>
    </w:p>
    <w:p>
      <w:pPr>
        <w:pStyle w:val="ListBullet"/>
        <w:spacing w:after="80" w:line="276" w:lineRule="auto"/>
        <w:ind w:left="432"/>
        <w:jc w:val="left"/>
      </w:pPr>
      <w:r>
        <w:rPr>
          <w:rFonts w:ascii="Calibri" w:hAnsi="Calibri"/>
          <w:b/>
          <w:color w:val="1A365D"/>
          <w:sz w:val="21"/>
        </w:rPr>
        <w:t xml:space="preserve">Temporal Dynamics Blindness: </w:t>
      </w:r>
      <w:r>
        <w:rPr>
          <w:rFonts w:ascii="Calibri" w:hAnsi="Calibri"/>
          <w:color w:val="2D3748"/>
          <w:sz w:val="21"/>
        </w:rPr>
        <w:t>Deepfake generative pipelines (Wav2Lip, First Order Motion, SadTalker) introduce subtle temporal inconsistencies: frozen inter-frame phoneme transitions, unnatural mouth fluttering, and micro-tremors in landmark coordinates. A static 2D classifier inspecting isolated frames is blind to these dynamic anomalies.</w:t>
      </w:r>
    </w:p>
    <w:p>
      <w:r>
        <w:br w:type="page"/>
      </w:r>
    </w:p>
    <w:p>
      <w:pPr>
        <w:pStyle w:val="Heading1"/>
        <w:keepNext/>
        <w:spacing w:before="320" w:after="120"/>
        <w:jc w:val="left"/>
      </w:pPr>
      <w:r>
        <w:rPr>
          <w:rFonts w:ascii="Calibri" w:hAnsi="Calibri"/>
          <w:b/>
          <w:color w:val="1A365D"/>
          <w:sz w:val="32"/>
        </w:rPr>
        <w:t>3. Advanced Natural Language Forensics: The RoBERTa Architecture</w:t>
      </w:r>
    </w:p>
    <w:p>
      <w:pPr>
        <w:pStyle w:val="Heading2"/>
        <w:keepNext/>
        <w:spacing w:before="240" w:after="80"/>
        <w:jc w:val="left"/>
      </w:pPr>
      <w:r>
        <w:rPr>
          <w:rFonts w:ascii="Calibri" w:hAnsi="Calibri"/>
          <w:b/>
          <w:color w:val="2B6CB0"/>
          <w:sz w:val="26"/>
        </w:rPr>
        <w:t>3.1 Architectural Specification</w:t>
      </w:r>
    </w:p>
    <w:p>
      <w:pPr>
        <w:spacing w:after="120" w:line="276" w:lineRule="auto"/>
        <w:jc w:val="both"/>
      </w:pPr>
      <w:r>
        <w:rPr>
          <w:rFonts w:ascii="Calibri" w:hAnsi="Calibri"/>
          <w:color w:val="2D3748"/>
          <w:sz w:val="22"/>
        </w:rPr>
        <w:t>To replace the fragile linear classifier, the text verification subsystem was engineered around a specialized RoBERTa (Robustly Optimized BERT Approach) transformer architecture. RoBERTa modifies the foundational BERT architecture by eliminating the Next Sentence Prediction (NSP) objective, training over substantially larger mini-batches, and incorporating dynamic masked language modeling over extensive corpora.</w:t>
      </w:r>
    </w:p>
    <w:tbl>
      <w:tblPr>
        <w:tblW w:type="auto" w:w="0"/>
        <w:jc w:val="center"/>
        <w:tblLook w:firstColumn="1" w:firstRow="1" w:lastColumn="0" w:lastRow="0" w:noHBand="0" w:noVBand="1" w:val="04A0"/>
      </w:tblPr>
      <w:tblGrid>
        <w:gridCol w:w="4680"/>
        <w:gridCol w:w="4680"/>
      </w:tblGrid>
      <w:tr>
        <w:tc>
          <w:tcPr>
            <w:tcW w:type="dxa" w:w="3168"/>
            <w:shd w:fill="EDF2F7"/>
            <w:tcMar>
              <w:top w:w="60" w:type="dxa"/>
              <w:bottom w:w="60" w:type="dxa"/>
              <w:left w:w="100" w:type="dxa"/>
              <w:right w:w="100" w:type="dxa"/>
            </w:tcMar>
          </w:tcPr>
          <w:p>
            <w:r>
              <w:rPr>
                <w:rFonts w:ascii="Calibri" w:hAnsi="Calibri"/>
                <w:b/>
                <w:sz w:val="19"/>
              </w:rPr>
              <w:t>Base Architecture:</w:t>
            </w:r>
          </w:p>
        </w:tc>
        <w:tc>
          <w:tcPr>
            <w:tcW w:type="dxa" w:w="6192"/>
            <w:shd w:fill="FFFFFF"/>
            <w:tcMar>
              <w:top w:w="60" w:type="dxa"/>
              <w:bottom w:w="60" w:type="dxa"/>
              <w:left w:w="100" w:type="dxa"/>
              <w:right w:w="100" w:type="dxa"/>
            </w:tcMar>
          </w:tcPr>
          <w:p>
            <w:r>
              <w:rPr>
                <w:rFonts w:ascii="Calibri" w:hAnsi="Calibri"/>
                <w:sz w:val="19"/>
              </w:rPr>
              <w:t>RoBERTa-Base (12 Layers, 768 Hidden Dimensions, 12 Attention Heads)</w:t>
            </w:r>
          </w:p>
        </w:tc>
      </w:tr>
      <w:tr>
        <w:tc>
          <w:tcPr>
            <w:tcW w:type="dxa" w:w="3168"/>
            <w:shd w:fill="EDF2F7"/>
            <w:tcMar>
              <w:top w:w="60" w:type="dxa"/>
              <w:bottom w:w="60" w:type="dxa"/>
              <w:left w:w="100" w:type="dxa"/>
              <w:right w:w="100" w:type="dxa"/>
            </w:tcMar>
          </w:tcPr>
          <w:p>
            <w:r>
              <w:rPr>
                <w:rFonts w:ascii="Calibri" w:hAnsi="Calibri"/>
                <w:b/>
                <w:sz w:val="19"/>
              </w:rPr>
              <w:t>Parameter Count:</w:t>
            </w:r>
          </w:p>
        </w:tc>
        <w:tc>
          <w:tcPr>
            <w:tcW w:type="dxa" w:w="6192"/>
            <w:shd w:fill="FFFFFF"/>
            <w:tcMar>
              <w:top w:w="60" w:type="dxa"/>
              <w:bottom w:w="60" w:type="dxa"/>
              <w:left w:w="100" w:type="dxa"/>
              <w:right w:w="100" w:type="dxa"/>
            </w:tcMar>
          </w:tcPr>
          <w:p>
            <w:r>
              <w:rPr>
                <w:rFonts w:ascii="Calibri" w:hAnsi="Calibri"/>
                <w:sz w:val="19"/>
              </w:rPr>
              <w:t>125 Million Parameters (~498 MB FP32 Safetensors Checkpoint)</w:t>
            </w:r>
          </w:p>
        </w:tc>
      </w:tr>
      <w:tr>
        <w:tc>
          <w:tcPr>
            <w:tcW w:type="dxa" w:w="3168"/>
            <w:shd w:fill="EDF2F7"/>
            <w:tcMar>
              <w:top w:w="60" w:type="dxa"/>
              <w:bottom w:w="60" w:type="dxa"/>
              <w:left w:w="100" w:type="dxa"/>
              <w:right w:w="100" w:type="dxa"/>
            </w:tcMar>
          </w:tcPr>
          <w:p>
            <w:r>
              <w:rPr>
                <w:rFonts w:ascii="Calibri" w:hAnsi="Calibri"/>
                <w:b/>
                <w:sz w:val="19"/>
              </w:rPr>
              <w:t>Tokenizer:</w:t>
            </w:r>
          </w:p>
        </w:tc>
        <w:tc>
          <w:tcPr>
            <w:tcW w:type="dxa" w:w="6192"/>
            <w:shd w:fill="FFFFFF"/>
            <w:tcMar>
              <w:top w:w="60" w:type="dxa"/>
              <w:bottom w:w="60" w:type="dxa"/>
              <w:left w:w="100" w:type="dxa"/>
              <w:right w:w="100" w:type="dxa"/>
            </w:tcMar>
          </w:tcPr>
          <w:p>
            <w:r>
              <w:rPr>
                <w:rFonts w:ascii="Calibri" w:hAnsi="Calibri"/>
                <w:sz w:val="19"/>
              </w:rPr>
              <w:t>Byte-Pair Encoding (BPE) with 50,265 Vocabulary Entries</w:t>
            </w:r>
          </w:p>
        </w:tc>
      </w:tr>
      <w:tr>
        <w:tc>
          <w:tcPr>
            <w:tcW w:type="dxa" w:w="3168"/>
            <w:shd w:fill="EDF2F7"/>
            <w:tcMar>
              <w:top w:w="60" w:type="dxa"/>
              <w:bottom w:w="60" w:type="dxa"/>
              <w:left w:w="100" w:type="dxa"/>
              <w:right w:w="100" w:type="dxa"/>
            </w:tcMar>
          </w:tcPr>
          <w:p>
            <w:r>
              <w:rPr>
                <w:rFonts w:ascii="Calibri" w:hAnsi="Calibri"/>
                <w:b/>
                <w:sz w:val="19"/>
              </w:rPr>
              <w:t>Fine-Tuned Domain:</w:t>
            </w:r>
          </w:p>
        </w:tc>
        <w:tc>
          <w:tcPr>
            <w:tcW w:type="dxa" w:w="6192"/>
            <w:shd w:fill="FFFFFF"/>
            <w:tcMar>
              <w:top w:w="60" w:type="dxa"/>
              <w:bottom w:w="60" w:type="dxa"/>
              <w:left w:w="100" w:type="dxa"/>
              <w:right w:w="100" w:type="dxa"/>
            </w:tcMar>
          </w:tcPr>
          <w:p>
            <w:r>
              <w:rPr>
                <w:rFonts w:ascii="Calibri" w:hAnsi="Calibri"/>
                <w:sz w:val="19"/>
              </w:rPr>
              <w:t>hamzab/roberta-fake-news-classification (Verified News vs. Fabricated Disinformation)</w:t>
            </w:r>
          </w:p>
        </w:tc>
      </w:tr>
      <w:tr>
        <w:tc>
          <w:tcPr>
            <w:tcW w:type="dxa" w:w="3168"/>
            <w:shd w:fill="EDF2F7"/>
            <w:tcMar>
              <w:top w:w="60" w:type="dxa"/>
              <w:bottom w:w="60" w:type="dxa"/>
              <w:left w:w="100" w:type="dxa"/>
              <w:right w:w="100" w:type="dxa"/>
            </w:tcMar>
          </w:tcPr>
          <w:p>
            <w:r>
              <w:rPr>
                <w:rFonts w:ascii="Calibri" w:hAnsi="Calibri"/>
                <w:b/>
                <w:sz w:val="19"/>
              </w:rPr>
              <w:t>Input Representation:</w:t>
            </w:r>
          </w:p>
        </w:tc>
        <w:tc>
          <w:tcPr>
            <w:tcW w:type="dxa" w:w="6192"/>
            <w:shd w:fill="FFFFFF"/>
            <w:tcMar>
              <w:top w:w="60" w:type="dxa"/>
              <w:bottom w:w="60" w:type="dxa"/>
              <w:left w:w="100" w:type="dxa"/>
              <w:right w:w="100" w:type="dxa"/>
            </w:tcMar>
          </w:tcPr>
          <w:p>
            <w:r>
              <w:rPr>
                <w:rFonts w:ascii="Calibri" w:hAnsi="Calibri"/>
                <w:sz w:val="19"/>
              </w:rPr>
              <w:t>512-Token Sliding Window with Self-Attention Positional Embeddings</w:t>
            </w:r>
          </w:p>
        </w:tc>
      </w:tr>
      <w:tr>
        <w:tc>
          <w:tcPr>
            <w:tcW w:type="dxa" w:w="3168"/>
            <w:shd w:fill="EDF2F7"/>
            <w:tcMar>
              <w:top w:w="60" w:type="dxa"/>
              <w:bottom w:w="60" w:type="dxa"/>
              <w:left w:w="100" w:type="dxa"/>
              <w:right w:w="100" w:type="dxa"/>
            </w:tcMar>
          </w:tcPr>
          <w:p>
            <w:r>
              <w:rPr>
                <w:rFonts w:ascii="Calibri" w:hAnsi="Calibri"/>
                <w:b/>
                <w:sz w:val="19"/>
              </w:rPr>
              <w:t>Inference Execution:</w:t>
            </w:r>
          </w:p>
        </w:tc>
        <w:tc>
          <w:tcPr>
            <w:tcW w:type="dxa" w:w="6192"/>
            <w:shd w:fill="FFFFFF"/>
            <w:tcMar>
              <w:top w:w="60" w:type="dxa"/>
              <w:bottom w:w="60" w:type="dxa"/>
              <w:left w:w="100" w:type="dxa"/>
              <w:right w:w="100" w:type="dxa"/>
            </w:tcMar>
          </w:tcPr>
          <w:p>
            <w:r>
              <w:rPr>
                <w:rFonts w:ascii="Calibri" w:hAnsi="Calibri"/>
                <w:sz w:val="19"/>
              </w:rPr>
              <w:t>Direct PyTorch Context Evaluation with Softmax Logit Calibration</w:t>
            </w:r>
          </w:p>
        </w:tc>
      </w:tr>
    </w:tbl>
    <w:p>
      <w:pPr>
        <w:spacing w:after="160"/>
      </w:pPr>
    </w:p>
    <w:p>
      <w:pPr>
        <w:pStyle w:val="Heading2"/>
        <w:keepNext/>
        <w:spacing w:before="240" w:after="80"/>
        <w:jc w:val="left"/>
      </w:pPr>
      <w:r>
        <w:rPr>
          <w:rFonts w:ascii="Calibri" w:hAnsi="Calibri"/>
          <w:b/>
          <w:color w:val="2B6CB0"/>
          <w:sz w:val="26"/>
        </w:rPr>
        <w:t>3.2 Multidimensional Credibility Scoring Mechanism</w:t>
      </w:r>
    </w:p>
    <w:p>
      <w:pPr>
        <w:spacing w:after="120" w:line="276" w:lineRule="auto"/>
        <w:jc w:val="both"/>
      </w:pPr>
      <w:r>
        <w:rPr>
          <w:rFonts w:ascii="Calibri" w:hAnsi="Calibri"/>
          <w:color w:val="2D3748"/>
          <w:sz w:val="22"/>
        </w:rPr>
        <w:t>Rather than relying strictly on raw neural classification logits, our implementation integrates a multi-layered credibility assessment engine that checks the transformer predictions against syntactic and stylometric markers:</w:t>
      </w:r>
    </w:p>
    <w:p>
      <w:pPr>
        <w:pStyle w:val="ListBullet"/>
        <w:spacing w:after="80" w:line="276" w:lineRule="auto"/>
        <w:ind w:left="432"/>
        <w:jc w:val="left"/>
      </w:pPr>
      <w:r>
        <w:rPr>
          <w:rFonts w:ascii="Calibri" w:hAnsi="Calibri"/>
          <w:b/>
          <w:color w:val="1A365D"/>
          <w:sz w:val="21"/>
        </w:rPr>
        <w:t xml:space="preserve">Neural Semantic Confidence: </w:t>
      </w:r>
      <w:r>
        <w:rPr>
          <w:rFonts w:ascii="Calibri" w:hAnsi="Calibri"/>
          <w:color w:val="2D3748"/>
          <w:sz w:val="21"/>
        </w:rPr>
        <w:t>The bidirectional attention matrices capture semantic cohesion across paragraphs, identifying subtle manipulative narratives and confirming authentic factual flow.</w:t>
      </w:r>
    </w:p>
    <w:p>
      <w:pPr>
        <w:pStyle w:val="ListBullet"/>
        <w:spacing w:after="80" w:line="276" w:lineRule="auto"/>
        <w:ind w:left="432"/>
        <w:jc w:val="left"/>
      </w:pPr>
      <w:r>
        <w:rPr>
          <w:rFonts w:ascii="Calibri" w:hAnsi="Calibri"/>
          <w:b/>
          <w:color w:val="1A365D"/>
          <w:sz w:val="21"/>
        </w:rPr>
        <w:t xml:space="preserve">Stylometric Density Analysis: </w:t>
      </w:r>
      <w:r>
        <w:rPr>
          <w:rFonts w:ascii="Calibri" w:hAnsi="Calibri"/>
          <w:color w:val="2D3748"/>
          <w:sz w:val="21"/>
        </w:rPr>
        <w:t>The engine computes punctuation entropy (excessive exclamation marks, capitalization patterns) and headline-style clickbait syntactical formulations.</w:t>
      </w:r>
    </w:p>
    <w:p>
      <w:pPr>
        <w:pStyle w:val="ListBullet"/>
        <w:spacing w:after="80" w:line="276" w:lineRule="auto"/>
        <w:ind w:left="432"/>
        <w:jc w:val="left"/>
      </w:pPr>
      <w:r>
        <w:rPr>
          <w:rFonts w:ascii="Calibri" w:hAnsi="Calibri"/>
          <w:b/>
          <w:color w:val="1A365D"/>
          <w:sz w:val="21"/>
        </w:rPr>
        <w:t xml:space="preserve">Attribution &amp; Sourcing Quotient: </w:t>
      </w:r>
      <w:r>
        <w:rPr>
          <w:rFonts w:ascii="Calibri" w:hAnsi="Calibri"/>
          <w:color w:val="2D3748"/>
          <w:sz w:val="21"/>
        </w:rPr>
        <w:t>Measures the presence of attribution markers ('according to', 'spokesperson said', 'published in the journal') to confirm rigorous investigative authorship.</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32" w:space="0" w:color="1A365D"/>
              <w:bottom w:val="none"/>
              <w:right w:val="none"/>
            </w:tcBorders>
          </w:tcPr>
          <w:p>
            <w:pPr>
              <w:spacing w:before="40" w:after="40" w:line="276" w:lineRule="auto"/>
              <w:jc w:val="left"/>
            </w:pPr>
            <w:r>
              <w:rPr>
                <w:rFonts w:ascii="Calibri" w:hAnsi="Calibri"/>
                <w:b/>
                <w:color w:val="1A365D"/>
                <w:sz w:val="21"/>
              </w:rPr>
              <w:t xml:space="preserve">MATHEMATICAL FOUNDATION: </w:t>
            </w:r>
            <w:r>
              <w:rPr>
                <w:rFonts w:ascii="Calibri" w:hAnsi="Calibri"/>
                <w:color w:val="2D3748"/>
                <w:sz w:val="20"/>
              </w:rPr>
              <w:t>The self-attention mechanism computes contextual relationship matrices across all 512 subword tokens simultaneously: Attention(Q, K, V) = softmax(Q K^T / sqrt(d_k)) V. This enables the model to perceive that an article quoting a controversial figure is not endorsing the controversy, eliminating false positives on journalistic reportage.</w:t>
            </w:r>
          </w:p>
        </w:tc>
      </w:tr>
    </w:tbl>
    <w:p>
      <w:pPr>
        <w:spacing w:after="120"/>
      </w:pPr>
    </w:p>
    <w:p>
      <w:r>
        <w:br w:type="page"/>
      </w:r>
    </w:p>
    <w:p>
      <w:pPr>
        <w:pStyle w:val="Heading1"/>
        <w:keepNext/>
        <w:spacing w:before="320" w:after="120"/>
        <w:jc w:val="left"/>
      </w:pPr>
      <w:r>
        <w:rPr>
          <w:rFonts w:ascii="Calibri" w:hAnsi="Calibri"/>
          <w:b/>
          <w:color w:val="1A365D"/>
          <w:sz w:val="32"/>
        </w:rPr>
        <w:t>4. Spatio-Temporal Video Forensics: The LipForensics Pipeline</w:t>
      </w:r>
    </w:p>
    <w:p>
      <w:pPr>
        <w:pStyle w:val="Heading2"/>
        <w:keepNext/>
        <w:spacing w:before="240" w:after="80"/>
        <w:jc w:val="left"/>
      </w:pPr>
      <w:r>
        <w:rPr>
          <w:rFonts w:ascii="Calibri" w:hAnsi="Calibri"/>
          <w:b/>
          <w:color w:val="2B6CB0"/>
          <w:sz w:val="26"/>
        </w:rPr>
        <w:t>4.1 High-Level Semantic Motion Modeling</w:t>
      </w:r>
    </w:p>
    <w:p>
      <w:pPr>
        <w:spacing w:after="120" w:line="276" w:lineRule="auto"/>
        <w:jc w:val="both"/>
      </w:pPr>
      <w:r>
        <w:rPr>
          <w:rFonts w:ascii="Calibri" w:hAnsi="Calibri"/>
          <w:color w:val="2D3748"/>
          <w:sz w:val="22"/>
        </w:rPr>
        <w:t>To establish robustness against video re-encoding and lossy compression, the deepfake video engine incorporates the LipForensics architecture (Haliassos et al., CVPR 2021). Instead of analyzing isolated pixel blending boundaries, LipForensics targets high-level semantic irregularities in human speech dynamics and mouth motion.</w:t>
      </w:r>
    </w:p>
    <w:p>
      <w:pPr>
        <w:pStyle w:val="Heading2"/>
        <w:keepNext/>
        <w:spacing w:before="240" w:after="80"/>
        <w:jc w:val="left"/>
      </w:pPr>
      <w:r>
        <w:rPr>
          <w:rFonts w:ascii="Calibri" w:hAnsi="Calibri"/>
          <w:b/>
          <w:color w:val="2B6CB0"/>
          <w:sz w:val="26"/>
        </w:rPr>
        <w:t>4.2 Five-Stage Video Analysis Pipeline</w:t>
      </w:r>
    </w:p>
    <w:p>
      <w:pPr>
        <w:pStyle w:val="ListBullet"/>
        <w:spacing w:after="80" w:line="276" w:lineRule="auto"/>
        <w:ind w:left="432"/>
        <w:jc w:val="left"/>
      </w:pPr>
      <w:r>
        <w:rPr>
          <w:rFonts w:ascii="Calibri" w:hAnsi="Calibri"/>
          <w:b/>
          <w:color w:val="1A365D"/>
          <w:sz w:val="21"/>
        </w:rPr>
        <w:t xml:space="preserve">Stage 1 — YuNet Deep Face Detection &amp; Landmark Extraction: </w:t>
      </w:r>
      <w:r>
        <w:rPr>
          <w:rFonts w:ascii="Calibri" w:hAnsi="Calibri"/>
          <w:color w:val="2D3748"/>
          <w:sz w:val="21"/>
        </w:rPr>
        <w:t>Every incoming video frame is processed through OpenCV YuNet (March 2023 ONNX runtime). YuNet extracts 5-point facial coordinates: right eye, left eye, nose tip, right mouth corner, and left mouth corner.</w:t>
      </w:r>
    </w:p>
    <w:p>
      <w:pPr>
        <w:pStyle w:val="ListBullet"/>
        <w:spacing w:after="80" w:line="276" w:lineRule="auto"/>
        <w:ind w:left="432"/>
        <w:jc w:val="left"/>
      </w:pPr>
      <w:r>
        <w:rPr>
          <w:rFonts w:ascii="Calibri" w:hAnsi="Calibri"/>
          <w:b/>
          <w:color w:val="1A365D"/>
          <w:sz w:val="21"/>
        </w:rPr>
        <w:t xml:space="preserve">Stage 2 — Mouth ROI Alignment &amp; Dynamic Spanning: </w:t>
      </w:r>
      <w:r>
        <w:rPr>
          <w:rFonts w:ascii="Calibri" w:hAnsi="Calibri"/>
          <w:color w:val="2D3748"/>
          <w:sz w:val="21"/>
        </w:rPr>
        <w:t>Using the Euclidean distance between mouth corners and bounding box scale, the system computes a centered mouth region of interest (ROI). The crop is converted to single-channel 8-bit grayscale and rescaled to 88×88 pixels.</w:t>
      </w:r>
    </w:p>
    <w:p>
      <w:pPr>
        <w:pStyle w:val="ListBullet"/>
        <w:spacing w:after="80" w:line="276" w:lineRule="auto"/>
        <w:ind w:left="432"/>
        <w:jc w:val="left"/>
      </w:pPr>
      <w:r>
        <w:rPr>
          <w:rFonts w:ascii="Calibri" w:hAnsi="Calibri"/>
          <w:b/>
          <w:color w:val="1A365D"/>
          <w:sz w:val="21"/>
        </w:rPr>
        <w:t xml:space="preserve">Stage 3 — Distributional Standardization: </w:t>
      </w:r>
      <w:r>
        <w:rPr>
          <w:rFonts w:ascii="Calibri" w:hAnsi="Calibri"/>
          <w:color w:val="2D3748"/>
          <w:sz w:val="21"/>
        </w:rPr>
        <w:t>Grayscale pixel values in [0, 255] are mapped to floating-point tensors in [0.0, 1.0] and normalized using official FaceForensics++ statistics: z = (x - 0.421) / 0.165.</w:t>
      </w:r>
    </w:p>
    <w:p>
      <w:pPr>
        <w:pStyle w:val="ListBullet"/>
        <w:spacing w:after="80" w:line="276" w:lineRule="auto"/>
        <w:ind w:left="432"/>
        <w:jc w:val="left"/>
      </w:pPr>
      <w:r>
        <w:rPr>
          <w:rFonts w:ascii="Calibri" w:hAnsi="Calibri"/>
          <w:b/>
          <w:color w:val="1A365D"/>
          <w:sz w:val="21"/>
        </w:rPr>
        <w:t xml:space="preserve">Stage 4 — Spatio-Temporal Feature Extraction (ResNet-18): </w:t>
      </w:r>
      <w:r>
        <w:rPr>
          <w:rFonts w:ascii="Calibri" w:hAnsi="Calibri"/>
          <w:color w:val="2D3748"/>
          <w:sz w:val="21"/>
        </w:rPr>
        <w:t>A 3D convolutional frontend (3×3×3 kernel) followed by a 2D ResNet-18 extracts rich spatio-temporal feature embeddings across consecutive 25-frame clips.</w:t>
      </w:r>
    </w:p>
    <w:p>
      <w:pPr>
        <w:pStyle w:val="ListBullet"/>
        <w:spacing w:after="80" w:line="276" w:lineRule="auto"/>
        <w:ind w:left="432"/>
        <w:jc w:val="left"/>
      </w:pPr>
      <w:r>
        <w:rPr>
          <w:rFonts w:ascii="Calibri" w:hAnsi="Calibri"/>
          <w:b/>
          <w:color w:val="1A365D"/>
          <w:sz w:val="21"/>
        </w:rPr>
        <w:t xml:space="preserve">Stage 5 — Multi-Scale Temporal CNN (MS-TCN): </w:t>
      </w:r>
      <w:r>
        <w:rPr>
          <w:rFonts w:ascii="Calibri" w:hAnsi="Calibri"/>
          <w:color w:val="2D3748"/>
          <w:sz w:val="21"/>
        </w:rPr>
        <w:t>The sequence of spatial feature vectors is processed through a Multi-Scale Temporal Convolutional Network employing dilated temporal convolutions to capture biomechanical speech rhythms across multiple time scales.</w:t>
      </w:r>
    </w:p>
    <w:p>
      <w:pPr>
        <w:spacing w:before="120" w:after="40"/>
        <w:jc w:val="left"/>
      </w:pPr>
      <w:r>
        <w:rPr>
          <w:rFonts w:ascii="Calibri" w:hAnsi="Calibri"/>
          <w:b/>
          <w:color w:val="4A5568"/>
          <w:sz w:val="19"/>
        </w:rPr>
        <w:t>Listing: LipForensics Tensor Pipeline &amp; Normalization</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40" w:type="dxa"/>
              <w:right w:w="140" w:type="dxa"/>
            </w:tcMar>
          </w:tcPr>
          <w:p>
            <w:pPr>
              <w:spacing w:after="0" w:line="252" w:lineRule="auto"/>
              <w:jc w:val="left"/>
            </w:pPr>
            <w:r>
              <w:rPr>
                <w:rFonts w:ascii="Consolas" w:hAnsi="Consolas"/>
                <w:color w:val="D4D4D4"/>
                <w:sz w:val="17"/>
              </w:rPr>
              <w:t># PyTorch Tensor Flow through LipForensics Engine</w:t>
              <w:br/>
              <w:t># Input Video Clip: 25 consecutive frames of 88x88 grayscale mouth crops</w:t>
              <w:br/>
              <w:t>clip_tensor = torch.from_numpy(mouth_crops).float() / 255.0  # Shape: (25, 88, 88)</w:t>
              <w:br/>
              <w:t>clip_tensor = (clip_tensor - 0.421) / 0.165                 # Standardization</w:t>
              <w:br/>
              <w:t>clip_tensor = clip_tensor.unsqueeze(0).unsqueeze(0)          # Shape: (1, 1, 25, 88, 88)</w:t>
              <w:br/>
              <w:br/>
              <w:t>with torch.no_grad():</w:t>
              <w:br/>
              <w:t xml:space="preserve">    logit = model(clip_tensor, lengths=[25])                 # MS-TCN Forward Pass</w:t>
              <w:br/>
              <w:t xml:space="preserve">    prob = 1.0 / (1.0 + math.exp(-logit.item()))            # Calibrated Anomaly Score</w:t>
            </w:r>
          </w:p>
        </w:tc>
      </w:tr>
    </w:tbl>
    <w:p>
      <w:pPr>
        <w:spacing w:after="120"/>
      </w:pPr>
    </w:p>
    <w:p>
      <w:r>
        <w:br w:type="page"/>
      </w:r>
    </w:p>
    <w:p>
      <w:pPr>
        <w:pStyle w:val="Heading1"/>
        <w:keepNext/>
        <w:spacing w:before="320" w:after="120"/>
        <w:jc w:val="left"/>
      </w:pPr>
      <w:r>
        <w:rPr>
          <w:rFonts w:ascii="Calibri" w:hAnsi="Calibri"/>
          <w:b/>
          <w:color w:val="1A365D"/>
          <w:sz w:val="32"/>
        </w:rPr>
        <w:t>5. Multimodal System Architecture &amp; Microservice Integration</w:t>
      </w:r>
    </w:p>
    <w:p>
      <w:pPr>
        <w:pStyle w:val="Heading2"/>
        <w:keepNext/>
        <w:spacing w:before="240" w:after="80"/>
        <w:jc w:val="left"/>
      </w:pPr>
      <w:r>
        <w:rPr>
          <w:rFonts w:ascii="Calibri" w:hAnsi="Calibri"/>
          <w:b/>
          <w:color w:val="2B6CB0"/>
          <w:sz w:val="26"/>
        </w:rPr>
        <w:t>5.1 Integrated Forensic Intelligence Pipeline</w:t>
      </w:r>
    </w:p>
    <w:p>
      <w:pPr>
        <w:spacing w:after="120" w:line="276" w:lineRule="auto"/>
        <w:jc w:val="both"/>
      </w:pPr>
      <w:r>
        <w:rPr>
          <w:rFonts w:ascii="Calibri" w:hAnsi="Calibri"/>
          <w:color w:val="2D3748"/>
          <w:sz w:val="22"/>
        </w:rPr>
        <w:t>The complete system operates as an integrated multimodal microservice, orchestrating text and video inference engines through a non-blocking asynchronous Flask service tier.</w:t>
      </w:r>
    </w:p>
    <w:p>
      <w:pPr>
        <w:spacing w:before="120" w:after="40"/>
        <w:jc w:val="left"/>
      </w:pPr>
      <w:r>
        <w:rPr>
          <w:rFonts w:ascii="Calibri" w:hAnsi="Calibri"/>
          <w:b/>
          <w:color w:val="4A5568"/>
          <w:sz w:val="19"/>
        </w:rPr>
        <w:t>Listing: Multimodal Forensic Architecture Diagram</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40" w:type="dxa"/>
              <w:right w:w="140" w:type="dxa"/>
            </w:tcMar>
          </w:tcPr>
          <w:p>
            <w:pPr>
              <w:spacing w:after="0" w:line="252" w:lineRule="auto"/>
              <w:jc w:val="left"/>
            </w:pPr>
            <w:r>
              <w:rPr>
                <w:rFonts w:ascii="Consolas" w:hAnsi="Consolas"/>
                <w:color w:val="D4D4D4"/>
                <w:sz w:val="17"/>
              </w:rPr>
              <w:t>+-----------------------------------------------------------------------------------+</w:t>
              <w:br/>
              <w:t>|                        CLIENT PRESENTATION TIER (ORYZO AI)                        |</w:t>
              <w:br/>
              <w:t>|       [ FakeLens Text Workbench ]               [ SIGNAL Deepfake Video Lens ]     |</w:t>
              <w:br/>
              <w:t>+-------------------------+-----------------------------------+---------------------+</w:t>
              <w:br/>
              <w:t xml:space="preserve">                          | REST / JSON                       | Multipart / Stream   </w:t>
              <w:br/>
              <w:t xml:space="preserve">                          v                                   v                      </w:t>
              <w:br/>
              <w:t>+-----------------------------------------------------------------------------------+</w:t>
              <w:br/>
              <w:t>|                       FLASK MICROSERVICE GATEWAY (app.py)                         |</w:t>
              <w:br/>
              <w:t>|  POST /predict (RoBERTa)   POST /detect (LipForensics)   GET /health (Telemetry)  |</w:t>
              <w:br/>
              <w:t>+-------------------------+-----------------------------------+---------------------+</w:t>
              <w:br/>
              <w:t xml:space="preserve">                          |                                   |                      </w:t>
              <w:br/>
              <w:t xml:space="preserve">        +-----------------+-----------------+                 |                      </w:t>
              <w:br/>
              <w:t xml:space="preserve">        v                                   v                 v                      </w:t>
              <w:br/>
              <w:t xml:space="preserve">+----------------------+   +---------------------+   +-----------------------------+ </w:t>
              <w:br/>
              <w:t xml:space="preserve">|  RoBERTa Transformer |   | TF-IDF Legacy Model |   | LipForensics Spatio-Temporal| </w:t>
              <w:br/>
              <w:t xml:space="preserve">| (125M BPE Contextual)|   | (Keyword Fallback)  |   | (YuNet + ResNet-18 + MS-TCN)| </w:t>
              <w:br/>
              <w:t xml:space="preserve">+----------------------+   +---------------------+   +-----------------------------+ </w:t>
              <w:br/>
              <w:t xml:space="preserve">        |                                                     |                      </w:t>
              <w:br/>
              <w:t xml:space="preserve">        +--------------------------+--------------------------+                      </w:t>
              <w:br/>
              <w:t xml:space="preserve">                                   v                                                 </w:t>
              <w:br/>
              <w:t>+-----------------------------------------------------------------------------------+</w:t>
              <w:br/>
              <w:t>|       3-TIER PROVISIONAL FORENSIC ASSESSMENT ENGINE (Authentic / Review / Fake)   |</w:t>
              <w:br/>
              <w:t>+-----------------------------------------------------------------------------------+</w:t>
            </w:r>
          </w:p>
        </w:tc>
      </w:tr>
    </w:tbl>
    <w:p>
      <w:pPr>
        <w:spacing w:after="120"/>
      </w:pPr>
    </w:p>
    <w:p>
      <w:pPr>
        <w:pStyle w:val="Heading2"/>
        <w:keepNext/>
        <w:spacing w:before="240" w:after="80"/>
        <w:jc w:val="left"/>
      </w:pPr>
      <w:r>
        <w:rPr>
          <w:rFonts w:ascii="Calibri" w:hAnsi="Calibri"/>
          <w:b/>
          <w:color w:val="2B6CB0"/>
          <w:sz w:val="26"/>
        </w:rPr>
        <w:t>5.2 Microservice REST API Specifications</w:t>
      </w:r>
    </w:p>
    <w:tbl>
      <w:tblPr>
        <w:tblW w:type="auto" w:w="0"/>
        <w:jc w:val="center"/>
        <w:tblLook w:firstColumn="1" w:firstRow="1" w:lastColumn="0" w:lastRow="0" w:noHBand="0" w:noVBand="1" w:val="04A0"/>
      </w:tblPr>
      <w:tblGrid>
        <w:gridCol w:w="3120"/>
        <w:gridCol w:w="3120"/>
        <w:gridCol w:w="3120"/>
      </w:tblGrid>
      <w:tr>
        <w:tc>
          <w:tcPr>
            <w:tcW w:type="dxa" w:w="2160"/>
            <w:shd w:fill="1A365D"/>
            <w:tcMar>
              <w:top w:w="100" w:type="dxa"/>
              <w:bottom w:w="100" w:type="dxa"/>
              <w:left w:w="120" w:type="dxa"/>
              <w:right w:w="120" w:type="dxa"/>
            </w:tcMar>
          </w:tcPr>
          <w:p>
            <w:pPr>
              <w:jc w:val="center"/>
            </w:pPr>
            <w:r>
              <w:rPr>
                <w:rFonts w:ascii="Calibri" w:hAnsi="Calibri"/>
                <w:b/>
                <w:color w:val="FFFFFF"/>
                <w:sz w:val="20"/>
              </w:rPr>
              <w:t>API Endpoint</w:t>
            </w:r>
          </w:p>
        </w:tc>
        <w:tc>
          <w:tcPr>
            <w:tcW w:type="dxa" w:w="2592"/>
            <w:shd w:fill="1A365D"/>
            <w:tcMar>
              <w:top w:w="100" w:type="dxa"/>
              <w:bottom w:w="100" w:type="dxa"/>
              <w:left w:w="120" w:type="dxa"/>
              <w:right w:w="120" w:type="dxa"/>
            </w:tcMar>
          </w:tcPr>
          <w:p>
            <w:pPr>
              <w:jc w:val="center"/>
            </w:pPr>
            <w:r>
              <w:rPr>
                <w:rFonts w:ascii="Calibri" w:hAnsi="Calibri"/>
                <w:b/>
                <w:color w:val="FFFFFF"/>
                <w:sz w:val="20"/>
              </w:rPr>
              <w:t>Request Payload</w:t>
            </w:r>
          </w:p>
        </w:tc>
        <w:tc>
          <w:tcPr>
            <w:tcW w:type="dxa" w:w="4608"/>
            <w:shd w:fill="1A365D"/>
            <w:tcMar>
              <w:top w:w="100" w:type="dxa"/>
              <w:bottom w:w="100" w:type="dxa"/>
              <w:left w:w="120" w:type="dxa"/>
              <w:right w:w="120" w:type="dxa"/>
            </w:tcMar>
          </w:tcPr>
          <w:p>
            <w:pPr>
              <w:jc w:val="center"/>
            </w:pPr>
            <w:r>
              <w:rPr>
                <w:rFonts w:ascii="Calibri" w:hAnsi="Calibri"/>
                <w:b/>
                <w:color w:val="FFFFFF"/>
                <w:sz w:val="20"/>
              </w:rPr>
              <w:t>Operational Function &amp; Response Schema</w:t>
            </w:r>
          </w:p>
        </w:tc>
      </w:tr>
      <w:tr>
        <w:tc>
          <w:tcPr>
            <w:tcW w:type="dxa" w:w="2160"/>
            <w:shd w:fill="FFFFFF"/>
            <w:tcMar>
              <w:top w:w="70" w:type="dxa"/>
              <w:bottom w:w="70" w:type="dxa"/>
              <w:left w:w="100" w:type="dxa"/>
              <w:right w:w="100" w:type="dxa"/>
            </w:tcMar>
          </w:tcPr>
          <w:p>
            <w:pPr>
              <w:jc w:val="left"/>
            </w:pPr>
            <w:r>
              <w:rPr>
                <w:rFonts w:ascii="Calibri" w:hAnsi="Calibri"/>
                <w:color w:val="2D3748"/>
                <w:sz w:val="19"/>
              </w:rPr>
              <w:t>POST /predict</w:t>
            </w:r>
          </w:p>
        </w:tc>
        <w:tc>
          <w:tcPr>
            <w:tcW w:type="dxa" w:w="2592"/>
            <w:shd w:fill="FFFFFF"/>
            <w:tcMar>
              <w:top w:w="70" w:type="dxa"/>
              <w:bottom w:w="70" w:type="dxa"/>
              <w:left w:w="100" w:type="dxa"/>
              <w:right w:w="100" w:type="dxa"/>
            </w:tcMar>
          </w:tcPr>
          <w:p>
            <w:pPr>
              <w:jc w:val="center"/>
            </w:pPr>
            <w:r>
              <w:rPr>
                <w:rFonts w:ascii="Calibri" w:hAnsi="Calibri"/>
                <w:color w:val="2D3748"/>
                <w:sz w:val="19"/>
              </w:rPr>
              <w:t>JSON: {text: string}</w:t>
            </w:r>
          </w:p>
        </w:tc>
        <w:tc>
          <w:tcPr>
            <w:tcW w:type="dxa" w:w="4608"/>
            <w:shd w:fill="FFFFFF"/>
            <w:tcMar>
              <w:top w:w="70" w:type="dxa"/>
              <w:bottom w:w="70" w:type="dxa"/>
              <w:left w:w="100" w:type="dxa"/>
              <w:right w:w="100" w:type="dxa"/>
            </w:tcMar>
          </w:tcPr>
          <w:p>
            <w:pPr>
              <w:jc w:val="center"/>
            </w:pPr>
            <w:r>
              <w:rPr>
                <w:rFonts w:ascii="Calibri" w:hAnsi="Calibri"/>
                <w:color w:val="2D3748"/>
                <w:sz w:val="19"/>
              </w:rPr>
              <w:t>Executes RoBERTa tokenization &amp; inference. Returns verdict (REAL/FAKE), confidence score, and engine metadata.</w:t>
            </w:r>
          </w:p>
        </w:tc>
      </w:tr>
      <w:tr>
        <w:tc>
          <w:tcPr>
            <w:tcW w:type="dxa" w:w="2160"/>
            <w:shd w:fill="F7FAFC"/>
            <w:tcMar>
              <w:top w:w="70" w:type="dxa"/>
              <w:bottom w:w="70" w:type="dxa"/>
              <w:left w:w="100" w:type="dxa"/>
              <w:right w:w="100" w:type="dxa"/>
            </w:tcMar>
          </w:tcPr>
          <w:p>
            <w:pPr>
              <w:jc w:val="left"/>
            </w:pPr>
            <w:r>
              <w:rPr>
                <w:rFonts w:ascii="Calibri" w:hAnsi="Calibri"/>
                <w:color w:val="2D3748"/>
                <w:sz w:val="19"/>
              </w:rPr>
              <w:t>POST /detect</w:t>
            </w:r>
          </w:p>
        </w:tc>
        <w:tc>
          <w:tcPr>
            <w:tcW w:type="dxa" w:w="2592"/>
            <w:shd w:fill="F7FAFC"/>
            <w:tcMar>
              <w:top w:w="70" w:type="dxa"/>
              <w:bottom w:w="70" w:type="dxa"/>
              <w:left w:w="100" w:type="dxa"/>
              <w:right w:w="100" w:type="dxa"/>
            </w:tcMar>
          </w:tcPr>
          <w:p>
            <w:pPr>
              <w:jc w:val="center"/>
            </w:pPr>
            <w:r>
              <w:rPr>
                <w:rFonts w:ascii="Calibri" w:hAnsi="Calibri"/>
                <w:color w:val="2D3748"/>
                <w:sz w:val="19"/>
              </w:rPr>
              <w:t>Multipart Form: video file</w:t>
            </w:r>
          </w:p>
        </w:tc>
        <w:tc>
          <w:tcPr>
            <w:tcW w:type="dxa" w:w="4608"/>
            <w:shd w:fill="F7FAFC"/>
            <w:tcMar>
              <w:top w:w="70" w:type="dxa"/>
              <w:bottom w:w="70" w:type="dxa"/>
              <w:left w:w="100" w:type="dxa"/>
              <w:right w:w="100" w:type="dxa"/>
            </w:tcMar>
          </w:tcPr>
          <w:p>
            <w:pPr>
              <w:jc w:val="center"/>
            </w:pPr>
            <w:r>
              <w:rPr>
                <w:rFonts w:ascii="Calibri" w:hAnsi="Calibri"/>
                <w:color w:val="2D3748"/>
                <w:sz w:val="19"/>
              </w:rPr>
              <w:t>Uploads video with 100MB quota check. Runs YuNet face tracking, mouth ROI extraction, and LipForensics MS-TCN scoring.</w:t>
            </w:r>
          </w:p>
        </w:tc>
      </w:tr>
      <w:tr>
        <w:tc>
          <w:tcPr>
            <w:tcW w:type="dxa" w:w="2160"/>
            <w:shd w:fill="FFFFFF"/>
            <w:tcMar>
              <w:top w:w="70" w:type="dxa"/>
              <w:bottom w:w="70" w:type="dxa"/>
              <w:left w:w="100" w:type="dxa"/>
              <w:right w:w="100" w:type="dxa"/>
            </w:tcMar>
          </w:tcPr>
          <w:p>
            <w:pPr>
              <w:jc w:val="left"/>
            </w:pPr>
            <w:r>
              <w:rPr>
                <w:rFonts w:ascii="Calibri" w:hAnsi="Calibri"/>
                <w:color w:val="2D3748"/>
                <w:sz w:val="19"/>
              </w:rPr>
              <w:t>GET /health</w:t>
            </w:r>
          </w:p>
        </w:tc>
        <w:tc>
          <w:tcPr>
            <w:tcW w:type="dxa" w:w="2592"/>
            <w:shd w:fill="FFFFFF"/>
            <w:tcMar>
              <w:top w:w="70" w:type="dxa"/>
              <w:bottom w:w="70" w:type="dxa"/>
              <w:left w:w="100" w:type="dxa"/>
              <w:right w:w="100" w:type="dxa"/>
            </w:tcMar>
          </w:tcPr>
          <w:p>
            <w:pPr>
              <w:jc w:val="center"/>
            </w:pPr>
            <w:r>
              <w:rPr>
                <w:rFonts w:ascii="Calibri" w:hAnsi="Calibri"/>
                <w:color w:val="2D3748"/>
                <w:sz w:val="19"/>
              </w:rPr>
              <w:t>None</w:t>
            </w:r>
          </w:p>
        </w:tc>
        <w:tc>
          <w:tcPr>
            <w:tcW w:type="dxa" w:w="4608"/>
            <w:shd w:fill="FFFFFF"/>
            <w:tcMar>
              <w:top w:w="70" w:type="dxa"/>
              <w:bottom w:w="70" w:type="dxa"/>
              <w:left w:w="100" w:type="dxa"/>
              <w:right w:w="100" w:type="dxa"/>
            </w:tcMar>
          </w:tcPr>
          <w:p>
            <w:pPr>
              <w:jc w:val="center"/>
            </w:pPr>
            <w:r>
              <w:rPr>
                <w:rFonts w:ascii="Calibri" w:hAnsi="Calibri"/>
                <w:color w:val="2D3748"/>
                <w:sz w:val="19"/>
              </w:rPr>
              <w:t>Returns real-time server telemetry: active backend, device (CPU/CUDA), loaded model checkpoints, and input limits.</w:t>
            </w:r>
          </w:p>
        </w:tc>
      </w:tr>
      <w:tr>
        <w:tc>
          <w:tcPr>
            <w:tcW w:type="dxa" w:w="2160"/>
            <w:shd w:fill="F7FAFC"/>
            <w:tcMar>
              <w:top w:w="70" w:type="dxa"/>
              <w:bottom w:w="70" w:type="dxa"/>
              <w:left w:w="100" w:type="dxa"/>
              <w:right w:w="100" w:type="dxa"/>
            </w:tcMar>
          </w:tcPr>
          <w:p>
            <w:pPr>
              <w:jc w:val="left"/>
            </w:pPr>
            <w:r>
              <w:rPr>
                <w:rFonts w:ascii="Calibri" w:hAnsi="Calibri"/>
                <w:color w:val="2D3748"/>
                <w:sz w:val="19"/>
              </w:rPr>
              <w:t>GET /config</w:t>
            </w:r>
          </w:p>
        </w:tc>
        <w:tc>
          <w:tcPr>
            <w:tcW w:type="dxa" w:w="2592"/>
            <w:shd w:fill="F7FAFC"/>
            <w:tcMar>
              <w:top w:w="70" w:type="dxa"/>
              <w:bottom w:w="70" w:type="dxa"/>
              <w:left w:w="100" w:type="dxa"/>
              <w:right w:w="100" w:type="dxa"/>
            </w:tcMar>
          </w:tcPr>
          <w:p>
            <w:pPr>
              <w:jc w:val="center"/>
            </w:pPr>
            <w:r>
              <w:rPr>
                <w:rFonts w:ascii="Calibri" w:hAnsi="Calibri"/>
                <w:color w:val="2D3748"/>
                <w:sz w:val="19"/>
              </w:rPr>
              <w:t>None</w:t>
            </w:r>
          </w:p>
        </w:tc>
        <w:tc>
          <w:tcPr>
            <w:tcW w:type="dxa" w:w="4608"/>
            <w:shd w:fill="F7FAFC"/>
            <w:tcMar>
              <w:top w:w="70" w:type="dxa"/>
              <w:bottom w:w="70" w:type="dxa"/>
              <w:left w:w="100" w:type="dxa"/>
              <w:right w:w="100" w:type="dxa"/>
            </w:tcMar>
          </w:tcPr>
          <w:p>
            <w:pPr>
              <w:jc w:val="center"/>
            </w:pPr>
            <w:r>
              <w:rPr>
                <w:rFonts w:ascii="Calibri" w:hAnsi="Calibri"/>
                <w:color w:val="2D3748"/>
                <w:sz w:val="19"/>
              </w:rPr>
              <w:t>Supplies frontend client with operational parameter thresholds (decision boundary: 0.50, review band: 0.40 - 0.90).</w:t>
            </w:r>
          </w:p>
        </w:tc>
      </w:tr>
    </w:tbl>
    <w:p>
      <w:r>
        <w:br w:type="page"/>
      </w:r>
    </w:p>
    <w:p>
      <w:pPr>
        <w:pStyle w:val="Heading1"/>
        <w:keepNext/>
        <w:spacing w:before="320" w:after="120"/>
        <w:jc w:val="left"/>
      </w:pPr>
      <w:r>
        <w:rPr>
          <w:rFonts w:ascii="Calibri" w:hAnsi="Calibri"/>
          <w:b/>
          <w:color w:val="1A365D"/>
          <w:sz w:val="32"/>
        </w:rPr>
        <w:t>6. Frontend Engineering &amp; Forensic Telemetry (ORYZO AI)</w:t>
      </w:r>
    </w:p>
    <w:p>
      <w:pPr>
        <w:pStyle w:val="Heading2"/>
        <w:keepNext/>
        <w:spacing w:before="240" w:after="80"/>
        <w:jc w:val="left"/>
      </w:pPr>
      <w:r>
        <w:rPr>
          <w:rFonts w:ascii="Calibri" w:hAnsi="Calibri"/>
          <w:b/>
          <w:color w:val="2B6CB0"/>
          <w:sz w:val="26"/>
        </w:rPr>
        <w:t>6.1 Design Philosophy: Darkroom Product Editorial</w:t>
      </w:r>
    </w:p>
    <w:p>
      <w:pPr>
        <w:spacing w:after="120" w:line="276" w:lineRule="auto"/>
        <w:jc w:val="both"/>
      </w:pPr>
      <w:r>
        <w:rPr>
          <w:rFonts w:ascii="Calibri" w:hAnsi="Calibri"/>
          <w:color w:val="2D3748"/>
          <w:sz w:val="22"/>
        </w:rPr>
        <w:t>The client interface was overhauled to adhere to the ORYZO AI design philosophy ('Darkroom Product Editorial'). The interface treats multimodal media verification like an archival museum artifact: full-bleed warm dark canvas, floating cream typography, generous negative space, and complete elimination of distracting UI chrome or drop shadows.</w:t>
      </w:r>
    </w:p>
    <w:p>
      <w:pPr>
        <w:pStyle w:val="Heading2"/>
        <w:keepNext/>
        <w:spacing w:before="240" w:after="80"/>
        <w:jc w:val="left"/>
      </w:pPr>
      <w:r>
        <w:rPr>
          <w:rFonts w:ascii="Calibri" w:hAnsi="Calibri"/>
          <w:b/>
          <w:color w:val="2B6CB0"/>
          <w:sz w:val="26"/>
        </w:rPr>
        <w:t>6.2 Strict Design Tokens &amp; Typographical Hierarchy</w:t>
      </w:r>
    </w:p>
    <w:tbl>
      <w:tblPr>
        <w:tblW w:type="auto" w:w="0"/>
        <w:jc w:val="center"/>
        <w:tblLook w:firstColumn="1" w:firstRow="1" w:lastColumn="0" w:lastRow="0" w:noHBand="0" w:noVBand="1" w:val="04A0"/>
      </w:tblPr>
      <w:tblGrid>
        <w:gridCol w:w="4680"/>
        <w:gridCol w:w="4680"/>
      </w:tblGrid>
      <w:tr>
        <w:tc>
          <w:tcPr>
            <w:tcW w:type="dxa" w:w="3456"/>
            <w:shd w:fill="1A365D"/>
            <w:tcMar>
              <w:top w:w="100" w:type="dxa"/>
              <w:bottom w:w="100" w:type="dxa"/>
              <w:left w:w="120" w:type="dxa"/>
              <w:right w:w="120" w:type="dxa"/>
            </w:tcMar>
          </w:tcPr>
          <w:p>
            <w:pPr>
              <w:jc w:val="center"/>
            </w:pPr>
            <w:r>
              <w:rPr>
                <w:rFonts w:ascii="Calibri" w:hAnsi="Calibri"/>
                <w:b/>
                <w:color w:val="FFFFFF"/>
                <w:sz w:val="20"/>
              </w:rPr>
              <w:t>Design Token / Chromatic Element</w:t>
            </w:r>
          </w:p>
        </w:tc>
        <w:tc>
          <w:tcPr>
            <w:tcW w:type="dxa" w:w="5904"/>
            <w:shd w:fill="1A365D"/>
            <w:tcMar>
              <w:top w:w="100" w:type="dxa"/>
              <w:bottom w:w="100" w:type="dxa"/>
              <w:left w:w="120" w:type="dxa"/>
              <w:right w:w="120" w:type="dxa"/>
            </w:tcMar>
          </w:tcPr>
          <w:p>
            <w:pPr>
              <w:jc w:val="center"/>
            </w:pPr>
            <w:r>
              <w:rPr>
                <w:rFonts w:ascii="Calibri" w:hAnsi="Calibri"/>
                <w:b/>
                <w:color w:val="FFFFFF"/>
                <w:sz w:val="20"/>
              </w:rPr>
              <w:t>Design Implementation &amp; Functional Purpose</w:t>
            </w:r>
          </w:p>
        </w:tc>
      </w:tr>
      <w:tr>
        <w:tc>
          <w:tcPr>
            <w:tcW w:type="dxa" w:w="3456"/>
            <w:shd w:fill="FFFFFF"/>
            <w:tcMar>
              <w:top w:w="70" w:type="dxa"/>
              <w:bottom w:w="70" w:type="dxa"/>
              <w:left w:w="100" w:type="dxa"/>
              <w:right w:w="100" w:type="dxa"/>
            </w:tcMar>
          </w:tcPr>
          <w:p>
            <w:pPr>
              <w:jc w:val="left"/>
            </w:pPr>
            <w:r>
              <w:rPr>
                <w:rFonts w:ascii="Calibri" w:hAnsi="Calibri"/>
                <w:color w:val="2D3748"/>
                <w:sz w:val="19"/>
              </w:rPr>
              <w:t>Walnut Shadow Canvas (#100904)</w:t>
            </w:r>
          </w:p>
        </w:tc>
        <w:tc>
          <w:tcPr>
            <w:tcW w:type="dxa" w:w="5904"/>
            <w:shd w:fill="FFFFFF"/>
            <w:tcMar>
              <w:top w:w="70" w:type="dxa"/>
              <w:bottom w:w="70" w:type="dxa"/>
              <w:left w:w="100" w:type="dxa"/>
              <w:right w:w="100" w:type="dxa"/>
            </w:tcMar>
          </w:tcPr>
          <w:p>
            <w:pPr>
              <w:jc w:val="center"/>
            </w:pPr>
            <w:r>
              <w:rPr>
                <w:rFonts w:ascii="Calibri" w:hAnsi="Calibri"/>
                <w:color w:val="2D3748"/>
                <w:sz w:val="19"/>
              </w:rPr>
              <w:t>Base background color providing maximum darkroom contrast without eye strain.</w:t>
            </w:r>
          </w:p>
        </w:tc>
      </w:tr>
      <w:tr>
        <w:tc>
          <w:tcPr>
            <w:tcW w:type="dxa" w:w="3456"/>
            <w:shd w:fill="F7FAFC"/>
            <w:tcMar>
              <w:top w:w="70" w:type="dxa"/>
              <w:bottom w:w="70" w:type="dxa"/>
              <w:left w:w="100" w:type="dxa"/>
              <w:right w:w="100" w:type="dxa"/>
            </w:tcMar>
          </w:tcPr>
          <w:p>
            <w:pPr>
              <w:jc w:val="left"/>
            </w:pPr>
            <w:r>
              <w:rPr>
                <w:rFonts w:ascii="Calibri" w:hAnsi="Calibri"/>
                <w:color w:val="2D3748"/>
                <w:sz w:val="19"/>
              </w:rPr>
              <w:t>Bark Brown Surfaces (#382416)</w:t>
            </w:r>
          </w:p>
        </w:tc>
        <w:tc>
          <w:tcPr>
            <w:tcW w:type="dxa" w:w="5904"/>
            <w:shd w:fill="F7FAFC"/>
            <w:tcMar>
              <w:top w:w="70" w:type="dxa"/>
              <w:bottom w:w="70" w:type="dxa"/>
              <w:left w:w="100" w:type="dxa"/>
              <w:right w:w="100" w:type="dxa"/>
            </w:tcMar>
          </w:tcPr>
          <w:p>
            <w:pPr>
              <w:jc w:val="center"/>
            </w:pPr>
            <w:r>
              <w:rPr>
                <w:rFonts w:ascii="Calibri" w:hAnsi="Calibri"/>
                <w:color w:val="2D3748"/>
                <w:sz w:val="19"/>
              </w:rPr>
              <w:t>Subtle elevated surface color for cards, metric panels, and operational viewports.</w:t>
            </w:r>
          </w:p>
        </w:tc>
      </w:tr>
      <w:tr>
        <w:tc>
          <w:tcPr>
            <w:tcW w:type="dxa" w:w="3456"/>
            <w:shd w:fill="FFFFFF"/>
            <w:tcMar>
              <w:top w:w="70" w:type="dxa"/>
              <w:bottom w:w="70" w:type="dxa"/>
              <w:left w:w="100" w:type="dxa"/>
              <w:right w:w="100" w:type="dxa"/>
            </w:tcMar>
          </w:tcPr>
          <w:p>
            <w:pPr>
              <w:jc w:val="left"/>
            </w:pPr>
            <w:r>
              <w:rPr>
                <w:rFonts w:ascii="Calibri" w:hAnsi="Calibri"/>
                <w:color w:val="2D3748"/>
                <w:sz w:val="19"/>
              </w:rPr>
              <w:t>Warm Cream Typography (#FFEDD7)</w:t>
            </w:r>
          </w:p>
        </w:tc>
        <w:tc>
          <w:tcPr>
            <w:tcW w:type="dxa" w:w="5904"/>
            <w:shd w:fill="FFFFFF"/>
            <w:tcMar>
              <w:top w:w="70" w:type="dxa"/>
              <w:bottom w:w="70" w:type="dxa"/>
              <w:left w:w="100" w:type="dxa"/>
              <w:right w:w="100" w:type="dxa"/>
            </w:tcMar>
          </w:tcPr>
          <w:p>
            <w:pPr>
              <w:jc w:val="center"/>
            </w:pPr>
            <w:r>
              <w:rPr>
                <w:rFonts w:ascii="Calibri" w:hAnsi="Calibri"/>
                <w:color w:val="2D3748"/>
                <w:sz w:val="19"/>
              </w:rPr>
              <w:t>Primary typographical voice, providing crisp readability across display headings.</w:t>
            </w:r>
          </w:p>
        </w:tc>
      </w:tr>
      <w:tr>
        <w:tc>
          <w:tcPr>
            <w:tcW w:type="dxa" w:w="3456"/>
            <w:shd w:fill="F7FAFC"/>
            <w:tcMar>
              <w:top w:w="70" w:type="dxa"/>
              <w:bottom w:w="70" w:type="dxa"/>
              <w:left w:w="100" w:type="dxa"/>
              <w:right w:w="100" w:type="dxa"/>
            </w:tcMar>
          </w:tcPr>
          <w:p>
            <w:pPr>
              <w:jc w:val="left"/>
            </w:pPr>
            <w:r>
              <w:rPr>
                <w:rFonts w:ascii="Calibri" w:hAnsi="Calibri"/>
                <w:color w:val="2D3748"/>
                <w:sz w:val="19"/>
              </w:rPr>
              <w:t>Cork Border Hairlines (#40372E)</w:t>
            </w:r>
          </w:p>
        </w:tc>
        <w:tc>
          <w:tcPr>
            <w:tcW w:type="dxa" w:w="5904"/>
            <w:shd w:fill="F7FAFC"/>
            <w:tcMar>
              <w:top w:w="70" w:type="dxa"/>
              <w:bottom w:w="70" w:type="dxa"/>
              <w:left w:w="100" w:type="dxa"/>
              <w:right w:w="100" w:type="dxa"/>
            </w:tcMar>
          </w:tcPr>
          <w:p>
            <w:pPr>
              <w:jc w:val="center"/>
            </w:pPr>
            <w:r>
              <w:rPr>
                <w:rFonts w:ascii="Calibri" w:hAnsi="Calibri"/>
                <w:color w:val="2D3748"/>
                <w:sz w:val="19"/>
              </w:rPr>
              <w:t>1px dashed and solid hairlines delineating forensic evidence zones cleanly.</w:t>
            </w:r>
          </w:p>
        </w:tc>
      </w:tr>
      <w:tr>
        <w:tc>
          <w:tcPr>
            <w:tcW w:type="dxa" w:w="3456"/>
            <w:shd w:fill="FFFFFF"/>
            <w:tcMar>
              <w:top w:w="70" w:type="dxa"/>
              <w:bottom w:w="70" w:type="dxa"/>
              <w:left w:w="100" w:type="dxa"/>
              <w:right w:w="100" w:type="dxa"/>
            </w:tcMar>
          </w:tcPr>
          <w:p>
            <w:pPr>
              <w:jc w:val="left"/>
            </w:pPr>
            <w:r>
              <w:rPr>
                <w:rFonts w:ascii="Calibri" w:hAnsi="Calibri"/>
                <w:color w:val="2D3748"/>
                <w:sz w:val="19"/>
              </w:rPr>
              <w:t>Ember Accent (#DC5000)</w:t>
            </w:r>
          </w:p>
        </w:tc>
        <w:tc>
          <w:tcPr>
            <w:tcW w:type="dxa" w:w="5904"/>
            <w:shd w:fill="FFFFFF"/>
            <w:tcMar>
              <w:top w:w="70" w:type="dxa"/>
              <w:bottom w:w="70" w:type="dxa"/>
              <w:left w:w="100" w:type="dxa"/>
              <w:right w:w="100" w:type="dxa"/>
            </w:tcMar>
          </w:tcPr>
          <w:p>
            <w:pPr>
              <w:jc w:val="center"/>
            </w:pPr>
            <w:r>
              <w:rPr>
                <w:rFonts w:ascii="Calibri" w:hAnsi="Calibri"/>
                <w:color w:val="2D3748"/>
                <w:sz w:val="19"/>
              </w:rPr>
              <w:t>A single vivid orange reserved strictly for high-severity forensic alerts and status badges.</w:t>
            </w:r>
          </w:p>
        </w:tc>
      </w:tr>
    </w:tbl>
    <w:p>
      <w:pPr>
        <w:spacing w:after="160"/>
      </w:pPr>
    </w:p>
    <w:p>
      <w:pPr>
        <w:pStyle w:val="Heading2"/>
        <w:keepNext/>
        <w:spacing w:before="240" w:after="80"/>
        <w:jc w:val="left"/>
      </w:pPr>
      <w:r>
        <w:rPr>
          <w:rFonts w:ascii="Calibri" w:hAnsi="Calibri"/>
          <w:b/>
          <w:color w:val="2B6CB0"/>
          <w:sz w:val="26"/>
        </w:rPr>
        <w:t>6.3 Interactive Forensic Telemetry Components</w:t>
      </w:r>
    </w:p>
    <w:p>
      <w:pPr>
        <w:pStyle w:val="ListBullet"/>
        <w:spacing w:after="80" w:line="276" w:lineRule="auto"/>
        <w:ind w:left="432"/>
        <w:jc w:val="left"/>
      </w:pPr>
      <w:r>
        <w:rPr>
          <w:rFonts w:ascii="Calibri" w:hAnsi="Calibri"/>
          <w:b/>
          <w:color w:val="1A365D"/>
          <w:sz w:val="21"/>
        </w:rPr>
        <w:t xml:space="preserve">Dynamic Active Engine Badges: </w:t>
      </w:r>
      <w:r>
        <w:rPr>
          <w:rFonts w:ascii="Calibri" w:hAnsi="Calibri"/>
          <w:color w:val="2D3748"/>
          <w:sz w:val="21"/>
        </w:rPr>
        <w:t>The interface queries `/health` asynchronously upon mount, displaying live engine tags ('RoBERTa Classification' for text, 'LipForensics (CVPR 2021)' for video).</w:t>
      </w:r>
    </w:p>
    <w:p>
      <w:pPr>
        <w:pStyle w:val="ListBullet"/>
        <w:spacing w:after="80" w:line="276" w:lineRule="auto"/>
        <w:ind w:left="432"/>
        <w:jc w:val="left"/>
      </w:pPr>
      <w:r>
        <w:rPr>
          <w:rFonts w:ascii="Calibri" w:hAnsi="Calibri"/>
          <w:b/>
          <w:color w:val="1A365D"/>
          <w:sz w:val="21"/>
        </w:rPr>
        <w:t xml:space="preserve">Bilingual Tabbed Dual-Lens Switching: </w:t>
      </w:r>
      <w:r>
        <w:rPr>
          <w:rFonts w:ascii="Calibri" w:hAnsi="Calibri"/>
          <w:color w:val="2D3748"/>
          <w:sz w:val="21"/>
        </w:rPr>
        <w:t>Enables operators to alternate between Text Lens and Video Lens without page refreshes, preserving uploaded assets and active telemetry states.</w:t>
      </w:r>
    </w:p>
    <w:p>
      <w:pPr>
        <w:pStyle w:val="ListBullet"/>
        <w:spacing w:after="80" w:line="276" w:lineRule="auto"/>
        <w:ind w:left="432"/>
        <w:jc w:val="left"/>
      </w:pPr>
      <w:r>
        <w:rPr>
          <w:rFonts w:ascii="Calibri" w:hAnsi="Calibri"/>
          <w:b/>
          <w:color w:val="1A365D"/>
          <w:sz w:val="21"/>
        </w:rPr>
        <w:t xml:space="preserve">Forensic Progress Animation: </w:t>
      </w:r>
      <w:r>
        <w:rPr>
          <w:rFonts w:ascii="Calibri" w:hAnsi="Calibri"/>
          <w:color w:val="2D3748"/>
          <w:sz w:val="21"/>
        </w:rPr>
        <w:t>A smooth, non-blocking telemetry bar reflects server processing states during model forward passes.</w:t>
      </w:r>
    </w:p>
    <w:p>
      <w:r>
        <w:br w:type="page"/>
      </w:r>
    </w:p>
    <w:p>
      <w:pPr>
        <w:pStyle w:val="Heading1"/>
        <w:keepNext/>
        <w:spacing w:before="320" w:after="120"/>
        <w:jc w:val="left"/>
      </w:pPr>
      <w:r>
        <w:rPr>
          <w:rFonts w:ascii="Calibri" w:hAnsi="Calibri"/>
          <w:b/>
          <w:color w:val="1A365D"/>
          <w:sz w:val="32"/>
        </w:rPr>
        <w:t>7. Quantitative Evaluation &amp; Comparative Model Impact</w:t>
      </w:r>
    </w:p>
    <w:p>
      <w:pPr>
        <w:pStyle w:val="Heading2"/>
        <w:keepNext/>
        <w:spacing w:before="240" w:after="80"/>
        <w:jc w:val="left"/>
      </w:pPr>
      <w:r>
        <w:rPr>
          <w:rFonts w:ascii="Calibri" w:hAnsi="Calibri"/>
          <w:b/>
          <w:color w:val="2B6CB0"/>
          <w:sz w:val="26"/>
        </w:rPr>
        <w:t>7.1 Comparative Text Model Benchmarks</w:t>
      </w:r>
    </w:p>
    <w:p>
      <w:pPr>
        <w:spacing w:after="120" w:line="276" w:lineRule="auto"/>
        <w:jc w:val="both"/>
      </w:pPr>
      <w:r>
        <w:rPr>
          <w:rFonts w:ascii="Calibri" w:hAnsi="Calibri"/>
          <w:color w:val="2D3748"/>
          <w:sz w:val="22"/>
        </w:rPr>
        <w:t>We evaluated the baseline TF-IDF Logistic Regression pipeline against our upgraded RoBERTa model across diverse benchmark corpora and real-world edge cases. The results prove the decisive superiority of deep contextual language representations:</w:t>
      </w:r>
    </w:p>
    <w:tbl>
      <w:tblPr>
        <w:tblW w:type="auto" w:w="0"/>
        <w:jc w:val="center"/>
        <w:tblLook w:firstColumn="1" w:firstRow="1" w:lastColumn="0" w:lastRow="0" w:noHBand="0" w:noVBand="1" w:val="04A0"/>
      </w:tblPr>
      <w:tblGrid>
        <w:gridCol w:w="2340"/>
        <w:gridCol w:w="2340"/>
        <w:gridCol w:w="2340"/>
        <w:gridCol w:w="2340"/>
      </w:tblGrid>
      <w:tr>
        <w:tc>
          <w:tcPr>
            <w:tcW w:type="dxa" w:w="2592"/>
            <w:shd w:fill="1A365D"/>
            <w:tcMar>
              <w:top w:w="100" w:type="dxa"/>
              <w:bottom w:w="100" w:type="dxa"/>
              <w:left w:w="120" w:type="dxa"/>
              <w:right w:w="120" w:type="dxa"/>
            </w:tcMar>
          </w:tcPr>
          <w:p>
            <w:pPr>
              <w:jc w:val="center"/>
            </w:pPr>
            <w:r>
              <w:rPr>
                <w:rFonts w:ascii="Calibri" w:hAnsi="Calibri"/>
                <w:b/>
                <w:color w:val="FFFFFF"/>
                <w:sz w:val="20"/>
              </w:rPr>
              <w:t>Test Input Classification</w:t>
            </w:r>
          </w:p>
        </w:tc>
        <w:tc>
          <w:tcPr>
            <w:tcW w:type="dxa" w:w="2016"/>
            <w:shd w:fill="1A365D"/>
            <w:tcMar>
              <w:top w:w="100" w:type="dxa"/>
              <w:bottom w:w="100" w:type="dxa"/>
              <w:left w:w="120" w:type="dxa"/>
              <w:right w:w="120" w:type="dxa"/>
            </w:tcMar>
          </w:tcPr>
          <w:p>
            <w:pPr>
              <w:jc w:val="center"/>
            </w:pPr>
            <w:r>
              <w:rPr>
                <w:rFonts w:ascii="Calibri" w:hAnsi="Calibri"/>
                <w:b/>
                <w:color w:val="FFFFFF"/>
                <w:sz w:val="20"/>
              </w:rPr>
              <w:t>TF-IDF Baseline</w:t>
            </w:r>
          </w:p>
        </w:tc>
        <w:tc>
          <w:tcPr>
            <w:tcW w:type="dxa" w:w="2304"/>
            <w:shd w:fill="1A365D"/>
            <w:tcMar>
              <w:top w:w="100" w:type="dxa"/>
              <w:bottom w:w="100" w:type="dxa"/>
              <w:left w:w="120" w:type="dxa"/>
              <w:right w:w="120" w:type="dxa"/>
            </w:tcMar>
          </w:tcPr>
          <w:p>
            <w:pPr>
              <w:jc w:val="center"/>
            </w:pPr>
            <w:r>
              <w:rPr>
                <w:rFonts w:ascii="Calibri" w:hAnsi="Calibri"/>
                <w:b/>
                <w:color w:val="FFFFFF"/>
                <w:sz w:val="20"/>
              </w:rPr>
              <w:t>RoBERTa (Upgraded)</w:t>
            </w:r>
          </w:p>
        </w:tc>
        <w:tc>
          <w:tcPr>
            <w:tcW w:type="dxa" w:w="2448"/>
            <w:shd w:fill="1A365D"/>
            <w:tcMar>
              <w:top w:w="100" w:type="dxa"/>
              <w:bottom w:w="100" w:type="dxa"/>
              <w:left w:w="120" w:type="dxa"/>
              <w:right w:w="120" w:type="dxa"/>
            </w:tcMar>
          </w:tcPr>
          <w:p>
            <w:pPr>
              <w:jc w:val="center"/>
            </w:pPr>
            <w:r>
              <w:rPr>
                <w:rFonts w:ascii="Calibri" w:hAnsi="Calibri"/>
                <w:b/>
                <w:color w:val="FFFFFF"/>
                <w:sz w:val="20"/>
              </w:rPr>
              <w:t>Forensic Delta / Impact</w:t>
            </w:r>
          </w:p>
        </w:tc>
      </w:tr>
      <w:tr>
        <w:tc>
          <w:tcPr>
            <w:tcW w:type="dxa" w:w="2592"/>
            <w:shd w:fill="FFFFFF"/>
            <w:tcMar>
              <w:top w:w="70" w:type="dxa"/>
              <w:bottom w:w="70" w:type="dxa"/>
              <w:left w:w="100" w:type="dxa"/>
              <w:right w:w="100" w:type="dxa"/>
            </w:tcMar>
          </w:tcPr>
          <w:p>
            <w:pPr>
              <w:jc w:val="left"/>
            </w:pPr>
            <w:r>
              <w:rPr>
                <w:rFonts w:ascii="Calibri" w:hAnsi="Calibri"/>
                <w:color w:val="2D3748"/>
                <w:sz w:val="19"/>
              </w:rPr>
              <w:t>Educational Paper (PBL)</w:t>
            </w:r>
          </w:p>
        </w:tc>
        <w:tc>
          <w:tcPr>
            <w:tcW w:type="dxa" w:w="2016"/>
            <w:shd w:fill="FFFFFF"/>
            <w:tcMar>
              <w:top w:w="70" w:type="dxa"/>
              <w:bottom w:w="70" w:type="dxa"/>
              <w:left w:w="100" w:type="dxa"/>
              <w:right w:w="100" w:type="dxa"/>
            </w:tcMar>
          </w:tcPr>
          <w:p>
            <w:pPr>
              <w:jc w:val="center"/>
            </w:pPr>
            <w:r>
              <w:rPr>
                <w:rFonts w:ascii="Calibri" w:hAnsi="Calibri"/>
                <w:color w:val="2D3748"/>
                <w:sz w:val="19"/>
              </w:rPr>
              <w:t>FAKE (100.0% conf.)</w:t>
            </w:r>
          </w:p>
        </w:tc>
        <w:tc>
          <w:tcPr>
            <w:tcW w:type="dxa" w:w="2304"/>
            <w:shd w:fill="FFFFFF"/>
            <w:tcMar>
              <w:top w:w="70" w:type="dxa"/>
              <w:bottom w:w="70" w:type="dxa"/>
              <w:left w:w="100" w:type="dxa"/>
              <w:right w:w="100" w:type="dxa"/>
            </w:tcMar>
          </w:tcPr>
          <w:p>
            <w:pPr>
              <w:jc w:val="center"/>
            </w:pPr>
            <w:r>
              <w:rPr>
                <w:rFonts w:ascii="Calibri" w:hAnsi="Calibri"/>
                <w:color w:val="2D3748"/>
                <w:sz w:val="19"/>
              </w:rPr>
              <w:t>REAL (96.2% conf.)</w:t>
            </w:r>
          </w:p>
        </w:tc>
        <w:tc>
          <w:tcPr>
            <w:tcW w:type="dxa" w:w="2448"/>
            <w:shd w:fill="FFFFFF"/>
            <w:tcMar>
              <w:top w:w="70" w:type="dxa"/>
              <w:bottom w:w="70" w:type="dxa"/>
              <w:left w:w="100" w:type="dxa"/>
              <w:right w:w="100" w:type="dxa"/>
            </w:tcMar>
          </w:tcPr>
          <w:p>
            <w:pPr>
              <w:jc w:val="center"/>
            </w:pPr>
            <w:r>
              <w:rPr>
                <w:rFonts w:ascii="Calibri" w:hAnsi="Calibri"/>
                <w:color w:val="2D3748"/>
                <w:sz w:val="19"/>
              </w:rPr>
              <w:t>Eliminated false positive (+96.2% delta)</w:t>
            </w:r>
          </w:p>
        </w:tc>
      </w:tr>
      <w:tr>
        <w:tc>
          <w:tcPr>
            <w:tcW w:type="dxa" w:w="2592"/>
            <w:shd w:fill="F7FAFC"/>
            <w:tcMar>
              <w:top w:w="70" w:type="dxa"/>
              <w:bottom w:w="70" w:type="dxa"/>
              <w:left w:w="100" w:type="dxa"/>
              <w:right w:w="100" w:type="dxa"/>
            </w:tcMar>
          </w:tcPr>
          <w:p>
            <w:pPr>
              <w:jc w:val="left"/>
            </w:pPr>
            <w:r>
              <w:rPr>
                <w:rFonts w:ascii="Calibri" w:hAnsi="Calibri"/>
                <w:color w:val="2D3748"/>
                <w:sz w:val="19"/>
              </w:rPr>
              <w:t>Reuters Diplomatic Wire</w:t>
            </w:r>
          </w:p>
        </w:tc>
        <w:tc>
          <w:tcPr>
            <w:tcW w:type="dxa" w:w="2016"/>
            <w:shd w:fill="F7FAFC"/>
            <w:tcMar>
              <w:top w:w="70" w:type="dxa"/>
              <w:bottom w:w="70" w:type="dxa"/>
              <w:left w:w="100" w:type="dxa"/>
              <w:right w:w="100" w:type="dxa"/>
            </w:tcMar>
          </w:tcPr>
          <w:p>
            <w:pPr>
              <w:jc w:val="center"/>
            </w:pPr>
            <w:r>
              <w:rPr>
                <w:rFonts w:ascii="Calibri" w:hAnsi="Calibri"/>
                <w:color w:val="2D3748"/>
                <w:sz w:val="19"/>
              </w:rPr>
              <w:t>REAL (62.4% conf.)</w:t>
            </w:r>
          </w:p>
        </w:tc>
        <w:tc>
          <w:tcPr>
            <w:tcW w:type="dxa" w:w="2304"/>
            <w:shd w:fill="F7FAFC"/>
            <w:tcMar>
              <w:top w:w="70" w:type="dxa"/>
              <w:bottom w:w="70" w:type="dxa"/>
              <w:left w:w="100" w:type="dxa"/>
              <w:right w:w="100" w:type="dxa"/>
            </w:tcMar>
          </w:tcPr>
          <w:p>
            <w:pPr>
              <w:jc w:val="center"/>
            </w:pPr>
            <w:r>
              <w:rPr>
                <w:rFonts w:ascii="Calibri" w:hAnsi="Calibri"/>
                <w:color w:val="2D3748"/>
                <w:sz w:val="19"/>
              </w:rPr>
              <w:t>REAL (99.8% conf.)</w:t>
            </w:r>
          </w:p>
        </w:tc>
        <w:tc>
          <w:tcPr>
            <w:tcW w:type="dxa" w:w="2448"/>
            <w:shd w:fill="F7FAFC"/>
            <w:tcMar>
              <w:top w:w="70" w:type="dxa"/>
              <w:bottom w:w="70" w:type="dxa"/>
              <w:left w:w="100" w:type="dxa"/>
              <w:right w:w="100" w:type="dxa"/>
            </w:tcMar>
          </w:tcPr>
          <w:p>
            <w:pPr>
              <w:jc w:val="center"/>
            </w:pPr>
            <w:r>
              <w:rPr>
                <w:rFonts w:ascii="Calibri" w:hAnsi="Calibri"/>
                <w:color w:val="2D3748"/>
                <w:sz w:val="19"/>
              </w:rPr>
              <w:t>+37.4% confidence &amp; semantic depth</w:t>
            </w:r>
          </w:p>
        </w:tc>
      </w:tr>
      <w:tr>
        <w:tc>
          <w:tcPr>
            <w:tcW w:type="dxa" w:w="2592"/>
            <w:shd w:fill="FFFFFF"/>
            <w:tcMar>
              <w:top w:w="70" w:type="dxa"/>
              <w:bottom w:w="70" w:type="dxa"/>
              <w:left w:w="100" w:type="dxa"/>
              <w:right w:w="100" w:type="dxa"/>
            </w:tcMar>
          </w:tcPr>
          <w:p>
            <w:pPr>
              <w:jc w:val="left"/>
            </w:pPr>
            <w:r>
              <w:rPr>
                <w:rFonts w:ascii="Calibri" w:hAnsi="Calibri"/>
                <w:color w:val="2D3748"/>
                <w:sz w:val="19"/>
              </w:rPr>
              <w:t>Conspiracy Clickbait</w:t>
            </w:r>
          </w:p>
        </w:tc>
        <w:tc>
          <w:tcPr>
            <w:tcW w:type="dxa" w:w="2016"/>
            <w:shd w:fill="FFFFFF"/>
            <w:tcMar>
              <w:top w:w="70" w:type="dxa"/>
              <w:bottom w:w="70" w:type="dxa"/>
              <w:left w:w="100" w:type="dxa"/>
              <w:right w:w="100" w:type="dxa"/>
            </w:tcMar>
          </w:tcPr>
          <w:p>
            <w:pPr>
              <w:jc w:val="center"/>
            </w:pPr>
            <w:r>
              <w:rPr>
                <w:rFonts w:ascii="Calibri" w:hAnsi="Calibri"/>
                <w:color w:val="2D3748"/>
                <w:sz w:val="19"/>
              </w:rPr>
              <w:t>FAKE (78.1% conf.)</w:t>
            </w:r>
          </w:p>
        </w:tc>
        <w:tc>
          <w:tcPr>
            <w:tcW w:type="dxa" w:w="2304"/>
            <w:shd w:fill="FFFFFF"/>
            <w:tcMar>
              <w:top w:w="70" w:type="dxa"/>
              <w:bottom w:w="70" w:type="dxa"/>
              <w:left w:w="100" w:type="dxa"/>
              <w:right w:w="100" w:type="dxa"/>
            </w:tcMar>
          </w:tcPr>
          <w:p>
            <w:pPr>
              <w:jc w:val="center"/>
            </w:pPr>
            <w:r>
              <w:rPr>
                <w:rFonts w:ascii="Calibri" w:hAnsi="Calibri"/>
                <w:color w:val="2D3748"/>
                <w:sz w:val="19"/>
              </w:rPr>
              <w:t>FAKE (98.9% conf.)</w:t>
            </w:r>
          </w:p>
        </w:tc>
        <w:tc>
          <w:tcPr>
            <w:tcW w:type="dxa" w:w="2448"/>
            <w:shd w:fill="FFFFFF"/>
            <w:tcMar>
              <w:top w:w="70" w:type="dxa"/>
              <w:bottom w:w="70" w:type="dxa"/>
              <w:left w:w="100" w:type="dxa"/>
              <w:right w:w="100" w:type="dxa"/>
            </w:tcMar>
          </w:tcPr>
          <w:p>
            <w:pPr>
              <w:jc w:val="center"/>
            </w:pPr>
            <w:r>
              <w:rPr>
                <w:rFonts w:ascii="Calibri" w:hAnsi="Calibri"/>
                <w:color w:val="2D3748"/>
                <w:sz w:val="19"/>
              </w:rPr>
              <w:t>+20.8% discrimination on sensationalism</w:t>
            </w:r>
          </w:p>
        </w:tc>
      </w:tr>
      <w:tr>
        <w:tc>
          <w:tcPr>
            <w:tcW w:type="dxa" w:w="2592"/>
            <w:shd w:fill="F7FAFC"/>
            <w:tcMar>
              <w:top w:w="70" w:type="dxa"/>
              <w:bottom w:w="70" w:type="dxa"/>
              <w:left w:w="100" w:type="dxa"/>
              <w:right w:w="100" w:type="dxa"/>
            </w:tcMar>
          </w:tcPr>
          <w:p>
            <w:pPr>
              <w:jc w:val="left"/>
            </w:pPr>
            <w:r>
              <w:rPr>
                <w:rFonts w:ascii="Calibri" w:hAnsi="Calibri"/>
                <w:color w:val="2D3748"/>
                <w:sz w:val="19"/>
              </w:rPr>
              <w:t>Scientific Medical Abstract</w:t>
            </w:r>
          </w:p>
        </w:tc>
        <w:tc>
          <w:tcPr>
            <w:tcW w:type="dxa" w:w="2016"/>
            <w:shd w:fill="F7FAFC"/>
            <w:tcMar>
              <w:top w:w="70" w:type="dxa"/>
              <w:bottom w:w="70" w:type="dxa"/>
              <w:left w:w="100" w:type="dxa"/>
              <w:right w:w="100" w:type="dxa"/>
            </w:tcMar>
          </w:tcPr>
          <w:p>
            <w:pPr>
              <w:jc w:val="center"/>
            </w:pPr>
            <w:r>
              <w:rPr>
                <w:rFonts w:ascii="Calibri" w:hAnsi="Calibri"/>
                <w:color w:val="2D3748"/>
                <w:sz w:val="19"/>
              </w:rPr>
              <w:t>FAKE (84.3% conf.)</w:t>
            </w:r>
          </w:p>
        </w:tc>
        <w:tc>
          <w:tcPr>
            <w:tcW w:type="dxa" w:w="2304"/>
            <w:shd w:fill="F7FAFC"/>
            <w:tcMar>
              <w:top w:w="70" w:type="dxa"/>
              <w:bottom w:w="70" w:type="dxa"/>
              <w:left w:w="100" w:type="dxa"/>
              <w:right w:w="100" w:type="dxa"/>
            </w:tcMar>
          </w:tcPr>
          <w:p>
            <w:pPr>
              <w:jc w:val="center"/>
            </w:pPr>
            <w:r>
              <w:rPr>
                <w:rFonts w:ascii="Calibri" w:hAnsi="Calibri"/>
                <w:color w:val="2D3748"/>
                <w:sz w:val="19"/>
              </w:rPr>
              <w:t>REAL (97.4% conf.)</w:t>
            </w:r>
          </w:p>
        </w:tc>
        <w:tc>
          <w:tcPr>
            <w:tcW w:type="dxa" w:w="2448"/>
            <w:shd w:fill="F7FAFC"/>
            <w:tcMar>
              <w:top w:w="70" w:type="dxa"/>
              <w:bottom w:w="70" w:type="dxa"/>
              <w:left w:w="100" w:type="dxa"/>
              <w:right w:w="100" w:type="dxa"/>
            </w:tcMar>
          </w:tcPr>
          <w:p>
            <w:pPr>
              <w:jc w:val="center"/>
            </w:pPr>
            <w:r>
              <w:rPr>
                <w:rFonts w:ascii="Calibri" w:hAnsi="Calibri"/>
                <w:color w:val="2D3748"/>
                <w:sz w:val="19"/>
              </w:rPr>
              <w:t>Overcame technical vocabulary bias</w:t>
            </w:r>
          </w:p>
        </w:tc>
      </w:tr>
      <w:tr>
        <w:tc>
          <w:tcPr>
            <w:tcW w:type="dxa" w:w="2592"/>
            <w:shd w:fill="FFFFFF"/>
            <w:tcMar>
              <w:top w:w="70" w:type="dxa"/>
              <w:bottom w:w="70" w:type="dxa"/>
              <w:left w:w="100" w:type="dxa"/>
              <w:right w:w="100" w:type="dxa"/>
            </w:tcMar>
          </w:tcPr>
          <w:p>
            <w:pPr>
              <w:jc w:val="left"/>
            </w:pPr>
            <w:r>
              <w:rPr>
                <w:rFonts w:ascii="Calibri" w:hAnsi="Calibri"/>
                <w:color w:val="2D3748"/>
                <w:sz w:val="19"/>
              </w:rPr>
              <w:t>Adversarial Formal Rewrite</w:t>
            </w:r>
          </w:p>
        </w:tc>
        <w:tc>
          <w:tcPr>
            <w:tcW w:type="dxa" w:w="2016"/>
            <w:shd w:fill="FFFFFF"/>
            <w:tcMar>
              <w:top w:w="70" w:type="dxa"/>
              <w:bottom w:w="70" w:type="dxa"/>
              <w:left w:w="100" w:type="dxa"/>
              <w:right w:w="100" w:type="dxa"/>
            </w:tcMar>
          </w:tcPr>
          <w:p>
            <w:pPr>
              <w:jc w:val="center"/>
            </w:pPr>
            <w:r>
              <w:rPr>
                <w:rFonts w:ascii="Calibri" w:hAnsi="Calibri"/>
                <w:color w:val="2D3748"/>
                <w:sz w:val="19"/>
              </w:rPr>
              <w:t>REAL (71.2% conf.)</w:t>
            </w:r>
          </w:p>
        </w:tc>
        <w:tc>
          <w:tcPr>
            <w:tcW w:type="dxa" w:w="2304"/>
            <w:shd w:fill="FFFFFF"/>
            <w:tcMar>
              <w:top w:w="70" w:type="dxa"/>
              <w:bottom w:w="70" w:type="dxa"/>
              <w:left w:w="100" w:type="dxa"/>
              <w:right w:w="100" w:type="dxa"/>
            </w:tcMar>
          </w:tcPr>
          <w:p>
            <w:pPr>
              <w:jc w:val="center"/>
            </w:pPr>
            <w:r>
              <w:rPr>
                <w:rFonts w:ascii="Calibri" w:hAnsi="Calibri"/>
                <w:color w:val="2D3748"/>
                <w:sz w:val="19"/>
              </w:rPr>
              <w:t>FAKE (94.6% conf.)</w:t>
            </w:r>
          </w:p>
        </w:tc>
        <w:tc>
          <w:tcPr>
            <w:tcW w:type="dxa" w:w="2448"/>
            <w:shd w:fill="FFFFFF"/>
            <w:tcMar>
              <w:top w:w="70" w:type="dxa"/>
              <w:bottom w:w="70" w:type="dxa"/>
              <w:left w:w="100" w:type="dxa"/>
              <w:right w:w="100" w:type="dxa"/>
            </w:tcMar>
          </w:tcPr>
          <w:p>
            <w:pPr>
              <w:jc w:val="center"/>
            </w:pPr>
            <w:r>
              <w:rPr>
                <w:rFonts w:ascii="Calibri" w:hAnsi="Calibri"/>
                <w:color w:val="2D3748"/>
                <w:sz w:val="19"/>
              </w:rPr>
              <w:t>Unmasked cloaked deceptive rhetoric</w:t>
            </w:r>
          </w:p>
        </w:tc>
      </w:tr>
    </w:tbl>
    <w:p>
      <w:pPr>
        <w:spacing w:after="200"/>
      </w:pPr>
    </w:p>
    <w:p>
      <w:pPr>
        <w:pStyle w:val="Heading2"/>
        <w:keepNext/>
        <w:spacing w:before="240" w:after="80"/>
        <w:jc w:val="left"/>
      </w:pPr>
      <w:r>
        <w:rPr>
          <w:rFonts w:ascii="Calibri" w:hAnsi="Calibri"/>
          <w:b/>
          <w:color w:val="2B6CB0"/>
          <w:sz w:val="26"/>
        </w:rPr>
        <w:t>7.2 Comparative Deepfake Video Model Benchmarks</w:t>
      </w:r>
    </w:p>
    <w:p>
      <w:pPr>
        <w:spacing w:after="120" w:line="276" w:lineRule="auto"/>
        <w:jc w:val="both"/>
      </w:pPr>
      <w:r>
        <w:rPr>
          <w:rFonts w:ascii="Calibri" w:hAnsi="Calibri"/>
          <w:color w:val="2D3748"/>
          <w:sz w:val="22"/>
        </w:rPr>
        <w:t>In video forensics, LipForensics was benchmarked against the single-frame Vision Transformer (ViT-Base-Patch16-224). The spatio-temporal modeling of mouth dynamics delivered superior resilience and execution efficiency:</w:t>
      </w:r>
    </w:p>
    <w:tbl>
      <w:tblPr>
        <w:tblW w:type="auto" w:w="0"/>
        <w:jc w:val="center"/>
        <w:tblLook w:firstColumn="1" w:firstRow="1" w:lastColumn="0" w:lastRow="0" w:noHBand="0" w:noVBand="1" w:val="04A0"/>
      </w:tblPr>
      <w:tblGrid>
        <w:gridCol w:w="2340"/>
        <w:gridCol w:w="2340"/>
        <w:gridCol w:w="2340"/>
        <w:gridCol w:w="2340"/>
      </w:tblGrid>
      <w:tr>
        <w:tc>
          <w:tcPr>
            <w:tcW w:type="dxa" w:w="2592"/>
            <w:shd w:fill="1A365D"/>
            <w:tcMar>
              <w:top w:w="100" w:type="dxa"/>
              <w:bottom w:w="100" w:type="dxa"/>
              <w:left w:w="120" w:type="dxa"/>
              <w:right w:w="120" w:type="dxa"/>
            </w:tcMar>
          </w:tcPr>
          <w:p>
            <w:pPr>
              <w:jc w:val="center"/>
            </w:pPr>
            <w:r>
              <w:rPr>
                <w:rFonts w:ascii="Calibri" w:hAnsi="Calibri"/>
                <w:b/>
                <w:color w:val="FFFFFF"/>
                <w:sz w:val="20"/>
              </w:rPr>
              <w:t>Performance Metric</w:t>
            </w:r>
          </w:p>
        </w:tc>
        <w:tc>
          <w:tcPr>
            <w:tcW w:type="dxa" w:w="2016"/>
            <w:shd w:fill="1A365D"/>
            <w:tcMar>
              <w:top w:w="100" w:type="dxa"/>
              <w:bottom w:w="100" w:type="dxa"/>
              <w:left w:w="120" w:type="dxa"/>
              <w:right w:w="120" w:type="dxa"/>
            </w:tcMar>
          </w:tcPr>
          <w:p>
            <w:pPr>
              <w:jc w:val="center"/>
            </w:pPr>
            <w:r>
              <w:rPr>
                <w:rFonts w:ascii="Calibri" w:hAnsi="Calibri"/>
                <w:b/>
                <w:color w:val="FFFFFF"/>
                <w:sz w:val="20"/>
              </w:rPr>
              <w:t>Static 2D ViT Baseline</w:t>
            </w:r>
          </w:p>
        </w:tc>
        <w:tc>
          <w:tcPr>
            <w:tcW w:type="dxa" w:w="2304"/>
            <w:shd w:fill="1A365D"/>
            <w:tcMar>
              <w:top w:w="100" w:type="dxa"/>
              <w:bottom w:w="100" w:type="dxa"/>
              <w:left w:w="120" w:type="dxa"/>
              <w:right w:w="120" w:type="dxa"/>
            </w:tcMar>
          </w:tcPr>
          <w:p>
            <w:pPr>
              <w:jc w:val="center"/>
            </w:pPr>
            <w:r>
              <w:rPr>
                <w:rFonts w:ascii="Calibri" w:hAnsi="Calibri"/>
                <w:b/>
                <w:color w:val="FFFFFF"/>
                <w:sz w:val="20"/>
              </w:rPr>
              <w:t>LipForensics (CVPR 2021)</w:t>
            </w:r>
          </w:p>
        </w:tc>
        <w:tc>
          <w:tcPr>
            <w:tcW w:type="dxa" w:w="2448"/>
            <w:shd w:fill="1A365D"/>
            <w:tcMar>
              <w:top w:w="100" w:type="dxa"/>
              <w:bottom w:w="100" w:type="dxa"/>
              <w:left w:w="120" w:type="dxa"/>
              <w:right w:w="120" w:type="dxa"/>
            </w:tcMar>
          </w:tcPr>
          <w:p>
            <w:pPr>
              <w:jc w:val="center"/>
            </w:pPr>
            <w:r>
              <w:rPr>
                <w:rFonts w:ascii="Calibri" w:hAnsi="Calibri"/>
                <w:b/>
                <w:color w:val="FFFFFF"/>
                <w:sz w:val="20"/>
              </w:rPr>
              <w:t>Forensic Advantage</w:t>
            </w:r>
          </w:p>
        </w:tc>
      </w:tr>
      <w:tr>
        <w:tc>
          <w:tcPr>
            <w:tcW w:type="dxa" w:w="2592"/>
            <w:shd w:fill="FFFFFF"/>
            <w:tcMar>
              <w:top w:w="70" w:type="dxa"/>
              <w:bottom w:w="70" w:type="dxa"/>
              <w:left w:w="100" w:type="dxa"/>
              <w:right w:w="100" w:type="dxa"/>
            </w:tcMar>
          </w:tcPr>
          <w:p>
            <w:pPr>
              <w:jc w:val="left"/>
            </w:pPr>
            <w:r>
              <w:rPr>
                <w:rFonts w:ascii="Calibri" w:hAnsi="Calibri"/>
                <w:color w:val="2D3748"/>
                <w:sz w:val="19"/>
              </w:rPr>
              <w:t>Temporal Coherence Modeling</w:t>
            </w:r>
          </w:p>
        </w:tc>
        <w:tc>
          <w:tcPr>
            <w:tcW w:type="dxa" w:w="2016"/>
            <w:shd w:fill="FFFFFF"/>
            <w:tcMar>
              <w:top w:w="70" w:type="dxa"/>
              <w:bottom w:w="70" w:type="dxa"/>
              <w:left w:w="100" w:type="dxa"/>
              <w:right w:w="100" w:type="dxa"/>
            </w:tcMar>
          </w:tcPr>
          <w:p>
            <w:pPr>
              <w:jc w:val="center"/>
            </w:pPr>
            <w:r>
              <w:rPr>
                <w:rFonts w:ascii="Calibri" w:hAnsi="Calibri"/>
                <w:color w:val="2D3748"/>
                <w:sz w:val="19"/>
              </w:rPr>
              <w:t>None (Static Frames)</w:t>
            </w:r>
          </w:p>
        </w:tc>
        <w:tc>
          <w:tcPr>
            <w:tcW w:type="dxa" w:w="2304"/>
            <w:shd w:fill="FFFFFF"/>
            <w:tcMar>
              <w:top w:w="70" w:type="dxa"/>
              <w:bottom w:w="70" w:type="dxa"/>
              <w:left w:w="100" w:type="dxa"/>
              <w:right w:w="100" w:type="dxa"/>
            </w:tcMar>
          </w:tcPr>
          <w:p>
            <w:pPr>
              <w:jc w:val="center"/>
            </w:pPr>
            <w:r>
              <w:rPr>
                <w:rFonts w:ascii="Calibri" w:hAnsi="Calibri"/>
                <w:color w:val="2D3748"/>
                <w:sz w:val="19"/>
              </w:rPr>
              <w:t>25-Frame MS-TCN Convolutions</w:t>
            </w:r>
          </w:p>
        </w:tc>
        <w:tc>
          <w:tcPr>
            <w:tcW w:type="dxa" w:w="2448"/>
            <w:shd w:fill="FFFFFF"/>
            <w:tcMar>
              <w:top w:w="70" w:type="dxa"/>
              <w:bottom w:w="70" w:type="dxa"/>
              <w:left w:w="100" w:type="dxa"/>
              <w:right w:w="100" w:type="dxa"/>
            </w:tcMar>
          </w:tcPr>
          <w:p>
            <w:pPr>
              <w:jc w:val="center"/>
            </w:pPr>
            <w:r>
              <w:rPr>
                <w:rFonts w:ascii="Calibri" w:hAnsi="Calibri"/>
                <w:color w:val="2D3748"/>
                <w:sz w:val="19"/>
              </w:rPr>
              <w:t>Tracks speech rhythm &amp; micro-jitters</w:t>
            </w:r>
          </w:p>
        </w:tc>
      </w:tr>
      <w:tr>
        <w:tc>
          <w:tcPr>
            <w:tcW w:type="dxa" w:w="2592"/>
            <w:shd w:fill="F7FAFC"/>
            <w:tcMar>
              <w:top w:w="70" w:type="dxa"/>
              <w:bottom w:w="70" w:type="dxa"/>
              <w:left w:w="100" w:type="dxa"/>
              <w:right w:w="100" w:type="dxa"/>
            </w:tcMar>
          </w:tcPr>
          <w:p>
            <w:pPr>
              <w:jc w:val="left"/>
            </w:pPr>
            <w:r>
              <w:rPr>
                <w:rFonts w:ascii="Calibri" w:hAnsi="Calibri"/>
                <w:color w:val="2D3748"/>
                <w:sz w:val="19"/>
              </w:rPr>
              <w:t>H.264 High Compression (CRF 32)</w:t>
            </w:r>
          </w:p>
        </w:tc>
        <w:tc>
          <w:tcPr>
            <w:tcW w:type="dxa" w:w="2016"/>
            <w:shd w:fill="F7FAFC"/>
            <w:tcMar>
              <w:top w:w="70" w:type="dxa"/>
              <w:bottom w:w="70" w:type="dxa"/>
              <w:left w:w="100" w:type="dxa"/>
              <w:right w:w="100" w:type="dxa"/>
            </w:tcMar>
          </w:tcPr>
          <w:p>
            <w:pPr>
              <w:jc w:val="center"/>
            </w:pPr>
            <w:r>
              <w:rPr>
                <w:rFonts w:ascii="Calibri" w:hAnsi="Calibri"/>
                <w:color w:val="2D3748"/>
                <w:sz w:val="19"/>
              </w:rPr>
              <w:t>Accuracy drops ~42%</w:t>
            </w:r>
          </w:p>
        </w:tc>
        <w:tc>
          <w:tcPr>
            <w:tcW w:type="dxa" w:w="2304"/>
            <w:shd w:fill="F7FAFC"/>
            <w:tcMar>
              <w:top w:w="70" w:type="dxa"/>
              <w:bottom w:w="70" w:type="dxa"/>
              <w:left w:w="100" w:type="dxa"/>
              <w:right w:w="100" w:type="dxa"/>
            </w:tcMar>
          </w:tcPr>
          <w:p>
            <w:pPr>
              <w:jc w:val="center"/>
            </w:pPr>
            <w:r>
              <w:rPr>
                <w:rFonts w:ascii="Calibri" w:hAnsi="Calibri"/>
                <w:color w:val="2D3748"/>
                <w:sz w:val="19"/>
              </w:rPr>
              <w:t>Robust (Semantic Features)</w:t>
            </w:r>
          </w:p>
        </w:tc>
        <w:tc>
          <w:tcPr>
            <w:tcW w:type="dxa" w:w="2448"/>
            <w:shd w:fill="F7FAFC"/>
            <w:tcMar>
              <w:top w:w="70" w:type="dxa"/>
              <w:bottom w:w="70" w:type="dxa"/>
              <w:left w:w="100" w:type="dxa"/>
              <w:right w:w="100" w:type="dxa"/>
            </w:tcMar>
          </w:tcPr>
          <w:p>
            <w:pPr>
              <w:jc w:val="center"/>
            </w:pPr>
            <w:r>
              <w:rPr>
                <w:rFonts w:ascii="Calibri" w:hAnsi="Calibri"/>
                <w:color w:val="2D3748"/>
                <w:sz w:val="19"/>
              </w:rPr>
              <w:t>Resists lossy DCT quantization</w:t>
            </w:r>
          </w:p>
        </w:tc>
      </w:tr>
      <w:tr>
        <w:tc>
          <w:tcPr>
            <w:tcW w:type="dxa" w:w="2592"/>
            <w:shd w:fill="FFFFFF"/>
            <w:tcMar>
              <w:top w:w="70" w:type="dxa"/>
              <w:bottom w:w="70" w:type="dxa"/>
              <w:left w:w="100" w:type="dxa"/>
              <w:right w:w="100" w:type="dxa"/>
            </w:tcMar>
          </w:tcPr>
          <w:p>
            <w:pPr>
              <w:jc w:val="left"/>
            </w:pPr>
            <w:r>
              <w:rPr>
                <w:rFonts w:ascii="Calibri" w:hAnsi="Calibri"/>
                <w:color w:val="2D3748"/>
                <w:sz w:val="19"/>
              </w:rPr>
              <w:t>Authentic Face Video Evaluation</w:t>
            </w:r>
          </w:p>
        </w:tc>
        <w:tc>
          <w:tcPr>
            <w:tcW w:type="dxa" w:w="2016"/>
            <w:shd w:fill="FFFFFF"/>
            <w:tcMar>
              <w:top w:w="70" w:type="dxa"/>
              <w:bottom w:w="70" w:type="dxa"/>
              <w:left w:w="100" w:type="dxa"/>
              <w:right w:w="100" w:type="dxa"/>
            </w:tcMar>
          </w:tcPr>
          <w:p>
            <w:pPr>
              <w:jc w:val="center"/>
            </w:pPr>
            <w:r>
              <w:rPr>
                <w:rFonts w:ascii="Calibri" w:hAnsi="Calibri"/>
                <w:color w:val="2D3748"/>
                <w:sz w:val="19"/>
              </w:rPr>
              <w:t>Inconclusive (0.48-0.55)</w:t>
            </w:r>
          </w:p>
        </w:tc>
        <w:tc>
          <w:tcPr>
            <w:tcW w:type="dxa" w:w="2304"/>
            <w:shd w:fill="FFFFFF"/>
            <w:tcMar>
              <w:top w:w="70" w:type="dxa"/>
              <w:bottom w:w="70" w:type="dxa"/>
              <w:left w:w="100" w:type="dxa"/>
              <w:right w:w="100" w:type="dxa"/>
            </w:tcMar>
          </w:tcPr>
          <w:p>
            <w:pPr>
              <w:jc w:val="center"/>
            </w:pPr>
            <w:r>
              <w:rPr>
                <w:rFonts w:ascii="Calibri" w:hAnsi="Calibri"/>
                <w:color w:val="2D3748"/>
                <w:sz w:val="19"/>
              </w:rPr>
              <w:t>REAL (0.0037 Fake / 99.63%)</w:t>
            </w:r>
          </w:p>
        </w:tc>
        <w:tc>
          <w:tcPr>
            <w:tcW w:type="dxa" w:w="2448"/>
            <w:shd w:fill="FFFFFF"/>
            <w:tcMar>
              <w:top w:w="70" w:type="dxa"/>
              <w:bottom w:w="70" w:type="dxa"/>
              <w:left w:w="100" w:type="dxa"/>
              <w:right w:w="100" w:type="dxa"/>
            </w:tcMar>
          </w:tcPr>
          <w:p>
            <w:pPr>
              <w:jc w:val="center"/>
            </w:pPr>
            <w:r>
              <w:rPr>
                <w:rFonts w:ascii="Calibri" w:hAnsi="Calibri"/>
                <w:color w:val="2D3748"/>
                <w:sz w:val="19"/>
              </w:rPr>
              <w:t>High calibration on natural speech</w:t>
            </w:r>
          </w:p>
        </w:tc>
      </w:tr>
      <w:tr>
        <w:tc>
          <w:tcPr>
            <w:tcW w:type="dxa" w:w="2592"/>
            <w:shd w:fill="F7FAFC"/>
            <w:tcMar>
              <w:top w:w="70" w:type="dxa"/>
              <w:bottom w:w="70" w:type="dxa"/>
              <w:left w:w="100" w:type="dxa"/>
              <w:right w:w="100" w:type="dxa"/>
            </w:tcMar>
          </w:tcPr>
          <w:p>
            <w:pPr>
              <w:jc w:val="left"/>
            </w:pPr>
            <w:r>
              <w:rPr>
                <w:rFonts w:ascii="Calibri" w:hAnsi="Calibri"/>
                <w:color w:val="2D3748"/>
                <w:sz w:val="19"/>
              </w:rPr>
              <w:t>Execution Latency (CPU)</w:t>
            </w:r>
          </w:p>
        </w:tc>
        <w:tc>
          <w:tcPr>
            <w:tcW w:type="dxa" w:w="2016"/>
            <w:shd w:fill="F7FAFC"/>
            <w:tcMar>
              <w:top w:w="70" w:type="dxa"/>
              <w:bottom w:w="70" w:type="dxa"/>
              <w:left w:w="100" w:type="dxa"/>
              <w:right w:w="100" w:type="dxa"/>
            </w:tcMar>
          </w:tcPr>
          <w:p>
            <w:pPr>
              <w:jc w:val="center"/>
            </w:pPr>
            <w:r>
              <w:rPr>
                <w:rFonts w:ascii="Calibri" w:hAnsi="Calibri"/>
                <w:color w:val="2D3748"/>
                <w:sz w:val="19"/>
              </w:rPr>
              <w:t>1.8 - 3.2 seconds</w:t>
            </w:r>
          </w:p>
        </w:tc>
        <w:tc>
          <w:tcPr>
            <w:tcW w:type="dxa" w:w="2304"/>
            <w:shd w:fill="F7FAFC"/>
            <w:tcMar>
              <w:top w:w="70" w:type="dxa"/>
              <w:bottom w:w="70" w:type="dxa"/>
              <w:left w:w="100" w:type="dxa"/>
              <w:right w:w="100" w:type="dxa"/>
            </w:tcMar>
          </w:tcPr>
          <w:p>
            <w:pPr>
              <w:jc w:val="center"/>
            </w:pPr>
            <w:r>
              <w:rPr>
                <w:rFonts w:ascii="Calibri" w:hAnsi="Calibri"/>
                <w:color w:val="2D3748"/>
                <w:sz w:val="19"/>
              </w:rPr>
              <w:t>0.24 - 0.52 seconds</w:t>
            </w:r>
          </w:p>
        </w:tc>
        <w:tc>
          <w:tcPr>
            <w:tcW w:type="dxa" w:w="2448"/>
            <w:shd w:fill="F7FAFC"/>
            <w:tcMar>
              <w:top w:w="70" w:type="dxa"/>
              <w:bottom w:w="70" w:type="dxa"/>
              <w:left w:w="100" w:type="dxa"/>
              <w:right w:w="100" w:type="dxa"/>
            </w:tcMar>
          </w:tcPr>
          <w:p>
            <w:pPr>
              <w:jc w:val="center"/>
            </w:pPr>
            <w:r>
              <w:rPr>
                <w:rFonts w:ascii="Calibri" w:hAnsi="Calibri"/>
                <w:color w:val="2D3748"/>
                <w:sz w:val="19"/>
              </w:rPr>
              <w:t>6x Throughput improvement</w:t>
            </w:r>
          </w:p>
        </w:tc>
      </w:tr>
      <w:tr>
        <w:tc>
          <w:tcPr>
            <w:tcW w:type="dxa" w:w="2592"/>
            <w:shd w:fill="FFFFFF"/>
            <w:tcMar>
              <w:top w:w="70" w:type="dxa"/>
              <w:bottom w:w="70" w:type="dxa"/>
              <w:left w:w="100" w:type="dxa"/>
              <w:right w:w="100" w:type="dxa"/>
            </w:tcMar>
          </w:tcPr>
          <w:p>
            <w:pPr>
              <w:jc w:val="left"/>
            </w:pPr>
            <w:r>
              <w:rPr>
                <w:rFonts w:ascii="Calibri" w:hAnsi="Calibri"/>
                <w:color w:val="2D3748"/>
                <w:sz w:val="19"/>
              </w:rPr>
              <w:t>Sequence Minimums</w:t>
            </w:r>
          </w:p>
        </w:tc>
        <w:tc>
          <w:tcPr>
            <w:tcW w:type="dxa" w:w="2016"/>
            <w:shd w:fill="FFFFFF"/>
            <w:tcMar>
              <w:top w:w="70" w:type="dxa"/>
              <w:bottom w:w="70" w:type="dxa"/>
              <w:left w:w="100" w:type="dxa"/>
              <w:right w:w="100" w:type="dxa"/>
            </w:tcMar>
          </w:tcPr>
          <w:p>
            <w:pPr>
              <w:jc w:val="center"/>
            </w:pPr>
            <w:r>
              <w:rPr>
                <w:rFonts w:ascii="Calibri" w:hAnsi="Calibri"/>
                <w:color w:val="2D3748"/>
                <w:sz w:val="19"/>
              </w:rPr>
              <w:t>Single Frame</w:t>
            </w:r>
          </w:p>
        </w:tc>
        <w:tc>
          <w:tcPr>
            <w:tcW w:type="dxa" w:w="2304"/>
            <w:shd w:fill="FFFFFF"/>
            <w:tcMar>
              <w:top w:w="70" w:type="dxa"/>
              <w:bottom w:w="70" w:type="dxa"/>
              <w:left w:w="100" w:type="dxa"/>
              <w:right w:w="100" w:type="dxa"/>
            </w:tcMar>
          </w:tcPr>
          <w:p>
            <w:pPr>
              <w:jc w:val="center"/>
            </w:pPr>
            <w:r>
              <w:rPr>
                <w:rFonts w:ascii="Calibri" w:hAnsi="Calibri"/>
                <w:color w:val="2D3748"/>
                <w:sz w:val="19"/>
              </w:rPr>
              <w:t>25 Frames (Adaptive Pad &gt;= 4)</w:t>
            </w:r>
          </w:p>
        </w:tc>
        <w:tc>
          <w:tcPr>
            <w:tcW w:type="dxa" w:w="2448"/>
            <w:shd w:fill="FFFFFF"/>
            <w:tcMar>
              <w:top w:w="70" w:type="dxa"/>
              <w:bottom w:w="70" w:type="dxa"/>
              <w:left w:w="100" w:type="dxa"/>
              <w:right w:w="100" w:type="dxa"/>
            </w:tcMar>
          </w:tcPr>
          <w:p>
            <w:pPr>
              <w:jc w:val="center"/>
            </w:pPr>
            <w:r>
              <w:rPr>
                <w:rFonts w:ascii="Calibri" w:hAnsi="Calibri"/>
                <w:color w:val="2D3748"/>
                <w:sz w:val="19"/>
              </w:rPr>
              <w:t>Handles short clips smoothly</w:t>
            </w:r>
          </w:p>
        </w:tc>
      </w:tr>
    </w:tbl>
    <w:p>
      <w:r>
        <w:br w:type="page"/>
      </w:r>
    </w:p>
    <w:p>
      <w:pPr>
        <w:pStyle w:val="Heading1"/>
        <w:keepNext/>
        <w:spacing w:before="320" w:after="120"/>
        <w:jc w:val="left"/>
      </w:pPr>
      <w:r>
        <w:rPr>
          <w:rFonts w:ascii="Calibri" w:hAnsi="Calibri"/>
          <w:b/>
          <w:color w:val="1A365D"/>
          <w:sz w:val="32"/>
        </w:rPr>
        <w:t>8. Empirical Forensic Case Studies &amp; Compression Robustness</w:t>
      </w:r>
    </w:p>
    <w:p>
      <w:pPr>
        <w:pStyle w:val="Heading2"/>
        <w:keepNext/>
        <w:spacing w:before="240" w:after="80"/>
        <w:jc w:val="left"/>
      </w:pPr>
      <w:r>
        <w:rPr>
          <w:rFonts w:ascii="Calibri" w:hAnsi="Calibri"/>
          <w:b/>
          <w:color w:val="2B6CB0"/>
          <w:sz w:val="26"/>
        </w:rPr>
        <w:t>8.1 Text Case Study: The Project-Based Learning Academic Article</w:t>
      </w:r>
    </w:p>
    <w:p>
      <w:pPr>
        <w:spacing w:after="120" w:line="276" w:lineRule="auto"/>
        <w:jc w:val="both"/>
      </w:pPr>
      <w:r>
        <w:rPr>
          <w:rFonts w:ascii="Calibri" w:hAnsi="Calibri"/>
          <w:color w:val="2D3748"/>
          <w:sz w:val="22"/>
        </w:rPr>
        <w:t>A critical diagnostic incident arose when evaluating the following excerpt from a peer-reviewed educational journal: 'Well conceptualised driving questions help to improve the effectiveness of project-based learning. In this article, we review the theoretical mechanisms through which inquiry-based pedagogical frameworks enhance cognitive retention...'</w:t>
      </w:r>
    </w:p>
    <w:p>
      <w:pPr>
        <w:pStyle w:val="ListBullet"/>
        <w:spacing w:after="80" w:line="276" w:lineRule="auto"/>
        <w:ind w:left="432"/>
        <w:jc w:val="left"/>
      </w:pPr>
      <w:r>
        <w:rPr>
          <w:rFonts w:ascii="Calibri" w:hAnsi="Calibri"/>
          <w:b/>
          <w:color w:val="1A365D"/>
          <w:sz w:val="21"/>
        </w:rPr>
        <w:t xml:space="preserve">TF-IDF Diagnostics: </w:t>
      </w:r>
      <w:r>
        <w:rPr>
          <w:rFonts w:ascii="Calibri" w:hAnsi="Calibri"/>
          <w:color w:val="2D3748"/>
          <w:sz w:val="21"/>
        </w:rPr>
        <w:t>The vectorizer identified n-grams such as 'conceptualised driving questions' and 'theoretical mechanisms' as alien to its political news training corpus. The linear model assigned negative weights, culminating in a 100% Fake verdict.</w:t>
      </w:r>
    </w:p>
    <w:p>
      <w:pPr>
        <w:pStyle w:val="ListBullet"/>
        <w:spacing w:after="80" w:line="276" w:lineRule="auto"/>
        <w:ind w:left="432"/>
        <w:jc w:val="left"/>
      </w:pPr>
      <w:r>
        <w:rPr>
          <w:rFonts w:ascii="Calibri" w:hAnsi="Calibri"/>
          <w:b/>
          <w:color w:val="1A365D"/>
          <w:sz w:val="21"/>
        </w:rPr>
        <w:t xml:space="preserve">RoBERTa Resolution: </w:t>
      </w:r>
      <w:r>
        <w:rPr>
          <w:rFonts w:ascii="Calibri" w:hAnsi="Calibri"/>
          <w:color w:val="2D3748"/>
          <w:sz w:val="21"/>
        </w:rPr>
        <w:t>RoBERTa's multi-head attention mapped the syntactic cohesion of the abstract, recognizing formal scholarly discourse. The model assigned a 96.2% REAL probability, demonstrating true contextual comprehension.</w:t>
      </w:r>
    </w:p>
    <w:p>
      <w:pPr>
        <w:pStyle w:val="Heading2"/>
        <w:keepNext/>
        <w:spacing w:before="240" w:after="80"/>
        <w:jc w:val="left"/>
      </w:pPr>
      <w:r>
        <w:rPr>
          <w:rFonts w:ascii="Calibri" w:hAnsi="Calibri"/>
          <w:b/>
          <w:color w:val="2B6CB0"/>
          <w:sz w:val="26"/>
        </w:rPr>
        <w:t>8.2 Video Case Study: Authentic Facial Speech Dynamics</w:t>
      </w:r>
    </w:p>
    <w:p>
      <w:pPr>
        <w:spacing w:after="120" w:line="276" w:lineRule="auto"/>
        <w:jc w:val="both"/>
      </w:pPr>
      <w:r>
        <w:rPr>
          <w:rFonts w:ascii="Calibri" w:hAnsi="Calibri"/>
          <w:color w:val="2D3748"/>
          <w:sz w:val="22"/>
        </w:rPr>
        <w:t>An authentic 16-frame test video featuring natural human speech was submitted to the LipForensics pipeline. The automated diagnostic telemetry demonstrated high precision:</w:t>
      </w:r>
    </w:p>
    <w:tbl>
      <w:tblPr>
        <w:tblW w:type="auto" w:w="0"/>
        <w:jc w:val="center"/>
        <w:tblLook w:firstColumn="1" w:firstRow="1" w:lastColumn="0" w:lastRow="0" w:noHBand="0" w:noVBand="1" w:val="04A0"/>
      </w:tblPr>
      <w:tblGrid>
        <w:gridCol w:w="4680"/>
        <w:gridCol w:w="4680"/>
      </w:tblGrid>
      <w:tr>
        <w:tc>
          <w:tcPr>
            <w:tcW w:type="dxa" w:w="3600"/>
            <w:shd w:fill="EDF2F7"/>
            <w:tcMar>
              <w:top w:w="60" w:type="dxa"/>
              <w:bottom w:w="60" w:type="dxa"/>
              <w:left w:w="100" w:type="dxa"/>
              <w:right w:w="100" w:type="dxa"/>
            </w:tcMar>
          </w:tcPr>
          <w:p>
            <w:r>
              <w:rPr>
                <w:rFonts w:ascii="Calibri" w:hAnsi="Calibri"/>
                <w:b/>
                <w:sz w:val="19"/>
              </w:rPr>
              <w:t>Total Frames Decoded:</w:t>
            </w:r>
          </w:p>
        </w:tc>
        <w:tc>
          <w:tcPr>
            <w:tcW w:type="dxa" w:w="5760"/>
            <w:shd w:fill="F7FAFC"/>
            <w:tcMar>
              <w:top w:w="60" w:type="dxa"/>
              <w:bottom w:w="60" w:type="dxa"/>
              <w:left w:w="100" w:type="dxa"/>
              <w:right w:w="100" w:type="dxa"/>
            </w:tcMar>
          </w:tcPr>
          <w:p>
            <w:r>
              <w:rPr>
                <w:rFonts w:ascii="Calibri" w:hAnsi="Calibri"/>
                <w:sz w:val="19"/>
              </w:rPr>
              <w:t>16 Frames (Video duration: ~0.67s at 24 FPS)</w:t>
            </w:r>
          </w:p>
        </w:tc>
      </w:tr>
      <w:tr>
        <w:tc>
          <w:tcPr>
            <w:tcW w:type="dxa" w:w="3600"/>
            <w:shd w:fill="EDF2F7"/>
            <w:tcMar>
              <w:top w:w="60" w:type="dxa"/>
              <w:bottom w:w="60" w:type="dxa"/>
              <w:left w:w="100" w:type="dxa"/>
              <w:right w:w="100" w:type="dxa"/>
            </w:tcMar>
          </w:tcPr>
          <w:p>
            <w:r>
              <w:rPr>
                <w:rFonts w:ascii="Calibri" w:hAnsi="Calibri"/>
                <w:b/>
                <w:sz w:val="19"/>
              </w:rPr>
              <w:t>Face Detection Rate (YuNet):</w:t>
            </w:r>
          </w:p>
        </w:tc>
        <w:tc>
          <w:tcPr>
            <w:tcW w:type="dxa" w:w="5760"/>
            <w:shd w:fill="F7FAFC"/>
            <w:tcMar>
              <w:top w:w="60" w:type="dxa"/>
              <w:bottom w:w="60" w:type="dxa"/>
              <w:left w:w="100" w:type="dxa"/>
              <w:right w:w="100" w:type="dxa"/>
            </w:tcMar>
          </w:tcPr>
          <w:p>
            <w:r>
              <w:rPr>
                <w:rFonts w:ascii="Calibri" w:hAnsi="Calibri"/>
                <w:sz w:val="19"/>
              </w:rPr>
              <w:t>16 / 16 Frames (100.0% Valid Face Detection)</w:t>
            </w:r>
          </w:p>
        </w:tc>
      </w:tr>
      <w:tr>
        <w:tc>
          <w:tcPr>
            <w:tcW w:type="dxa" w:w="3600"/>
            <w:shd w:fill="EDF2F7"/>
            <w:tcMar>
              <w:top w:w="60" w:type="dxa"/>
              <w:bottom w:w="60" w:type="dxa"/>
              <w:left w:w="100" w:type="dxa"/>
              <w:right w:w="100" w:type="dxa"/>
            </w:tcMar>
          </w:tcPr>
          <w:p>
            <w:r>
              <w:rPr>
                <w:rFonts w:ascii="Calibri" w:hAnsi="Calibri"/>
                <w:b/>
                <w:sz w:val="19"/>
              </w:rPr>
              <w:t>Mouth ROI Crops Extracted:</w:t>
            </w:r>
          </w:p>
        </w:tc>
        <w:tc>
          <w:tcPr>
            <w:tcW w:type="dxa" w:w="5760"/>
            <w:shd w:fill="F7FAFC"/>
            <w:tcMar>
              <w:top w:w="60" w:type="dxa"/>
              <w:bottom w:w="60" w:type="dxa"/>
              <w:left w:w="100" w:type="dxa"/>
              <w:right w:w="100" w:type="dxa"/>
            </w:tcMar>
          </w:tcPr>
          <w:p>
            <w:r>
              <w:rPr>
                <w:rFonts w:ascii="Calibri" w:hAnsi="Calibri"/>
                <w:sz w:val="19"/>
              </w:rPr>
              <w:t>16 / 16 Valid 88×88 Grayscale Crops</w:t>
            </w:r>
          </w:p>
        </w:tc>
      </w:tr>
      <w:tr>
        <w:tc>
          <w:tcPr>
            <w:tcW w:type="dxa" w:w="3600"/>
            <w:shd w:fill="EDF2F7"/>
            <w:tcMar>
              <w:top w:w="60" w:type="dxa"/>
              <w:bottom w:w="60" w:type="dxa"/>
              <w:left w:w="100" w:type="dxa"/>
              <w:right w:w="100" w:type="dxa"/>
            </w:tcMar>
          </w:tcPr>
          <w:p>
            <w:r>
              <w:rPr>
                <w:rFonts w:ascii="Calibri" w:hAnsi="Calibri"/>
                <w:b/>
                <w:sz w:val="19"/>
              </w:rPr>
              <w:t>Adaptive Temporal Resampling:</w:t>
            </w:r>
          </w:p>
        </w:tc>
        <w:tc>
          <w:tcPr>
            <w:tcW w:type="dxa" w:w="5760"/>
            <w:shd w:fill="F7FAFC"/>
            <w:tcMar>
              <w:top w:w="60" w:type="dxa"/>
              <w:bottom w:w="60" w:type="dxa"/>
              <w:left w:w="100" w:type="dxa"/>
              <w:right w:w="100" w:type="dxa"/>
            </w:tcMar>
          </w:tcPr>
          <w:p>
            <w:r>
              <w:rPr>
                <w:rFonts w:ascii="Calibri" w:hAnsi="Calibri"/>
                <w:sz w:val="19"/>
              </w:rPr>
              <w:t>16 frames interpolated linearly to 25-frame tensor shape (1, 1, 25, 88, 88)</w:t>
            </w:r>
          </w:p>
        </w:tc>
      </w:tr>
      <w:tr>
        <w:tc>
          <w:tcPr>
            <w:tcW w:type="dxa" w:w="3600"/>
            <w:shd w:fill="EDF2F7"/>
            <w:tcMar>
              <w:top w:w="60" w:type="dxa"/>
              <w:bottom w:w="60" w:type="dxa"/>
              <w:left w:w="100" w:type="dxa"/>
              <w:right w:w="100" w:type="dxa"/>
            </w:tcMar>
          </w:tcPr>
          <w:p>
            <w:r>
              <w:rPr>
                <w:rFonts w:ascii="Calibri" w:hAnsi="Calibri"/>
                <w:b/>
                <w:sz w:val="19"/>
              </w:rPr>
              <w:t>Raw MS-TCN Logit Value:</w:t>
            </w:r>
          </w:p>
        </w:tc>
        <w:tc>
          <w:tcPr>
            <w:tcW w:type="dxa" w:w="5760"/>
            <w:shd w:fill="F7FAFC"/>
            <w:tcMar>
              <w:top w:w="60" w:type="dxa"/>
              <w:bottom w:w="60" w:type="dxa"/>
              <w:left w:w="100" w:type="dxa"/>
              <w:right w:w="100" w:type="dxa"/>
            </w:tcMar>
          </w:tcPr>
          <w:p>
            <w:r>
              <w:rPr>
                <w:rFonts w:ascii="Calibri" w:hAnsi="Calibri"/>
                <w:sz w:val="19"/>
              </w:rPr>
              <w:t>-5.6018 (Strongly Negative Logit indicates Natural Dynamics)</w:t>
            </w:r>
          </w:p>
        </w:tc>
      </w:tr>
      <w:tr>
        <w:tc>
          <w:tcPr>
            <w:tcW w:type="dxa" w:w="3600"/>
            <w:shd w:fill="EDF2F7"/>
            <w:tcMar>
              <w:top w:w="60" w:type="dxa"/>
              <w:bottom w:w="60" w:type="dxa"/>
              <w:left w:w="100" w:type="dxa"/>
              <w:right w:w="100" w:type="dxa"/>
            </w:tcMar>
          </w:tcPr>
          <w:p>
            <w:r>
              <w:rPr>
                <w:rFonts w:ascii="Calibri" w:hAnsi="Calibri"/>
                <w:b/>
                <w:sz w:val="19"/>
              </w:rPr>
              <w:t>Calibrated Fake Probability:</w:t>
            </w:r>
          </w:p>
        </w:tc>
        <w:tc>
          <w:tcPr>
            <w:tcW w:type="dxa" w:w="5760"/>
            <w:shd w:fill="F7FAFC"/>
            <w:tcMar>
              <w:top w:w="60" w:type="dxa"/>
              <w:bottom w:w="60" w:type="dxa"/>
              <w:left w:w="100" w:type="dxa"/>
              <w:right w:w="100" w:type="dxa"/>
            </w:tcMar>
          </w:tcPr>
          <w:p>
            <w:r>
              <w:rPr>
                <w:rFonts w:ascii="Calibri" w:hAnsi="Calibri"/>
                <w:sz w:val="19"/>
              </w:rPr>
              <w:t>0.0037 (0.37% Fake Anomaly Signal)</w:t>
            </w:r>
          </w:p>
        </w:tc>
      </w:tr>
      <w:tr>
        <w:tc>
          <w:tcPr>
            <w:tcW w:type="dxa" w:w="3600"/>
            <w:shd w:fill="EDF2F7"/>
            <w:tcMar>
              <w:top w:w="60" w:type="dxa"/>
              <w:bottom w:w="60" w:type="dxa"/>
              <w:left w:w="100" w:type="dxa"/>
              <w:right w:w="100" w:type="dxa"/>
            </w:tcMar>
          </w:tcPr>
          <w:p>
            <w:r>
              <w:rPr>
                <w:rFonts w:ascii="Calibri" w:hAnsi="Calibri"/>
                <w:b/>
                <w:sz w:val="19"/>
              </w:rPr>
              <w:t>Forensic Verdict &amp; Confidence:</w:t>
            </w:r>
          </w:p>
        </w:tc>
        <w:tc>
          <w:tcPr>
            <w:tcW w:type="dxa" w:w="5760"/>
            <w:shd w:fill="F7FAFC"/>
            <w:tcMar>
              <w:top w:w="60" w:type="dxa"/>
              <w:bottom w:w="60" w:type="dxa"/>
              <w:left w:w="100" w:type="dxa"/>
              <w:right w:w="100" w:type="dxa"/>
            </w:tcMar>
          </w:tcPr>
          <w:p>
            <w:r>
              <w:rPr>
                <w:rFonts w:ascii="Calibri" w:hAnsi="Calibri"/>
                <w:sz w:val="19"/>
              </w:rPr>
              <w:t>REAL / LIKELY AUTHENTIC (99.63% Confidence)</w:t>
            </w:r>
          </w:p>
        </w:tc>
      </w:tr>
      <w:tr>
        <w:tc>
          <w:tcPr>
            <w:tcW w:type="dxa" w:w="3600"/>
            <w:shd w:fill="EDF2F7"/>
            <w:tcMar>
              <w:top w:w="60" w:type="dxa"/>
              <w:bottom w:w="60" w:type="dxa"/>
              <w:left w:w="100" w:type="dxa"/>
              <w:right w:w="100" w:type="dxa"/>
            </w:tcMar>
          </w:tcPr>
          <w:p>
            <w:r>
              <w:rPr>
                <w:rFonts w:ascii="Calibri" w:hAnsi="Calibri"/>
                <w:b/>
                <w:sz w:val="19"/>
              </w:rPr>
              <w:t>Total Inference Time:</w:t>
            </w:r>
          </w:p>
        </w:tc>
        <w:tc>
          <w:tcPr>
            <w:tcW w:type="dxa" w:w="5760"/>
            <w:shd w:fill="F7FAFC"/>
            <w:tcMar>
              <w:top w:w="60" w:type="dxa"/>
              <w:bottom w:w="60" w:type="dxa"/>
              <w:left w:w="100" w:type="dxa"/>
              <w:right w:w="100" w:type="dxa"/>
            </w:tcMar>
          </w:tcPr>
          <w:p>
            <w:r>
              <w:rPr>
                <w:rFonts w:ascii="Calibri" w:hAnsi="Calibri"/>
                <w:sz w:val="19"/>
              </w:rPr>
              <w:t>0.24 seconds (CPU Execution)</w:t>
            </w:r>
          </w:p>
        </w:tc>
      </w:tr>
    </w:tbl>
    <w:p>
      <w:r>
        <w:br w:type="page"/>
      </w:r>
    </w:p>
    <w:p>
      <w:pPr>
        <w:pStyle w:val="Heading1"/>
        <w:keepNext/>
        <w:spacing w:before="320" w:after="120"/>
        <w:jc w:val="left"/>
      </w:pPr>
      <w:r>
        <w:rPr>
          <w:rFonts w:ascii="Calibri" w:hAnsi="Calibri"/>
          <w:b/>
          <w:color w:val="1A365D"/>
          <w:sz w:val="32"/>
        </w:rPr>
        <w:t>9. Production Engineering, Fallbacks &amp; Storage Optimization</w:t>
      </w:r>
    </w:p>
    <w:p>
      <w:pPr>
        <w:pStyle w:val="Heading2"/>
        <w:keepNext/>
        <w:spacing w:before="240" w:after="80"/>
        <w:jc w:val="left"/>
      </w:pPr>
      <w:r>
        <w:rPr>
          <w:rFonts w:ascii="Calibri" w:hAnsi="Calibri"/>
          <w:b/>
          <w:color w:val="2B6CB0"/>
          <w:sz w:val="26"/>
        </w:rPr>
        <w:t>9.1 Storage Architecture &amp; Cache Isolation</w:t>
      </w:r>
    </w:p>
    <w:p>
      <w:pPr>
        <w:spacing w:after="120" w:line="276" w:lineRule="auto"/>
        <w:jc w:val="both"/>
      </w:pPr>
      <w:r>
        <w:rPr>
          <w:rFonts w:ascii="Calibri" w:hAnsi="Calibri"/>
          <w:color w:val="2D3748"/>
          <w:sz w:val="22"/>
        </w:rPr>
        <w:t>A critical systems engineering constraint during production deployment was host storage partitioning. Default deep learning frameworks (Hugging Face Hub, Torch Hub) automatically download multi-gigabyte models into system user directories, creating risk of primary partition exhaustion. To ensure reliable, self-contained deployment:</w:t>
      </w:r>
    </w:p>
    <w:p>
      <w:pPr>
        <w:pStyle w:val="ListBullet"/>
        <w:spacing w:after="80" w:line="276" w:lineRule="auto"/>
        <w:ind w:left="432"/>
        <w:jc w:val="left"/>
      </w:pPr>
      <w:r>
        <w:rPr>
          <w:rFonts w:ascii="Calibri" w:hAnsi="Calibri"/>
          <w:b/>
          <w:color w:val="1A365D"/>
          <w:sz w:val="21"/>
        </w:rPr>
        <w:t xml:space="preserve">Self-Contained Model Repository Architecture: </w:t>
      </w:r>
      <w:r>
        <w:rPr>
          <w:rFonts w:ascii="Calibri" w:hAnsi="Calibri"/>
          <w:color w:val="2D3748"/>
          <w:sz w:val="21"/>
        </w:rPr>
        <w:t>The 498 MB RoBERTa safetensors weights, vocabulary dictionaries, and tokenizer configurations were downloaded directly into the structured project repository under the dedicated `models/roberta_fake_news/` hierarchy.</w:t>
      </w:r>
    </w:p>
    <w:p>
      <w:pPr>
        <w:pStyle w:val="ListBullet"/>
        <w:spacing w:after="80" w:line="276" w:lineRule="auto"/>
        <w:ind w:left="432"/>
        <w:jc w:val="left"/>
      </w:pPr>
      <w:r>
        <w:rPr>
          <w:rFonts w:ascii="Calibri" w:hAnsi="Calibri"/>
          <w:b/>
          <w:color w:val="1A365D"/>
          <w:sz w:val="21"/>
        </w:rPr>
        <w:t xml:space="preserve">Cryptographic Checkpoint Integrity Verification: </w:t>
      </w:r>
      <w:r>
        <w:rPr>
          <w:rFonts w:ascii="Calibri" w:hAnsi="Calibri"/>
          <w:color w:val="2D3748"/>
          <w:sz w:val="21"/>
        </w:rPr>
        <w:t>The official 137.4 MB FaceForensics++ LipForensics model checkpoint was provisioned directly into `models/weights/lipforensics_ff.pth` and verified against its authoritative SHA-256 digest: `4b7790bc8e02d0c25ecfa0d8d6a2907123c2206cc32e2bad6044e50f013c253d`.</w:t>
      </w:r>
    </w:p>
    <w:p>
      <w:pPr>
        <w:pStyle w:val="ListBullet"/>
        <w:spacing w:after="80" w:line="276" w:lineRule="auto"/>
        <w:ind w:left="432"/>
        <w:jc w:val="left"/>
      </w:pPr>
      <w:r>
        <w:rPr>
          <w:rFonts w:ascii="Calibri" w:hAnsi="Calibri"/>
          <w:b/>
          <w:color w:val="1A365D"/>
          <w:sz w:val="21"/>
        </w:rPr>
        <w:t xml:space="preserve">Zero System Cache Dependency: </w:t>
      </w:r>
      <w:r>
        <w:rPr>
          <w:rFonts w:ascii="Calibri" w:hAnsi="Calibri"/>
          <w:color w:val="2D3748"/>
          <w:sz w:val="21"/>
        </w:rPr>
        <w:t>Custom initialization routines bypass system cache directories, loading all weights and ONNX models strictly via relative project paths, guaranteeing container portability across environments.</w:t>
      </w:r>
    </w:p>
    <w:p>
      <w:pPr>
        <w:pStyle w:val="Heading2"/>
        <w:keepNext/>
        <w:spacing w:before="240" w:after="80"/>
        <w:jc w:val="left"/>
      </w:pPr>
      <w:r>
        <w:rPr>
          <w:rFonts w:ascii="Calibri" w:hAnsi="Calibri"/>
          <w:b/>
          <w:color w:val="2B6CB0"/>
          <w:sz w:val="26"/>
        </w:rPr>
        <w:t>9.2 Adaptive Sequence Resampling &amp; Graceful Degradation</w:t>
      </w:r>
    </w:p>
    <w:p>
      <w:pPr>
        <w:spacing w:after="120" w:line="276" w:lineRule="auto"/>
        <w:jc w:val="both"/>
      </w:pPr>
      <w:r>
        <w:rPr>
          <w:rFonts w:ascii="Calibri" w:hAnsi="Calibri"/>
          <w:color w:val="2D3748"/>
          <w:sz w:val="22"/>
        </w:rPr>
        <w:t>LipForensics strictly requires 25 consecutive frames to perform its multi-scale temporal convolutions. In real-world web usage, users frequently upload micro-videos (10-20 frames). The engine implements an adaptive temporal resampling mechanism:</w:t>
      </w:r>
    </w:p>
    <w:p>
      <w:pPr>
        <w:spacing w:before="120" w:after="40"/>
        <w:jc w:val="left"/>
      </w:pPr>
      <w:r>
        <w:rPr>
          <w:rFonts w:ascii="Calibri" w:hAnsi="Calibri"/>
          <w:b/>
          <w:color w:val="4A5568"/>
          <w:sz w:val="19"/>
        </w:rPr>
        <w:t>Listing: Adaptive Sequence Resampling Implementation</w:t>
      </w:r>
    </w:p>
    <w:tbl>
      <w:tblPr>
        <w:tblW w:type="auto" w:w="0"/>
        <w:jc w:val="center"/>
        <w:tblLook w:firstColumn="1" w:firstRow="1" w:lastColumn="0" w:lastRow="0" w:noHBand="0" w:noVBand="1" w:val="04A0"/>
      </w:tblPr>
      <w:tblGrid>
        <w:gridCol w:w="9360"/>
      </w:tblGrid>
      <w:tr>
        <w:tc>
          <w:tcPr>
            <w:tcW w:type="dxa" w:w="9360"/>
            <w:shd w:fill="1E1E1E"/>
            <w:tcMar>
              <w:top w:w="100" w:type="dxa"/>
              <w:bottom w:w="100" w:type="dxa"/>
              <w:left w:w="140" w:type="dxa"/>
              <w:right w:w="140" w:type="dxa"/>
            </w:tcMar>
          </w:tcPr>
          <w:p>
            <w:pPr>
              <w:spacing w:after="0" w:line="252" w:lineRule="auto"/>
              <w:jc w:val="left"/>
            </w:pPr>
            <w:r>
              <w:rPr>
                <w:rFonts w:ascii="Consolas" w:hAnsi="Consolas"/>
                <w:color w:val="D4D4D4"/>
                <w:sz w:val="17"/>
              </w:rPr>
              <w:t># Adaptive Temporal Resampling Algorithm (src/lipforensics_video_inference.py)</w:t>
              <w:br/>
              <w:t>if valid_mouth_crops &lt; self.frames_per_clip:</w:t>
              <w:br/>
              <w:t xml:space="preserve">    if valid_mouth_crops &gt;= 4:</w:t>
              <w:br/>
              <w:t xml:space="preserve">        # Linearly interpolate available crops across temporal sequence</w:t>
              <w:br/>
              <w:t xml:space="preserve">        indices = np.round(np.linspace(0, valid_mouth_crops - 1, self.frames_per_clip)).astype(int)</w:t>
              <w:br/>
              <w:t xml:space="preserve">        clips_to_run = [[mouth_crops[i] for i in indices]]</w:t>
              <w:br/>
              <w:t xml:space="preserve">    else:</w:t>
              <w:br/>
              <w:t xml:space="preserve">        return {'status': 'INSUFFICIENT_MOUTH_EVIDENCE', 'error': 'Under 4 frames detected'}</w:t>
              <w:br/>
              <w:t>else:</w:t>
              <w:br/>
              <w:t xml:space="preserve">    # Partition full sequence into consecutive 25-frame clips</w:t>
              <w:br/>
              <w:t xml:space="preserve">    num_clips = min(valid_mouth_crops // self.frames_per_clip, self.max_clips_per_video)</w:t>
              <w:br/>
              <w:t xml:space="preserve">    clips_to_run = [mouth_crops[c*25 : (c+1)*25] for c in range(num_clips)]</w:t>
            </w:r>
          </w:p>
        </w:tc>
      </w:tr>
    </w:tbl>
    <w:p>
      <w:pPr>
        <w:spacing w:after="120"/>
      </w:pPr>
    </w:p>
    <w:p>
      <w:r>
        <w:br w:type="page"/>
      </w:r>
    </w:p>
    <w:p>
      <w:pPr>
        <w:pStyle w:val="Heading1"/>
        <w:keepNext/>
        <w:spacing w:before="320" w:after="120"/>
        <w:jc w:val="left"/>
      </w:pPr>
      <w:r>
        <w:rPr>
          <w:rFonts w:ascii="Calibri" w:hAnsi="Calibri"/>
          <w:b/>
          <w:color w:val="1A365D"/>
          <w:sz w:val="32"/>
        </w:rPr>
        <w:t>10. Testing, Quality Assurance &amp; Test Suite Verification</w:t>
      </w:r>
    </w:p>
    <w:p>
      <w:pPr>
        <w:pStyle w:val="Heading2"/>
        <w:keepNext/>
        <w:spacing w:before="240" w:after="80"/>
        <w:jc w:val="left"/>
      </w:pPr>
      <w:r>
        <w:rPr>
          <w:rFonts w:ascii="Calibri" w:hAnsi="Calibri"/>
          <w:b/>
          <w:color w:val="2B6CB0"/>
          <w:sz w:val="26"/>
        </w:rPr>
        <w:t>10.1 Automated Full Test Suite (12 / 12 Passing)</w:t>
      </w:r>
    </w:p>
    <w:p>
      <w:pPr>
        <w:spacing w:after="120" w:line="276" w:lineRule="auto"/>
        <w:jc w:val="both"/>
      </w:pPr>
      <w:r>
        <w:rPr>
          <w:rFonts w:ascii="Calibri" w:hAnsi="Calibri"/>
          <w:color w:val="2D3748"/>
          <w:sz w:val="22"/>
        </w:rPr>
        <w:t>To verify system integrity, an automated unit and integration test suite (`tests/test_full_suite.py`) was developed. The suite covers edge cases, input validation, mathematical tensor transformations, and end-to-end API contracts:</w:t>
      </w:r>
    </w:p>
    <w:tbl>
      <w:tblPr>
        <w:tblW w:type="auto" w:w="0"/>
        <w:jc w:val="center"/>
        <w:tblLook w:firstColumn="1" w:firstRow="1" w:lastColumn="0" w:lastRow="0" w:noHBand="0" w:noVBand="1" w:val="04A0"/>
      </w:tblPr>
      <w:tblGrid>
        <w:gridCol w:w="4680"/>
        <w:gridCol w:w="4680"/>
      </w:tblGrid>
      <w:tr>
        <w:tc>
          <w:tcPr>
            <w:tcW w:type="dxa" w:w="3456"/>
            <w:shd w:fill="1A365D"/>
            <w:tcMar>
              <w:top w:w="100" w:type="dxa"/>
              <w:bottom w:w="100" w:type="dxa"/>
              <w:left w:w="120" w:type="dxa"/>
              <w:right w:w="120" w:type="dxa"/>
            </w:tcMar>
          </w:tcPr>
          <w:p>
            <w:pPr>
              <w:jc w:val="center"/>
            </w:pPr>
            <w:r>
              <w:rPr>
                <w:rFonts w:ascii="Calibri" w:hAnsi="Calibri"/>
                <w:b/>
                <w:color w:val="FFFFFF"/>
                <w:sz w:val="20"/>
              </w:rPr>
              <w:t>Automated Test Routine</w:t>
            </w:r>
          </w:p>
        </w:tc>
        <w:tc>
          <w:tcPr>
            <w:tcW w:type="dxa" w:w="5904"/>
            <w:shd w:fill="1A365D"/>
            <w:tcMar>
              <w:top w:w="100" w:type="dxa"/>
              <w:bottom w:w="100" w:type="dxa"/>
              <w:left w:w="120" w:type="dxa"/>
              <w:right w:w="120" w:type="dxa"/>
            </w:tcMar>
          </w:tcPr>
          <w:p>
            <w:pPr>
              <w:jc w:val="center"/>
            </w:pPr>
            <w:r>
              <w:rPr>
                <w:rFonts w:ascii="Calibri" w:hAnsi="Calibri"/>
                <w:b/>
                <w:color w:val="FFFFFF"/>
                <w:sz w:val="20"/>
              </w:rPr>
              <w:t>Verification Assertion &amp; Target Behavior</w:t>
            </w:r>
          </w:p>
        </w:tc>
      </w:tr>
      <w:tr>
        <w:tc>
          <w:tcPr>
            <w:tcW w:type="dxa" w:w="3456"/>
            <w:shd w:fill="FFFFFF"/>
            <w:tcMar>
              <w:top w:w="70" w:type="dxa"/>
              <w:bottom w:w="70" w:type="dxa"/>
              <w:left w:w="100" w:type="dxa"/>
              <w:right w:w="100" w:type="dxa"/>
            </w:tcMar>
          </w:tcPr>
          <w:p>
            <w:pPr>
              <w:jc w:val="left"/>
            </w:pPr>
            <w:r>
              <w:rPr>
                <w:rFonts w:ascii="Calibri" w:hAnsi="Calibri"/>
                <w:color w:val="2D3748"/>
                <w:sz w:val="19"/>
              </w:rPr>
              <w:t>test_predict_valid_text</w:t>
            </w:r>
          </w:p>
        </w:tc>
        <w:tc>
          <w:tcPr>
            <w:tcW w:type="dxa" w:w="5904"/>
            <w:shd w:fill="FFFFFF"/>
            <w:tcMar>
              <w:top w:w="70" w:type="dxa"/>
              <w:bottom w:w="70" w:type="dxa"/>
              <w:left w:w="100" w:type="dxa"/>
              <w:right w:w="100" w:type="dxa"/>
            </w:tcMar>
          </w:tcPr>
          <w:p>
            <w:pPr>
              <w:jc w:val="center"/>
            </w:pPr>
            <w:r>
              <w:rPr>
                <w:rFonts w:ascii="Calibri" w:hAnsi="Calibri"/>
                <w:color w:val="2D3748"/>
                <w:sz w:val="19"/>
              </w:rPr>
              <w:t>Asserts POST /predict returns 200 OK with valid verdict (REAL/FAKE) and numeric confidence.</w:t>
            </w:r>
          </w:p>
        </w:tc>
      </w:tr>
      <w:tr>
        <w:tc>
          <w:tcPr>
            <w:tcW w:type="dxa" w:w="3456"/>
            <w:shd w:fill="F7FAFC"/>
            <w:tcMar>
              <w:top w:w="70" w:type="dxa"/>
              <w:bottom w:w="70" w:type="dxa"/>
              <w:left w:w="100" w:type="dxa"/>
              <w:right w:w="100" w:type="dxa"/>
            </w:tcMar>
          </w:tcPr>
          <w:p>
            <w:pPr>
              <w:jc w:val="left"/>
            </w:pPr>
            <w:r>
              <w:rPr>
                <w:rFonts w:ascii="Calibri" w:hAnsi="Calibri"/>
                <w:color w:val="2D3748"/>
                <w:sz w:val="19"/>
              </w:rPr>
              <w:t>test_predict_empty_text</w:t>
            </w:r>
          </w:p>
        </w:tc>
        <w:tc>
          <w:tcPr>
            <w:tcW w:type="dxa" w:w="5904"/>
            <w:shd w:fill="F7FAFC"/>
            <w:tcMar>
              <w:top w:w="70" w:type="dxa"/>
              <w:bottom w:w="70" w:type="dxa"/>
              <w:left w:w="100" w:type="dxa"/>
              <w:right w:w="100" w:type="dxa"/>
            </w:tcMar>
          </w:tcPr>
          <w:p>
            <w:pPr>
              <w:jc w:val="center"/>
            </w:pPr>
            <w:r>
              <w:rPr>
                <w:rFonts w:ascii="Calibri" w:hAnsi="Calibri"/>
                <w:color w:val="2D3748"/>
                <w:sz w:val="19"/>
              </w:rPr>
              <w:t>Asserts POST /predict rejects empty strings with 400 Bad Request error payload.</w:t>
            </w:r>
          </w:p>
        </w:tc>
      </w:tr>
      <w:tr>
        <w:tc>
          <w:tcPr>
            <w:tcW w:type="dxa" w:w="3456"/>
            <w:shd w:fill="FFFFFF"/>
            <w:tcMar>
              <w:top w:w="70" w:type="dxa"/>
              <w:bottom w:w="70" w:type="dxa"/>
              <w:left w:w="100" w:type="dxa"/>
              <w:right w:w="100" w:type="dxa"/>
            </w:tcMar>
          </w:tcPr>
          <w:p>
            <w:pPr>
              <w:jc w:val="left"/>
            </w:pPr>
            <w:r>
              <w:rPr>
                <w:rFonts w:ascii="Calibri" w:hAnsi="Calibri"/>
                <w:color w:val="2D3748"/>
                <w:sz w:val="19"/>
              </w:rPr>
              <w:t>test_predict_missing_payload</w:t>
            </w:r>
          </w:p>
        </w:tc>
        <w:tc>
          <w:tcPr>
            <w:tcW w:type="dxa" w:w="5904"/>
            <w:shd w:fill="FFFFFF"/>
            <w:tcMar>
              <w:top w:w="70" w:type="dxa"/>
              <w:bottom w:w="70" w:type="dxa"/>
              <w:left w:w="100" w:type="dxa"/>
              <w:right w:w="100" w:type="dxa"/>
            </w:tcMar>
          </w:tcPr>
          <w:p>
            <w:pPr>
              <w:jc w:val="center"/>
            </w:pPr>
            <w:r>
              <w:rPr>
                <w:rFonts w:ascii="Calibri" w:hAnsi="Calibri"/>
                <w:color w:val="2D3748"/>
                <w:sz w:val="19"/>
              </w:rPr>
              <w:t>Asserts missing JSON body returns structured 400 Bad Request.</w:t>
            </w:r>
          </w:p>
        </w:tc>
      </w:tr>
      <w:tr>
        <w:tc>
          <w:tcPr>
            <w:tcW w:type="dxa" w:w="3456"/>
            <w:shd w:fill="F7FAFC"/>
            <w:tcMar>
              <w:top w:w="70" w:type="dxa"/>
              <w:bottom w:w="70" w:type="dxa"/>
              <w:left w:w="100" w:type="dxa"/>
              <w:right w:w="100" w:type="dxa"/>
            </w:tcMar>
          </w:tcPr>
          <w:p>
            <w:pPr>
              <w:jc w:val="left"/>
            </w:pPr>
            <w:r>
              <w:rPr>
                <w:rFonts w:ascii="Calibri" w:hAnsi="Calibri"/>
                <w:color w:val="2D3748"/>
                <w:sz w:val="19"/>
              </w:rPr>
              <w:t>test_detect_missing_file</w:t>
            </w:r>
          </w:p>
        </w:tc>
        <w:tc>
          <w:tcPr>
            <w:tcW w:type="dxa" w:w="5904"/>
            <w:shd w:fill="F7FAFC"/>
            <w:tcMar>
              <w:top w:w="70" w:type="dxa"/>
              <w:bottom w:w="70" w:type="dxa"/>
              <w:left w:w="100" w:type="dxa"/>
              <w:right w:w="100" w:type="dxa"/>
            </w:tcMar>
          </w:tcPr>
          <w:p>
            <w:pPr>
              <w:jc w:val="center"/>
            </w:pPr>
            <w:r>
              <w:rPr>
                <w:rFonts w:ascii="Calibri" w:hAnsi="Calibri"/>
                <w:color w:val="2D3748"/>
                <w:sz w:val="19"/>
              </w:rPr>
              <w:t>Asserts POST /detect without file attachment returns 400 Bad Request.</w:t>
            </w:r>
          </w:p>
        </w:tc>
      </w:tr>
      <w:tr>
        <w:tc>
          <w:tcPr>
            <w:tcW w:type="dxa" w:w="3456"/>
            <w:shd w:fill="FFFFFF"/>
            <w:tcMar>
              <w:top w:w="70" w:type="dxa"/>
              <w:bottom w:w="70" w:type="dxa"/>
              <w:left w:w="100" w:type="dxa"/>
              <w:right w:w="100" w:type="dxa"/>
            </w:tcMar>
          </w:tcPr>
          <w:p>
            <w:pPr>
              <w:jc w:val="left"/>
            </w:pPr>
            <w:r>
              <w:rPr>
                <w:rFonts w:ascii="Calibri" w:hAnsi="Calibri"/>
                <w:color w:val="2D3748"/>
                <w:sz w:val="19"/>
              </w:rPr>
              <w:t>test_detect_invalid_extension</w:t>
            </w:r>
          </w:p>
        </w:tc>
        <w:tc>
          <w:tcPr>
            <w:tcW w:type="dxa" w:w="5904"/>
            <w:shd w:fill="FFFFFF"/>
            <w:tcMar>
              <w:top w:w="70" w:type="dxa"/>
              <w:bottom w:w="70" w:type="dxa"/>
              <w:left w:w="100" w:type="dxa"/>
              <w:right w:w="100" w:type="dxa"/>
            </w:tcMar>
          </w:tcPr>
          <w:p>
            <w:pPr>
              <w:jc w:val="center"/>
            </w:pPr>
            <w:r>
              <w:rPr>
                <w:rFonts w:ascii="Calibri" w:hAnsi="Calibri"/>
                <w:color w:val="2D3748"/>
                <w:sz w:val="19"/>
              </w:rPr>
              <w:t>Asserts non-video files (.txt, .exe) are rejected with 400 Bad Request.</w:t>
            </w:r>
          </w:p>
        </w:tc>
      </w:tr>
      <w:tr>
        <w:tc>
          <w:tcPr>
            <w:tcW w:type="dxa" w:w="3456"/>
            <w:shd w:fill="F7FAFC"/>
            <w:tcMar>
              <w:top w:w="70" w:type="dxa"/>
              <w:bottom w:w="70" w:type="dxa"/>
              <w:left w:w="100" w:type="dxa"/>
              <w:right w:w="100" w:type="dxa"/>
            </w:tcMar>
          </w:tcPr>
          <w:p>
            <w:pPr>
              <w:jc w:val="left"/>
            </w:pPr>
            <w:r>
              <w:rPr>
                <w:rFonts w:ascii="Calibri" w:hAnsi="Calibri"/>
                <w:color w:val="2D3748"/>
                <w:sz w:val="19"/>
              </w:rPr>
              <w:t>test_health_endpoint</w:t>
            </w:r>
          </w:p>
        </w:tc>
        <w:tc>
          <w:tcPr>
            <w:tcW w:type="dxa" w:w="5904"/>
            <w:shd w:fill="F7FAFC"/>
            <w:tcMar>
              <w:top w:w="70" w:type="dxa"/>
              <w:bottom w:w="70" w:type="dxa"/>
              <w:left w:w="100" w:type="dxa"/>
              <w:right w:w="100" w:type="dxa"/>
            </w:tcMar>
          </w:tcPr>
          <w:p>
            <w:pPr>
              <w:jc w:val="center"/>
            </w:pPr>
            <w:r>
              <w:rPr>
                <w:rFonts w:ascii="Calibri" w:hAnsi="Calibri"/>
                <w:color w:val="2D3748"/>
                <w:sz w:val="19"/>
              </w:rPr>
              <w:t>Validates GET /health returns 'ok' with active backend reported as 'lipforensics'.</w:t>
            </w:r>
          </w:p>
        </w:tc>
      </w:tr>
      <w:tr>
        <w:tc>
          <w:tcPr>
            <w:tcW w:type="dxa" w:w="3456"/>
            <w:shd w:fill="FFFFFF"/>
            <w:tcMar>
              <w:top w:w="70" w:type="dxa"/>
              <w:bottom w:w="70" w:type="dxa"/>
              <w:left w:w="100" w:type="dxa"/>
              <w:right w:w="100" w:type="dxa"/>
            </w:tcMar>
          </w:tcPr>
          <w:p>
            <w:pPr>
              <w:jc w:val="left"/>
            </w:pPr>
            <w:r>
              <w:rPr>
                <w:rFonts w:ascii="Calibri" w:hAnsi="Calibri"/>
                <w:color w:val="2D3748"/>
                <w:sz w:val="19"/>
              </w:rPr>
              <w:t>test_config_endpoint</w:t>
            </w:r>
          </w:p>
        </w:tc>
        <w:tc>
          <w:tcPr>
            <w:tcW w:type="dxa" w:w="5904"/>
            <w:shd w:fill="FFFFFF"/>
            <w:tcMar>
              <w:top w:w="70" w:type="dxa"/>
              <w:bottom w:w="70" w:type="dxa"/>
              <w:left w:w="100" w:type="dxa"/>
              <w:right w:w="100" w:type="dxa"/>
            </w:tcMar>
          </w:tcPr>
          <w:p>
            <w:pPr>
              <w:jc w:val="center"/>
            </w:pPr>
            <w:r>
              <w:rPr>
                <w:rFonts w:ascii="Calibri" w:hAnsi="Calibri"/>
                <w:color w:val="2D3748"/>
                <w:sz w:val="19"/>
              </w:rPr>
              <w:t>Validates GET /config returns correct decision boundaries and telemetry metadata.</w:t>
            </w:r>
          </w:p>
        </w:tc>
      </w:tr>
      <w:tr>
        <w:tc>
          <w:tcPr>
            <w:tcW w:type="dxa" w:w="3456"/>
            <w:shd w:fill="F7FAFC"/>
            <w:tcMar>
              <w:top w:w="70" w:type="dxa"/>
              <w:bottom w:w="70" w:type="dxa"/>
              <w:left w:w="100" w:type="dxa"/>
              <w:right w:w="100" w:type="dxa"/>
            </w:tcMar>
          </w:tcPr>
          <w:p>
            <w:pPr>
              <w:jc w:val="left"/>
            </w:pPr>
            <w:r>
              <w:rPr>
                <w:rFonts w:ascii="Calibri" w:hAnsi="Calibri"/>
                <w:color w:val="2D3748"/>
                <w:sz w:val="19"/>
              </w:rPr>
              <w:t>test_clean_text_function</w:t>
            </w:r>
          </w:p>
        </w:tc>
        <w:tc>
          <w:tcPr>
            <w:tcW w:type="dxa" w:w="5904"/>
            <w:shd w:fill="F7FAFC"/>
            <w:tcMar>
              <w:top w:w="70" w:type="dxa"/>
              <w:bottom w:w="70" w:type="dxa"/>
              <w:left w:w="100" w:type="dxa"/>
              <w:right w:w="100" w:type="dxa"/>
            </w:tcMar>
          </w:tcPr>
          <w:p>
            <w:pPr>
              <w:jc w:val="center"/>
            </w:pPr>
            <w:r>
              <w:rPr>
                <w:rFonts w:ascii="Calibri" w:hAnsi="Calibri"/>
                <w:color w:val="2D3748"/>
                <w:sz w:val="19"/>
              </w:rPr>
              <w:t>Unit tests regex string cleaning, URL removal, and HTML tag stripping.</w:t>
            </w:r>
          </w:p>
        </w:tc>
      </w:tr>
      <w:tr>
        <w:tc>
          <w:tcPr>
            <w:tcW w:type="dxa" w:w="3456"/>
            <w:shd w:fill="FFFFFF"/>
            <w:tcMar>
              <w:top w:w="70" w:type="dxa"/>
              <w:bottom w:w="70" w:type="dxa"/>
              <w:left w:w="100" w:type="dxa"/>
              <w:right w:w="100" w:type="dxa"/>
            </w:tcMar>
          </w:tcPr>
          <w:p>
            <w:pPr>
              <w:jc w:val="left"/>
            </w:pPr>
            <w:r>
              <w:rPr>
                <w:rFonts w:ascii="Calibri" w:hAnsi="Calibri"/>
                <w:color w:val="2D3748"/>
                <w:sz w:val="19"/>
              </w:rPr>
              <w:t>test_load_nlp_models</w:t>
            </w:r>
          </w:p>
        </w:tc>
        <w:tc>
          <w:tcPr>
            <w:tcW w:type="dxa" w:w="5904"/>
            <w:shd w:fill="FFFFFF"/>
            <w:tcMar>
              <w:top w:w="70" w:type="dxa"/>
              <w:bottom w:w="70" w:type="dxa"/>
              <w:left w:w="100" w:type="dxa"/>
              <w:right w:w="100" w:type="dxa"/>
            </w:tcMar>
          </w:tcPr>
          <w:p>
            <w:pPr>
              <w:jc w:val="center"/>
            </w:pPr>
            <w:r>
              <w:rPr>
                <w:rFonts w:ascii="Calibri" w:hAnsi="Calibri"/>
                <w:color w:val="2D3748"/>
                <w:sz w:val="19"/>
              </w:rPr>
              <w:t>Validates presence and unpickling of legacy TF-IDF vectorizers and classifiers.</w:t>
            </w:r>
          </w:p>
        </w:tc>
      </w:tr>
      <w:tr>
        <w:tc>
          <w:tcPr>
            <w:tcW w:type="dxa" w:w="3456"/>
            <w:shd w:fill="F7FAFC"/>
            <w:tcMar>
              <w:top w:w="70" w:type="dxa"/>
              <w:bottom w:w="70" w:type="dxa"/>
              <w:left w:w="100" w:type="dxa"/>
              <w:right w:w="100" w:type="dxa"/>
            </w:tcMar>
          </w:tcPr>
          <w:p>
            <w:pPr>
              <w:jc w:val="left"/>
            </w:pPr>
            <w:r>
              <w:rPr>
                <w:rFonts w:ascii="Calibri" w:hAnsi="Calibri"/>
                <w:color w:val="2D3748"/>
                <w:sz w:val="19"/>
              </w:rPr>
              <w:t>test_yunet_model_exists</w:t>
            </w:r>
          </w:p>
        </w:tc>
        <w:tc>
          <w:tcPr>
            <w:tcW w:type="dxa" w:w="5904"/>
            <w:shd w:fill="F7FAFC"/>
            <w:tcMar>
              <w:top w:w="70" w:type="dxa"/>
              <w:bottom w:w="70" w:type="dxa"/>
              <w:left w:w="100" w:type="dxa"/>
              <w:right w:w="100" w:type="dxa"/>
            </w:tcMar>
          </w:tcPr>
          <w:p>
            <w:pPr>
              <w:jc w:val="center"/>
            </w:pPr>
            <w:r>
              <w:rPr>
                <w:rFonts w:ascii="Calibri" w:hAnsi="Calibri"/>
                <w:color w:val="2D3748"/>
                <w:sz w:val="19"/>
              </w:rPr>
              <w:t>Confirms presence and readability of models/face_detection_yunet_2023mar.onnx.</w:t>
            </w:r>
          </w:p>
        </w:tc>
      </w:tr>
      <w:tr>
        <w:tc>
          <w:tcPr>
            <w:tcW w:type="dxa" w:w="3456"/>
            <w:shd w:fill="FFFFFF"/>
            <w:tcMar>
              <w:top w:w="70" w:type="dxa"/>
              <w:bottom w:w="70" w:type="dxa"/>
              <w:left w:w="100" w:type="dxa"/>
              <w:right w:w="100" w:type="dxa"/>
            </w:tcMar>
          </w:tcPr>
          <w:p>
            <w:pPr>
              <w:jc w:val="left"/>
            </w:pPr>
            <w:r>
              <w:rPr>
                <w:rFonts w:ascii="Calibri" w:hAnsi="Calibri"/>
                <w:color w:val="2D3748"/>
                <w:sz w:val="19"/>
              </w:rPr>
              <w:t>test_sample_video_inference</w:t>
            </w:r>
          </w:p>
        </w:tc>
        <w:tc>
          <w:tcPr>
            <w:tcW w:type="dxa" w:w="5904"/>
            <w:shd w:fill="FFFFFF"/>
            <w:tcMar>
              <w:top w:w="70" w:type="dxa"/>
              <w:bottom w:w="70" w:type="dxa"/>
              <w:left w:w="100" w:type="dxa"/>
              <w:right w:w="100" w:type="dxa"/>
            </w:tcMar>
          </w:tcPr>
          <w:p>
            <w:pPr>
              <w:jc w:val="center"/>
            </w:pPr>
            <w:r>
              <w:rPr>
                <w:rFonts w:ascii="Calibri" w:hAnsi="Calibri"/>
                <w:color w:val="2D3748"/>
                <w:sz w:val="19"/>
              </w:rPr>
              <w:t>Runs end-to-end inference on test MP4 video, asserting schema completeness.</w:t>
            </w:r>
          </w:p>
        </w:tc>
      </w:tr>
      <w:tr>
        <w:tc>
          <w:tcPr>
            <w:tcW w:type="dxa" w:w="3456"/>
            <w:shd w:fill="F7FAFC"/>
            <w:tcMar>
              <w:top w:w="70" w:type="dxa"/>
              <w:bottom w:w="70" w:type="dxa"/>
              <w:left w:w="100" w:type="dxa"/>
              <w:right w:w="100" w:type="dxa"/>
            </w:tcMar>
          </w:tcPr>
          <w:p>
            <w:pPr>
              <w:jc w:val="left"/>
            </w:pPr>
            <w:r>
              <w:rPr>
                <w:rFonts w:ascii="Calibri" w:hAnsi="Calibri"/>
                <w:color w:val="2D3748"/>
                <w:sz w:val="19"/>
              </w:rPr>
              <w:t>test_roberta_inference</w:t>
            </w:r>
          </w:p>
        </w:tc>
        <w:tc>
          <w:tcPr>
            <w:tcW w:type="dxa" w:w="5904"/>
            <w:shd w:fill="F7FAFC"/>
            <w:tcMar>
              <w:top w:w="70" w:type="dxa"/>
              <w:bottom w:w="70" w:type="dxa"/>
              <w:left w:w="100" w:type="dxa"/>
              <w:right w:w="100" w:type="dxa"/>
            </w:tcMar>
          </w:tcPr>
          <w:p>
            <w:pPr>
              <w:jc w:val="center"/>
            </w:pPr>
            <w:r>
              <w:rPr>
                <w:rFonts w:ascii="Calibri" w:hAnsi="Calibri"/>
                <w:color w:val="2D3748"/>
                <w:sz w:val="19"/>
              </w:rPr>
              <w:t>Tests direct PyTorch forward pass of RoBERTa transformer on test articles.</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32" w:space="0" w:color="1A365D"/>
              <w:bottom w:val="none"/>
              <w:right w:val="none"/>
            </w:tcBorders>
          </w:tcPr>
          <w:p>
            <w:pPr>
              <w:spacing w:before="40" w:after="40" w:line="276" w:lineRule="auto"/>
              <w:jc w:val="left"/>
            </w:pPr>
            <w:r>
              <w:rPr>
                <w:rFonts w:ascii="Calibri" w:hAnsi="Calibri"/>
                <w:b/>
                <w:color w:val="1A365D"/>
                <w:sz w:val="21"/>
              </w:rPr>
              <w:t xml:space="preserve">QUALITY ASSURANCE VALIDATION: </w:t>
            </w:r>
            <w:r>
              <w:rPr>
                <w:rFonts w:ascii="Calibri" w:hAnsi="Calibri"/>
                <w:color w:val="2D3748"/>
                <w:sz w:val="20"/>
              </w:rPr>
              <w:t>All 12 automated unit and integration tests executed cleanly in 1.13 seconds on host hardware with zero regressions, confirming that the introduction of RoBERTa and LipForensics preserved backward compatibility across all legacy API contracts.</w:t>
            </w:r>
          </w:p>
        </w:tc>
      </w:tr>
    </w:tbl>
    <w:p>
      <w:pPr>
        <w:spacing w:after="120"/>
      </w:pPr>
    </w:p>
    <w:p>
      <w:r>
        <w:br w:type="page"/>
      </w:r>
    </w:p>
    <w:p>
      <w:pPr>
        <w:pStyle w:val="Heading1"/>
        <w:keepNext/>
        <w:spacing w:before="320" w:after="120"/>
        <w:jc w:val="left"/>
      </w:pPr>
      <w:r>
        <w:rPr>
          <w:rFonts w:ascii="Calibri" w:hAnsi="Calibri"/>
          <w:b/>
          <w:color w:val="1A365D"/>
          <w:sz w:val="32"/>
        </w:rPr>
        <w:t>11. Ethical Considerations, Provisional Policies &amp; Future Roadmap</w:t>
      </w:r>
    </w:p>
    <w:p>
      <w:pPr>
        <w:pStyle w:val="Heading2"/>
        <w:keepNext/>
        <w:spacing w:before="240" w:after="80"/>
        <w:jc w:val="left"/>
      </w:pPr>
      <w:r>
        <w:rPr>
          <w:rFonts w:ascii="Calibri" w:hAnsi="Calibri"/>
          <w:b/>
          <w:color w:val="2B6CB0"/>
          <w:sz w:val="26"/>
        </w:rPr>
        <w:t>11.1 The 3-Tier Provisional Forensic Policy</w:t>
      </w:r>
    </w:p>
    <w:p>
      <w:pPr>
        <w:spacing w:after="120" w:line="276" w:lineRule="auto"/>
        <w:jc w:val="both"/>
      </w:pPr>
      <w:r>
        <w:rPr>
          <w:rFonts w:ascii="Calibri" w:hAnsi="Calibri"/>
          <w:color w:val="2D3748"/>
          <w:sz w:val="22"/>
        </w:rPr>
        <w:t>Automated forensic classifications carry immense social responsibility. False accusations of deepfake fabrication can destroy journalistic careers, sway political elections, and delegitimize genuine digital evidence. To mitigate this hazard, FakeLens x SIGNAL rejects naive binary thresholds in favor of a 3-Tier Provisional Assessment Policy:</w:t>
      </w:r>
    </w:p>
    <w:tbl>
      <w:tblPr>
        <w:tblW w:type="auto" w:w="0"/>
        <w:jc w:val="center"/>
        <w:tblLook w:firstColumn="1" w:firstRow="1" w:lastColumn="0" w:lastRow="0" w:noHBand="0" w:noVBand="1" w:val="04A0"/>
      </w:tblPr>
      <w:tblGrid>
        <w:gridCol w:w="4680"/>
        <w:gridCol w:w="4680"/>
      </w:tblGrid>
      <w:tr>
        <w:tc>
          <w:tcPr>
            <w:tcW w:type="dxa" w:w="3600"/>
            <w:shd w:fill="1A365D"/>
            <w:tcMar>
              <w:top w:w="100" w:type="dxa"/>
              <w:bottom w:w="100" w:type="dxa"/>
              <w:left w:w="120" w:type="dxa"/>
              <w:right w:w="120" w:type="dxa"/>
            </w:tcMar>
          </w:tcPr>
          <w:p>
            <w:pPr>
              <w:jc w:val="center"/>
            </w:pPr>
            <w:r>
              <w:rPr>
                <w:rFonts w:ascii="Calibri" w:hAnsi="Calibri"/>
                <w:b/>
                <w:color w:val="FFFFFF"/>
                <w:sz w:val="20"/>
              </w:rPr>
              <w:t>Provisional Forensic Tier</w:t>
            </w:r>
          </w:p>
        </w:tc>
        <w:tc>
          <w:tcPr>
            <w:tcW w:type="dxa" w:w="5760"/>
            <w:shd w:fill="1A365D"/>
            <w:tcMar>
              <w:top w:w="100" w:type="dxa"/>
              <w:bottom w:w="100" w:type="dxa"/>
              <w:left w:w="120" w:type="dxa"/>
              <w:right w:w="120" w:type="dxa"/>
            </w:tcMar>
          </w:tcPr>
          <w:p>
            <w:pPr>
              <w:jc w:val="center"/>
            </w:pPr>
            <w:r>
              <w:rPr>
                <w:rFonts w:ascii="Calibri" w:hAnsi="Calibri"/>
                <w:b/>
                <w:color w:val="FFFFFF"/>
                <w:sz w:val="20"/>
              </w:rPr>
              <w:t>Operational Meaning &amp; Recommended Action</w:t>
            </w:r>
          </w:p>
        </w:tc>
      </w:tr>
      <w:tr>
        <w:tc>
          <w:tcPr>
            <w:tcW w:type="dxa" w:w="3600"/>
            <w:shd w:fill="FFFFFF"/>
            <w:tcMar>
              <w:top w:w="70" w:type="dxa"/>
              <w:bottom w:w="70" w:type="dxa"/>
              <w:left w:w="100" w:type="dxa"/>
              <w:right w:w="100" w:type="dxa"/>
            </w:tcMar>
          </w:tcPr>
          <w:p>
            <w:pPr>
              <w:jc w:val="left"/>
            </w:pPr>
            <w:r>
              <w:rPr>
                <w:rFonts w:ascii="Calibri" w:hAnsi="Calibri"/>
                <w:color w:val="2D3748"/>
                <w:sz w:val="19"/>
              </w:rPr>
              <w:t>Tier 1: Likely Authentic (Score &lt; 0.40)</w:t>
            </w:r>
          </w:p>
        </w:tc>
        <w:tc>
          <w:tcPr>
            <w:tcW w:type="dxa" w:w="5760"/>
            <w:shd w:fill="FFFFFF"/>
            <w:tcMar>
              <w:top w:w="70" w:type="dxa"/>
              <w:bottom w:w="70" w:type="dxa"/>
              <w:left w:w="100" w:type="dxa"/>
              <w:right w:w="100" w:type="dxa"/>
            </w:tcMar>
          </w:tcPr>
          <w:p>
            <w:pPr>
              <w:jc w:val="center"/>
            </w:pPr>
            <w:r>
              <w:rPr>
                <w:rFonts w:ascii="Calibri" w:hAnsi="Calibri"/>
                <w:color w:val="2D3748"/>
                <w:sz w:val="19"/>
              </w:rPr>
              <w:t>Mouth dynamics and phonetic transitions align with natural biomechanical parameters. Low forensic suspicion.</w:t>
            </w:r>
          </w:p>
        </w:tc>
      </w:tr>
      <w:tr>
        <w:tc>
          <w:tcPr>
            <w:tcW w:type="dxa" w:w="3600"/>
            <w:shd w:fill="F7FAFC"/>
            <w:tcMar>
              <w:top w:w="70" w:type="dxa"/>
              <w:bottom w:w="70" w:type="dxa"/>
              <w:left w:w="100" w:type="dxa"/>
              <w:right w:w="100" w:type="dxa"/>
            </w:tcMar>
          </w:tcPr>
          <w:p>
            <w:pPr>
              <w:jc w:val="left"/>
            </w:pPr>
            <w:r>
              <w:rPr>
                <w:rFonts w:ascii="Calibri" w:hAnsi="Calibri"/>
                <w:color w:val="2D3748"/>
                <w:sz w:val="19"/>
              </w:rPr>
              <w:t>Tier 2: Inconclusive / Needs Review (0.40 &lt;= Score &lt; 0.90)</w:t>
            </w:r>
          </w:p>
        </w:tc>
        <w:tc>
          <w:tcPr>
            <w:tcW w:type="dxa" w:w="5760"/>
            <w:shd w:fill="F7FAFC"/>
            <w:tcMar>
              <w:top w:w="70" w:type="dxa"/>
              <w:bottom w:w="70" w:type="dxa"/>
              <w:left w:w="100" w:type="dxa"/>
              <w:right w:w="100" w:type="dxa"/>
            </w:tcMar>
          </w:tcPr>
          <w:p>
            <w:pPr>
              <w:jc w:val="center"/>
            </w:pPr>
            <w:r>
              <w:rPr>
                <w:rFonts w:ascii="Calibri" w:hAnsi="Calibri"/>
                <w:color w:val="2D3748"/>
                <w:sz w:val="19"/>
              </w:rPr>
              <w:t>Anomalies detected, but insufficient to rule out low lighting, compression blur, or sensor noise. Requires human forensic review.</w:t>
            </w:r>
          </w:p>
        </w:tc>
      </w:tr>
      <w:tr>
        <w:tc>
          <w:tcPr>
            <w:tcW w:type="dxa" w:w="3600"/>
            <w:shd w:fill="FFFFFF"/>
            <w:tcMar>
              <w:top w:w="70" w:type="dxa"/>
              <w:bottom w:w="70" w:type="dxa"/>
              <w:left w:w="100" w:type="dxa"/>
              <w:right w:w="100" w:type="dxa"/>
            </w:tcMar>
          </w:tcPr>
          <w:p>
            <w:pPr>
              <w:jc w:val="left"/>
            </w:pPr>
            <w:r>
              <w:rPr>
                <w:rFonts w:ascii="Calibri" w:hAnsi="Calibri"/>
                <w:color w:val="2D3748"/>
                <w:sz w:val="19"/>
              </w:rPr>
              <w:t>Tier 3: Possible Manipulation (Score &gt;= 0.90)</w:t>
            </w:r>
          </w:p>
        </w:tc>
        <w:tc>
          <w:tcPr>
            <w:tcW w:type="dxa" w:w="5760"/>
            <w:shd w:fill="FFFFFF"/>
            <w:tcMar>
              <w:top w:w="70" w:type="dxa"/>
              <w:bottom w:w="70" w:type="dxa"/>
              <w:left w:w="100" w:type="dxa"/>
              <w:right w:w="100" w:type="dxa"/>
            </w:tcMar>
          </w:tcPr>
          <w:p>
            <w:pPr>
              <w:jc w:val="center"/>
            </w:pPr>
            <w:r>
              <w:rPr>
                <w:rFonts w:ascii="Calibri" w:hAnsi="Calibri"/>
                <w:color w:val="2D3748"/>
                <w:sz w:val="19"/>
              </w:rPr>
              <w:t>Statistically significant spatio-temporal discordance detected. High probability of synthetic alteration.</w:t>
            </w:r>
          </w:p>
        </w:tc>
      </w:tr>
    </w:tbl>
    <w:p>
      <w:pPr>
        <w:spacing w:after="160"/>
      </w:pPr>
    </w:p>
    <w:p>
      <w:pPr>
        <w:pStyle w:val="Heading2"/>
        <w:keepNext/>
        <w:spacing w:before="240" w:after="80"/>
        <w:jc w:val="left"/>
      </w:pPr>
      <w:r>
        <w:rPr>
          <w:rFonts w:ascii="Calibri" w:hAnsi="Calibri"/>
          <w:b/>
          <w:color w:val="2B6CB0"/>
          <w:sz w:val="26"/>
        </w:rPr>
        <w:t>11.2 Future Research &amp; Technical Roadmap</w:t>
      </w:r>
    </w:p>
    <w:p>
      <w:pPr>
        <w:pStyle w:val="ListBullet"/>
        <w:spacing w:after="80" w:line="276" w:lineRule="auto"/>
        <w:ind w:left="432"/>
        <w:jc w:val="left"/>
      </w:pPr>
      <w:r>
        <w:rPr>
          <w:rFonts w:ascii="Calibri" w:hAnsi="Calibri"/>
          <w:b/>
          <w:color w:val="1A365D"/>
          <w:sz w:val="21"/>
        </w:rPr>
        <w:t xml:space="preserve">Cross-Modal Audio-Visual Synchrony (AV-Lip): </w:t>
      </w:r>
      <w:r>
        <w:rPr>
          <w:rFonts w:ascii="Calibri" w:hAnsi="Calibri"/>
          <w:color w:val="2D3748"/>
          <w:sz w:val="21"/>
        </w:rPr>
        <w:t>Future versions will incorporate dual-stream cross-attention networks evaluating the temporal alignment between audio Mel-spectrograms and visual mouth motions to catch advanced voice cloning deepfakes.</w:t>
      </w:r>
    </w:p>
    <w:p>
      <w:pPr>
        <w:pStyle w:val="ListBullet"/>
        <w:spacing w:after="80" w:line="276" w:lineRule="auto"/>
        <w:ind w:left="432"/>
        <w:jc w:val="left"/>
      </w:pPr>
      <w:r>
        <w:rPr>
          <w:rFonts w:ascii="Calibri" w:hAnsi="Calibri"/>
          <w:b/>
          <w:color w:val="1A365D"/>
          <w:sz w:val="21"/>
        </w:rPr>
        <w:t xml:space="preserve">Multilingual RoBERTa Models (XLM-RoBERTa): </w:t>
      </w:r>
      <w:r>
        <w:rPr>
          <w:rFonts w:ascii="Calibri" w:hAnsi="Calibri"/>
          <w:color w:val="2D3748"/>
          <w:sz w:val="21"/>
        </w:rPr>
        <w:t>Expanding the text verification engine to analyze cross-lingual disinformation networks operating in non-English languages.</w:t>
      </w:r>
    </w:p>
    <w:p>
      <w:pPr>
        <w:pStyle w:val="ListBullet"/>
        <w:spacing w:after="80" w:line="276" w:lineRule="auto"/>
        <w:ind w:left="432"/>
        <w:jc w:val="left"/>
      </w:pPr>
      <w:r>
        <w:rPr>
          <w:rFonts w:ascii="Calibri" w:hAnsi="Calibri"/>
          <w:b/>
          <w:color w:val="1A365D"/>
          <w:sz w:val="21"/>
        </w:rPr>
        <w:t xml:space="preserve">Post-Training INT8 Quantization &amp; ONNX Export: </w:t>
      </w:r>
      <w:r>
        <w:rPr>
          <w:rFonts w:ascii="Calibri" w:hAnsi="Calibri"/>
          <w:color w:val="2D3748"/>
          <w:sz w:val="21"/>
        </w:rPr>
        <w:t>Quantizing the LipForensics ResNet-18 + MS-TCN model to INT8 to enable sub-100ms real-time inference on mobile devices and edge browsers.</w:t>
      </w:r>
    </w:p>
    <w:p>
      <w:r>
        <w:br w:type="page"/>
      </w:r>
    </w:p>
    <w:p>
      <w:pPr>
        <w:pStyle w:val="Heading1"/>
        <w:keepNext/>
        <w:spacing w:before="320" w:after="120"/>
        <w:jc w:val="left"/>
      </w:pPr>
      <w:r>
        <w:rPr>
          <w:rFonts w:ascii="Calibri" w:hAnsi="Calibri"/>
          <w:b/>
          <w:color w:val="1A365D"/>
          <w:sz w:val="32"/>
        </w:rPr>
        <w:t>12. References &amp; Selected Bibliography</w:t>
      </w:r>
    </w:p>
    <w:p>
      <w:pPr>
        <w:spacing w:after="120" w:line="276" w:lineRule="auto"/>
        <w:jc w:val="both"/>
      </w:pPr>
      <w:r>
        <w:rPr>
          <w:rFonts w:ascii="Calibri" w:hAnsi="Calibri"/>
          <w:color w:val="2D3748"/>
          <w:sz w:val="22"/>
        </w:rPr>
        <w:t>The following peer-reviewed literature and foundational technical resources guided the design and implementation of this project:</w:t>
      </w:r>
    </w:p>
    <w:tbl>
      <w:tblPr>
        <w:tblW w:type="auto" w:w="0"/>
        <w:jc w:val="center"/>
        <w:tblLook w:firstColumn="1" w:firstRow="1" w:lastColumn="0" w:lastRow="0" w:noHBand="0" w:noVBand="1" w:val="04A0"/>
      </w:tblPr>
      <w:tblGrid>
        <w:gridCol w:w="4680"/>
        <w:gridCol w:w="4680"/>
      </w:tblGrid>
      <w:tr>
        <w:tc>
          <w:tcPr>
            <w:tcW w:type="dxa" w:w="720"/>
            <w:tcMar>
              <w:top w:w="40" w:type="dxa"/>
              <w:bottom w:w="40" w:type="dxa"/>
              <w:left w:w="40" w:type="dxa"/>
              <w:right w:w="40" w:type="dxa"/>
            </w:tcMar>
          </w:tcPr>
          <w:p>
            <w:pPr>
              <w:jc w:val="right"/>
            </w:pPr>
            <w:r>
              <w:rPr>
                <w:rFonts w:ascii="Calibri" w:hAnsi="Calibri"/>
                <w:b/>
                <w:color w:val="1A365D"/>
                <w:sz w:val="19"/>
              </w:rPr>
              <w:t>[1]</w:t>
            </w:r>
          </w:p>
        </w:tc>
        <w:tc>
          <w:tcPr>
            <w:tcW w:type="dxa" w:w="8640"/>
            <w:tcMar>
              <w:top w:w="40" w:type="dxa"/>
              <w:bottom w:w="40" w:type="dxa"/>
              <w:left w:w="60" w:type="dxa"/>
              <w:right w:w="60" w:type="dxa"/>
            </w:tcMar>
          </w:tcPr>
          <w:p>
            <w:pPr>
              <w:jc w:val="both"/>
            </w:pPr>
            <w:r>
              <w:rPr>
                <w:rFonts w:ascii="Calibri" w:hAnsi="Calibri"/>
                <w:color w:val="2D3748"/>
                <w:sz w:val="19"/>
              </w:rPr>
              <w:t>Haliassos, A., Vougioukas, K., Petridis, S., &amp; Pantic, M. (2021). LipForensics: What is not Said in Deepfakes. In Proceedings of the IEEE/CVF Conference on Computer Vision and Pattern Recognition (CVPR), pp. 4939-4949.</w:t>
            </w:r>
          </w:p>
        </w:tc>
      </w:tr>
      <w:tr>
        <w:tc>
          <w:tcPr>
            <w:tcW w:type="dxa" w:w="720"/>
            <w:tcMar>
              <w:top w:w="40" w:type="dxa"/>
              <w:bottom w:w="40" w:type="dxa"/>
              <w:left w:w="40" w:type="dxa"/>
              <w:right w:w="40" w:type="dxa"/>
            </w:tcMar>
          </w:tcPr>
          <w:p>
            <w:pPr>
              <w:jc w:val="right"/>
            </w:pPr>
            <w:r>
              <w:rPr>
                <w:rFonts w:ascii="Calibri" w:hAnsi="Calibri"/>
                <w:b/>
                <w:color w:val="1A365D"/>
                <w:sz w:val="19"/>
              </w:rPr>
              <w:t>[2]</w:t>
            </w:r>
          </w:p>
        </w:tc>
        <w:tc>
          <w:tcPr>
            <w:tcW w:type="dxa" w:w="8640"/>
            <w:tcMar>
              <w:top w:w="40" w:type="dxa"/>
              <w:bottom w:w="40" w:type="dxa"/>
              <w:left w:w="60" w:type="dxa"/>
              <w:right w:w="60" w:type="dxa"/>
            </w:tcMar>
          </w:tcPr>
          <w:p>
            <w:pPr>
              <w:jc w:val="both"/>
            </w:pPr>
            <w:r>
              <w:rPr>
                <w:rFonts w:ascii="Calibri" w:hAnsi="Calibri"/>
                <w:color w:val="2D3748"/>
                <w:sz w:val="19"/>
              </w:rPr>
              <w:t>Liu, Y., Ott, M., Goyal, N., Du, J., Joshi, M., Chen, D., Levy, O., Lewis, M., Zettlemoyer, L., &amp; Stoyanov, V. (2019). RoBERTa: A Robustly Optimized BERT Pretraining Approach. arXiv preprint arXiv:1907.11692.</w:t>
            </w:r>
          </w:p>
        </w:tc>
      </w:tr>
      <w:tr>
        <w:tc>
          <w:tcPr>
            <w:tcW w:type="dxa" w:w="720"/>
            <w:tcMar>
              <w:top w:w="40" w:type="dxa"/>
              <w:bottom w:w="40" w:type="dxa"/>
              <w:left w:w="40" w:type="dxa"/>
              <w:right w:w="40" w:type="dxa"/>
            </w:tcMar>
          </w:tcPr>
          <w:p>
            <w:pPr>
              <w:jc w:val="right"/>
            </w:pPr>
            <w:r>
              <w:rPr>
                <w:rFonts w:ascii="Calibri" w:hAnsi="Calibri"/>
                <w:b/>
                <w:color w:val="1A365D"/>
                <w:sz w:val="19"/>
              </w:rPr>
              <w:t>[3]</w:t>
            </w:r>
          </w:p>
        </w:tc>
        <w:tc>
          <w:tcPr>
            <w:tcW w:type="dxa" w:w="8640"/>
            <w:tcMar>
              <w:top w:w="40" w:type="dxa"/>
              <w:bottom w:w="40" w:type="dxa"/>
              <w:left w:w="60" w:type="dxa"/>
              <w:right w:w="60" w:type="dxa"/>
            </w:tcMar>
          </w:tcPr>
          <w:p>
            <w:pPr>
              <w:jc w:val="both"/>
            </w:pPr>
            <w:r>
              <w:rPr>
                <w:rFonts w:ascii="Calibri" w:hAnsi="Calibri"/>
                <w:color w:val="2D3748"/>
                <w:sz w:val="19"/>
              </w:rPr>
              <w:t>Rossler, A., Cozzolino, D., Verdoliva, L., Riess, C., Thies, J., &amp; Nießner, M. (2019). FaceForensics++: Learning to Detect Manipulated Facial Images. In Proceedings of the IEEE International Conference on Computer Vision (ICCV), pp. 1-11.</w:t>
            </w:r>
          </w:p>
        </w:tc>
      </w:tr>
      <w:tr>
        <w:tc>
          <w:tcPr>
            <w:tcW w:type="dxa" w:w="720"/>
            <w:tcMar>
              <w:top w:w="40" w:type="dxa"/>
              <w:bottom w:w="40" w:type="dxa"/>
              <w:left w:w="40" w:type="dxa"/>
              <w:right w:w="40" w:type="dxa"/>
            </w:tcMar>
          </w:tcPr>
          <w:p>
            <w:pPr>
              <w:jc w:val="right"/>
            </w:pPr>
            <w:r>
              <w:rPr>
                <w:rFonts w:ascii="Calibri" w:hAnsi="Calibri"/>
                <w:b/>
                <w:color w:val="1A365D"/>
                <w:sz w:val="19"/>
              </w:rPr>
              <w:t>[4]</w:t>
            </w:r>
          </w:p>
        </w:tc>
        <w:tc>
          <w:tcPr>
            <w:tcW w:type="dxa" w:w="8640"/>
            <w:tcMar>
              <w:top w:w="40" w:type="dxa"/>
              <w:bottom w:w="40" w:type="dxa"/>
              <w:left w:w="60" w:type="dxa"/>
              <w:right w:w="60" w:type="dxa"/>
            </w:tcMar>
          </w:tcPr>
          <w:p>
            <w:pPr>
              <w:jc w:val="both"/>
            </w:pPr>
            <w:r>
              <w:rPr>
                <w:rFonts w:ascii="Calibri" w:hAnsi="Calibri"/>
                <w:color w:val="2D3748"/>
                <w:sz w:val="19"/>
              </w:rPr>
              <w:t>Devlin, J., Chang, M. W., Lee, K., &amp; Toutanova, K. (2019). BERT: Pre-training of Deep Bidirectional Transformers for Language Understanding. In Proceedings of NAACL-HLT, pp. 4171-4186.</w:t>
            </w:r>
          </w:p>
        </w:tc>
      </w:tr>
      <w:tr>
        <w:tc>
          <w:tcPr>
            <w:tcW w:type="dxa" w:w="720"/>
            <w:tcMar>
              <w:top w:w="40" w:type="dxa"/>
              <w:bottom w:w="40" w:type="dxa"/>
              <w:left w:w="40" w:type="dxa"/>
              <w:right w:w="40" w:type="dxa"/>
            </w:tcMar>
          </w:tcPr>
          <w:p>
            <w:pPr>
              <w:jc w:val="right"/>
            </w:pPr>
            <w:r>
              <w:rPr>
                <w:rFonts w:ascii="Calibri" w:hAnsi="Calibri"/>
                <w:b/>
                <w:color w:val="1A365D"/>
                <w:sz w:val="19"/>
              </w:rPr>
              <w:t>[5]</w:t>
            </w:r>
          </w:p>
        </w:tc>
        <w:tc>
          <w:tcPr>
            <w:tcW w:type="dxa" w:w="8640"/>
            <w:tcMar>
              <w:top w:w="40" w:type="dxa"/>
              <w:bottom w:w="40" w:type="dxa"/>
              <w:left w:w="60" w:type="dxa"/>
              <w:right w:w="60" w:type="dxa"/>
            </w:tcMar>
          </w:tcPr>
          <w:p>
            <w:pPr>
              <w:jc w:val="both"/>
            </w:pPr>
            <w:r>
              <w:rPr>
                <w:rFonts w:ascii="Calibri" w:hAnsi="Calibri"/>
                <w:color w:val="2D3748"/>
                <w:sz w:val="19"/>
              </w:rPr>
              <w:t>Vaswani, A., Shazeer, N., Parmar, N., Uszkoreit, J., Jones, L., Gomez, A. N., Kaiser, L., &amp; Polosukhin, I. (2017). Attention Is All You Need. In Advances in Neural Information Processing Systems (NeurIPS 30), pp. 5998-6008.</w:t>
            </w:r>
          </w:p>
        </w:tc>
      </w:tr>
      <w:tr>
        <w:tc>
          <w:tcPr>
            <w:tcW w:type="dxa" w:w="720"/>
            <w:tcMar>
              <w:top w:w="40" w:type="dxa"/>
              <w:bottom w:w="40" w:type="dxa"/>
              <w:left w:w="40" w:type="dxa"/>
              <w:right w:w="40" w:type="dxa"/>
            </w:tcMar>
          </w:tcPr>
          <w:p>
            <w:pPr>
              <w:jc w:val="right"/>
            </w:pPr>
            <w:r>
              <w:rPr>
                <w:rFonts w:ascii="Calibri" w:hAnsi="Calibri"/>
                <w:b/>
                <w:color w:val="1A365D"/>
                <w:sz w:val="19"/>
              </w:rPr>
              <w:t>[6]</w:t>
            </w:r>
          </w:p>
        </w:tc>
        <w:tc>
          <w:tcPr>
            <w:tcW w:type="dxa" w:w="8640"/>
            <w:tcMar>
              <w:top w:w="40" w:type="dxa"/>
              <w:bottom w:w="40" w:type="dxa"/>
              <w:left w:w="60" w:type="dxa"/>
              <w:right w:w="60" w:type="dxa"/>
            </w:tcMar>
          </w:tcPr>
          <w:p>
            <w:pPr>
              <w:jc w:val="both"/>
            </w:pPr>
            <w:r>
              <w:rPr>
                <w:rFonts w:ascii="Calibri" w:hAnsi="Calibri"/>
                <w:color w:val="2D3748"/>
                <w:sz w:val="19"/>
              </w:rPr>
              <w:t>Dosovitskiy, A., Beyer, L., Kolesnikov, A., Weissenborn, D., Zhai, X., Unterthiner, T., Dehghani, M., Minderer, M., Heigold, G., Gelly, S., Uszkoreit, J., &amp; Houlsby, N. (2021). An Image is Worth 16x16 Words: Transformers for Image Recognition at Scale. In International Conference on Learning Representations (ICLR).</w:t>
            </w:r>
          </w:p>
        </w:tc>
      </w:tr>
      <w:tr>
        <w:tc>
          <w:tcPr>
            <w:tcW w:type="dxa" w:w="720"/>
            <w:tcMar>
              <w:top w:w="40" w:type="dxa"/>
              <w:bottom w:w="40" w:type="dxa"/>
              <w:left w:w="40" w:type="dxa"/>
              <w:right w:w="40" w:type="dxa"/>
            </w:tcMar>
          </w:tcPr>
          <w:p>
            <w:pPr>
              <w:jc w:val="right"/>
            </w:pPr>
            <w:r>
              <w:rPr>
                <w:rFonts w:ascii="Calibri" w:hAnsi="Calibri"/>
                <w:b/>
                <w:color w:val="1A365D"/>
                <w:sz w:val="19"/>
              </w:rPr>
              <w:t>[7]</w:t>
            </w:r>
          </w:p>
        </w:tc>
        <w:tc>
          <w:tcPr>
            <w:tcW w:type="dxa" w:w="8640"/>
            <w:tcMar>
              <w:top w:w="40" w:type="dxa"/>
              <w:bottom w:w="40" w:type="dxa"/>
              <w:left w:w="60" w:type="dxa"/>
              <w:right w:w="60" w:type="dxa"/>
            </w:tcMar>
          </w:tcPr>
          <w:p>
            <w:pPr>
              <w:jc w:val="both"/>
            </w:pPr>
            <w:r>
              <w:rPr>
                <w:rFonts w:ascii="Calibri" w:hAnsi="Calibri"/>
                <w:color w:val="2D3748"/>
                <w:sz w:val="19"/>
              </w:rPr>
              <w:t>YuNet Face Detector (2023). OpenCV Model Zoo: Fast, Compact CNN Face Detection Model with 5-Point Facial Landmarks. Intel Corporation &amp; OpenCV Development Team.</w:t>
            </w:r>
          </w:p>
        </w:tc>
      </w:tr>
      <w:tr>
        <w:tc>
          <w:tcPr>
            <w:tcW w:type="dxa" w:w="720"/>
            <w:tcMar>
              <w:top w:w="40" w:type="dxa"/>
              <w:bottom w:w="40" w:type="dxa"/>
              <w:left w:w="40" w:type="dxa"/>
              <w:right w:w="40" w:type="dxa"/>
            </w:tcMar>
          </w:tcPr>
          <w:p>
            <w:pPr>
              <w:jc w:val="right"/>
            </w:pPr>
            <w:r>
              <w:rPr>
                <w:rFonts w:ascii="Calibri" w:hAnsi="Calibri"/>
                <w:b/>
                <w:color w:val="1A365D"/>
                <w:sz w:val="19"/>
              </w:rPr>
              <w:t>[8]</w:t>
            </w:r>
          </w:p>
        </w:tc>
        <w:tc>
          <w:tcPr>
            <w:tcW w:type="dxa" w:w="8640"/>
            <w:tcMar>
              <w:top w:w="40" w:type="dxa"/>
              <w:bottom w:w="40" w:type="dxa"/>
              <w:left w:w="60" w:type="dxa"/>
              <w:right w:w="60" w:type="dxa"/>
            </w:tcMar>
          </w:tcPr>
          <w:p>
            <w:pPr>
              <w:jc w:val="both"/>
            </w:pPr>
            <w:r>
              <w:rPr>
                <w:rFonts w:ascii="Calibri" w:hAnsi="Calibri"/>
                <w:color w:val="2D3748"/>
                <w:sz w:val="19"/>
              </w:rPr>
              <w:t>Shu, K., Sliva, A., Wang, S., Tang, J., &amp; Liu, H. (2017). Fake News Detection on Social Media: A Data Mining Perspective. ACM SIGKDD Explorations Newsletter, 19(1), 22-36.</w:t>
            </w:r>
          </w:p>
        </w:tc>
      </w:tr>
      <w:tr>
        <w:tc>
          <w:tcPr>
            <w:tcW w:type="dxa" w:w="720"/>
            <w:tcMar>
              <w:top w:w="40" w:type="dxa"/>
              <w:bottom w:w="40" w:type="dxa"/>
              <w:left w:w="40" w:type="dxa"/>
              <w:right w:w="40" w:type="dxa"/>
            </w:tcMar>
          </w:tcPr>
          <w:p>
            <w:pPr>
              <w:jc w:val="right"/>
            </w:pPr>
            <w:r>
              <w:rPr>
                <w:rFonts w:ascii="Calibri" w:hAnsi="Calibri"/>
                <w:b/>
                <w:color w:val="1A365D"/>
                <w:sz w:val="19"/>
              </w:rPr>
              <w:t>[9]</w:t>
            </w:r>
          </w:p>
        </w:tc>
        <w:tc>
          <w:tcPr>
            <w:tcW w:type="dxa" w:w="8640"/>
            <w:tcMar>
              <w:top w:w="40" w:type="dxa"/>
              <w:bottom w:w="40" w:type="dxa"/>
              <w:left w:w="60" w:type="dxa"/>
              <w:right w:w="60" w:type="dxa"/>
            </w:tcMar>
          </w:tcPr>
          <w:p>
            <w:pPr>
              <w:jc w:val="both"/>
            </w:pPr>
            <w:r>
              <w:rPr>
                <w:rFonts w:ascii="Calibri" w:hAnsi="Calibri"/>
                <w:color w:val="2D3748"/>
                <w:sz w:val="19"/>
              </w:rPr>
              <w:t>Afchar, D., Nozick, V., Yamagishi, J., &amp; Echizen, I. (2018). MesoNet: a Compact Facial Video Forgery Detection Network. In IEEE International Workshop on Information Forensics and Security (WIFS), pp. 1-7.</w:t>
            </w:r>
          </w:p>
        </w:tc>
      </w:tr>
      <w:tr>
        <w:tc>
          <w:tcPr>
            <w:tcW w:type="dxa" w:w="720"/>
            <w:tcMar>
              <w:top w:w="40" w:type="dxa"/>
              <w:bottom w:w="40" w:type="dxa"/>
              <w:left w:w="40" w:type="dxa"/>
              <w:right w:w="40" w:type="dxa"/>
            </w:tcMar>
          </w:tcPr>
          <w:p>
            <w:pPr>
              <w:jc w:val="right"/>
            </w:pPr>
            <w:r>
              <w:rPr>
                <w:rFonts w:ascii="Calibri" w:hAnsi="Calibri"/>
                <w:b/>
                <w:color w:val="1A365D"/>
                <w:sz w:val="19"/>
              </w:rPr>
              <w:t>[10]</w:t>
            </w:r>
          </w:p>
        </w:tc>
        <w:tc>
          <w:tcPr>
            <w:tcW w:type="dxa" w:w="8640"/>
            <w:tcMar>
              <w:top w:w="40" w:type="dxa"/>
              <w:bottom w:w="40" w:type="dxa"/>
              <w:left w:w="60" w:type="dxa"/>
              <w:right w:w="60" w:type="dxa"/>
            </w:tcMar>
          </w:tcPr>
          <w:p>
            <w:pPr>
              <w:jc w:val="both"/>
            </w:pPr>
            <w:r>
              <w:rPr>
                <w:rFonts w:ascii="Calibri" w:hAnsi="Calibri"/>
                <w:color w:val="2D3748"/>
                <w:sz w:val="19"/>
              </w:rPr>
              <w:t>Karras, T., Laine, S., &amp; Aila, T. (2019). A Style-Based Generator Architecture for Generative Adversarial Networks. In Proceedings of the IEEE/CVF Conference on Computer Vision and Pattern Recognition (CVPR), pp. 4401-4410.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EC0"/>
        <w:sz w:val="17"/>
      </w:rPr>
      <w:t>Academic Engineering &amp; Research Documentation — Final Capstone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FakeLens x SIGNAL | Multimodal Deepfake &amp; Disinformation Forensics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