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Monthly Reliability Report — Midwest — December 2025</w:t>
      </w:r>
    </w:p>
    <w:p>
      <w:r>
        <w:t>Monthly reliability report for the Midwest region covering December 2025. This report summarizes distribution reliability performance for all feeders in the region and is prepared for internal review and regulatory submission.</w:t>
      </w:r>
    </w:p>
    <w:p>
      <w:r>
        <w:t>During the reporting period the region recorded 12 outage events 1 at severity P1, 2 at severity P2, 7 at severity P3, 2 at severity P4. 12 events were restored within the period, accounting for approximately 4,077,919 customer-minutes of interruption across 16,534 customer interruptions.</w:t>
      </w:r>
    </w:p>
    <w:p>
      <w:r>
        <w:t>Calculated reliability indices for Midwest in December 2025: SAIDI 38837.32 minutes per customer, SAIFI 157.467 interruptions per customer, CAIDI 246.6 minutes per interrupted customer. These figures are calculated against a served base of 105 metered customers in the region.</w:t>
      </w:r>
    </w:p>
    <w:p>
      <w:r>
        <w:t>Methodology note: SAIDI is the sum of customers affected multiplied by outage duration in minutes, divided by total customers served. SAIFI is total customer interruptions divided by total customers served. CAIDI is SAIDI divided by SAIFI. Momentary interruptions cleared by automatic reclose are excluded from these figures and are tracked separately under MAIFI. Major event days, where daily SAIDI exceeds the statistical threshold, are excluded from routine reporting and reported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