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XFMR-00204</w:t>
      </w:r>
    </w:p>
    <w:p>
      <w:r>
        <w:t>Asset inspection record for transformer XFMR-00204, a 53.93 MVA unit manufactured by Hitachi Energy and installed in 1990 (36 years in service). The unit is connected to feeder feeder-006-0429 at substation sub-robinsonshire-006 and its current status is in_service.</w:t>
      </w:r>
    </w:p>
    <w:p>
      <w:r>
        <w:t>Visual inspection findings: oil level and condition — clear, recently filtered. Bushings — minor surface contamination. Cooling fans and radiators were operating normally with minor debris accumulation. Grounding connections were verified intact. Inspection performed by a Asset Inspector under weather conditions: high wind advisory.</w:t>
      </w:r>
    </w:p>
    <w:p>
      <w:r>
        <w:t>SCADA alarm history for XFMR-00204 over the trailing twelve months shows 3 recorded alarms: differential protection trip (2), transformer overtemperature (1). 1 of these remain unresolved.</w:t>
      </w:r>
    </w:p>
    <w:p>
      <w:r>
        <w:t>Thermal alarm count (1) is below the capacity-upgrade-review threshold. No loading study is required at this time.</w:t>
      </w:r>
    </w:p>
    <w:p>
      <w:r>
        <w:t>Recommended follow-up: schedule dissolved gas analysis at the next routine maintenance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