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 Inspection Report — XFMR-00496</w:t>
      </w:r>
    </w:p>
    <w:p>
      <w:r>
        <w:t>Asset inspection record for transformer XFMR-00496, a 46.80 MVA unit manufactured by Hitachi Energy and installed in 2023 (3 years in service). The unit is connected to feeder feeder-023-0446 at substation sub-eastlydiamouth-023 and its current status is maintenance.</w:t>
      </w:r>
    </w:p>
    <w:p>
      <w:r>
        <w:t>Visual inspection findings: oil level and condition — darkened — schedule dielectric test. Bushings — no visible tracking. Cooling fans and radiators were operating normally with minor debris accumulation. Grounding connections were verified intact. Inspection performed by a Relay Technician under weather conditions: light rain.</w:t>
      </w:r>
    </w:p>
    <w:p>
      <w:r>
        <w:t>SCADA alarm history for XFMR-00496 over the trailing twelve months shows 3 recorded alarms: differential protection trip (1), ground fault (1), low oil level (1). 0 of these remain unresolved.</w:t>
      </w:r>
    </w:p>
    <w:p>
      <w:r>
        <w:t>Thermal alarm count (0) is below the capacity-upgrade-review threshold. No loading study is required at this time.</w:t>
      </w:r>
    </w:p>
    <w:p>
      <w:r>
        <w:t>Recommended follow-up: unit is maintenance; confirm clearance and tagout status before any further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