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421003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3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Know Your TX – Dissecting a Transaction 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</w:t>
      </w:r>
      <w:r>
        <w:rPr>
          <w:sz w:val="24"/>
          <w:szCs w:val="24"/>
        </w:rPr>
        <w:t xml:space="preserve">o understand and analyze the structure of a blockchain transaction by viewing its details on a blockchain  explorer</w:t>
      </w:r>
      <w:r>
        <w:t xml:space="preserve">. 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Style w:val="924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Laptop/PC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24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MetaMask Wallet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24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  <w:t xml:space="preserve">Blockchain Explorer (Etherscan for Sepolia testnet)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24"/>
        <w:numPr>
          <w:ilvl w:val="0"/>
          <w:numId w:val="19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Browser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 w:before="4"/>
        <w:ind w:firstLine="0" w:left="144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0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408571</wp:posOffset>
                </wp:positionH>
                <wp:positionV relativeFrom="paragraph">
                  <wp:posOffset>60960</wp:posOffset>
                </wp:positionV>
                <wp:extent cx="6661150" cy="1474575"/>
                <wp:effectExtent l="6348" t="6348" r="6348" b="6348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14745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24"/>
                              <w:numPr>
                                <w:ilvl w:val="0"/>
                                <w:numId w:val="2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Transaction (TX):</w:t>
                              <w:br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A record of the transfer of value (ETH or tokens) or execution of a smart contract on the blockchain.</w:t>
                            </w:r>
                          </w:p>
                          <w:p>
                            <w:pPr>
                              <w:pStyle w:val="924"/>
                              <w:numPr>
                                <w:ilvl w:val="0"/>
                                <w:numId w:val="2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Blockchain Explorer:</w:t>
                              <w:br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A web tool to view detailed information about blockchain data including transactions, wallet balances, and block confirmations (e.g., Etherscan).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</w:p>
                          <w:p>
                            <w:pPr>
                              <w:pStyle w:val="926"/>
                              <w:pBdr/>
                              <w:spacing/>
                              <w:ind w:left="1004"/>
                              <w:rPr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2.17pt;mso-position-horizontal:absolute;mso-position-vertical-relative:text;margin-top:4.80pt;mso-position-vertical:absolute;width:524.50pt;height:116.11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24"/>
                        <w:numPr>
                          <w:ilvl w:val="0"/>
                          <w:numId w:val="2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Transaction (TX):</w:t>
                        <w:br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A record of the transfer of value (ETH or tokens) or execution of a smart contract on the blockchain.</w:t>
                      </w:r>
                    </w:p>
                    <w:p>
                      <w:pPr>
                        <w:pStyle w:val="924"/>
                        <w:numPr>
                          <w:ilvl w:val="0"/>
                          <w:numId w:val="2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Blockchain Explorer:</w:t>
                        <w:br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A web tool to view detailed information about blockchain data including transactions, wallet balances, and block confirmations (e.g., Etherscan).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</w:p>
                    <w:p>
                      <w:pPr>
                        <w:pStyle w:val="926"/>
                        <w:pBdr/>
                        <w:spacing/>
                        <w:ind w:left="1004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4126920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412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324.9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p>
      <w:pPr>
        <w:pBdr/>
        <w:spacing w:before="9"/>
        <w:ind w:left="142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eastAsia="Times New Roman" w:cs="Times New Roman"/>
        </w:rPr>
        <w:t xml:space="preserve">Open MetaMask  click on the network selector at the top.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Select Sepolia Test Network.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  <w:t xml:space="preserve">3.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</w:rPr>
        <w:t xml:space="preserve">Click on your MetaMask account name to copy your wallet address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baseline"/>
        </w:rPr>
        <w:t xml:space="preserve">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Access Sepolia Faucet Website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5.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Paste your copied MetaMask Sepolia address into the faucet input box.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</w:rPr>
        <w:t xml:space="preserve">Click on Request ETH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7.</w:t>
      </w:r>
      <w:r>
        <w:rPr>
          <w:rFonts w:ascii="Times New Roman" w:hAnsi="Times New Roman" w:eastAsia="Times New Roman" w:cs="Times New Roman"/>
        </w:rPr>
        <w:t xml:space="preserve">Wait for Transaction Confirmation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8.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Open MetaMask, refresh, and see Sepolia ETH balance increased.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3336"/>
        </w:tabs>
        <w:spacing w:before="9"/>
        <w:ind w:left="142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9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Click the transaction link from the faucet and check the details.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9"/>
        <w:ind w:left="142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54912" behindDoc="0" locked="0" layoutInCell="1" allowOverlap="1">
                <wp:simplePos x="0" y="0"/>
                <wp:positionH relativeFrom="column">
                  <wp:posOffset>108290</wp:posOffset>
                </wp:positionH>
                <wp:positionV relativeFrom="paragraph">
                  <wp:posOffset>5715</wp:posOffset>
                </wp:positionV>
                <wp:extent cx="6496050" cy="2178937"/>
                <wp:effectExtent l="0" t="0" r="0" b="0"/>
                <wp:wrapSquare wrapText="bothSides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3746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 flipH="0" flipV="0">
                          <a:off x="0" y="0"/>
                          <a:ext cx="6496049" cy="2178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position:absolute;z-index:487654912;o:allowoverlap:true;o:allowincell:true;mso-position-horizontal-relative:text;margin-left:8.53pt;mso-position-horizontal:absolute;mso-position-vertical-relative:text;margin-top:0.45pt;mso-position-vertical:absolute;width:511.50pt;height:171.57pt;mso-wrap-distance-left:9.07pt;mso-wrap-distance-top:0.00pt;mso-wrap-distance-right:9.07pt;mso-wrap-distance-bottom:0.00pt;z-index:1;" stroked="false">
                <w10:wrap type="square"/>
                <v:imagedata r:id="rId52" o:title=""/>
                <o:lock v:ext="edit" rotation="t"/>
              </v:shape>
            </w:pict>
          </mc:Fallback>
        </mc:AlternateContent>
        <w:t xml:space="preserve">                                                                     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Fig:- Transaction </w: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Observation Table:-</w:t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51840" behindDoc="0" locked="0" layoutInCell="1" allowOverlap="1">
                <wp:simplePos x="0" y="0"/>
                <wp:positionH relativeFrom="column">
                  <wp:posOffset>108290</wp:posOffset>
                </wp:positionH>
                <wp:positionV relativeFrom="paragraph">
                  <wp:posOffset>77585</wp:posOffset>
                </wp:positionV>
                <wp:extent cx="6648450" cy="1495425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648449" cy="1495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737"/>
                              <w:tblW w:w="0" w:type="auto"/>
                              <w:tblBorders/>
                              <w:tblLook w:val="04A0" w:firstRow="1" w:lastRow="0" w:firstColumn="1" w:lastColumn="0" w:noHBand="0" w:noVBand="1"/>
                              <w:tblLayout w:type="fixed"/>
                            </w:tblPr>
                            <w:tblGrid>
                              <w:gridCol w:w="850"/>
                              <w:gridCol w:w="9322"/>
                            </w:tblGrid>
                            <w:tr>
                              <w:trPr/>
                              <w:tc>
                                <w:tcPr>
                                  <w:tcW w:w="850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highlight w:val="none"/>
                                    </w:rPr>
                                    <w:t xml:space="preserve">Sl no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22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Observation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0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22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t xml:space="preserve">Wallet address copied and pasted on Sepolia Test Network.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0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22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t xml:space="preserve">ETH requested successfully from the faucet.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/>
                              </w:trPr>
                              <w:tc>
                                <w:tcPr>
                                  <w:tcW w:w="850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22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t xml:space="preserve">Sepolia ETH received in MetaMask wallet within minutes.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0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22" w:type="dxa"/>
                                  <w:tcBorders/>
                                  <w:noWrap w:val="false"/>
                                  <w:textDirection w:val="lrTb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t xml:space="preserve">Transaction verified on Sepolia Etherscan with “Success” status.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highlight w:val="non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7" o:spid="_x0000_s87" o:spt="202" type="#_x0000_t202" style="position:absolute;z-index:487651840;o:allowoverlap:true;o:allowincell:true;mso-position-horizontal-relative:text;margin-left:8.53pt;mso-position-horizontal:absolute;mso-position-vertical-relative:text;margin-top:6.11pt;mso-position-vertical:absolute;width:523.50pt;height:117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tbl>
                      <w:tblPr>
                        <w:tblStyle w:val="737"/>
                        <w:tblW w:w="0" w:type="auto"/>
                        <w:tblBorders/>
                        <w:tblLook w:val="04A0" w:firstRow="1" w:lastRow="0" w:firstColumn="1" w:lastColumn="0" w:noHBand="0" w:noVBand="1"/>
                        <w:tblLayout w:type="fixed"/>
                      </w:tblPr>
                      <w:tblGrid>
                        <w:gridCol w:w="850"/>
                        <w:gridCol w:w="9322"/>
                      </w:tblGrid>
                      <w:tr>
                        <w:trPr/>
                        <w:tc>
                          <w:tcPr>
                            <w:tcW w:w="850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  <w:t xml:space="preserve">Sl no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</w:tc>
                        <w:tc>
                          <w:tcPr>
                            <w:tcW w:w="9322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Observation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0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</w:tc>
                        <w:tc>
                          <w:tcPr>
                            <w:tcW w:w="9322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t xml:space="preserve">Wallet address copied and pasted on Sepolia Test Network.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0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</w:tc>
                        <w:tc>
                          <w:tcPr>
                            <w:tcW w:w="9322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t xml:space="preserve">ETH requested successfully from the faucet.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6"/>
                        </w:trPr>
                        <w:tc>
                          <w:tcPr>
                            <w:tcW w:w="850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</w:tc>
                        <w:tc>
                          <w:tcPr>
                            <w:tcW w:w="9322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t xml:space="preserve">Sepolia ETH received in MetaMask wallet within minutes.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0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</w:tc>
                        <w:tc>
                          <w:tcPr>
                            <w:tcW w:w="9322" w:type="dxa"/>
                            <w:tcBorders/>
                            <w:noWrap w:val="false"/>
                            <w:textDirection w:val="lrTb"/>
                          </w:tcPr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t xml:space="preserve">Transaction verified on Sepolia Etherscan with “Success” status.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44030" cy="237110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704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6844029" cy="2371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width:538.90pt;height:186.70pt;mso-wrap-distance-left:0.00pt;mso-wrap-distance-top:0.00pt;mso-wrap-distance-right:0.00pt;mso-wrap-distance-bottom:0.00pt;z-index:1;" stroked="false">
                <v:imagedata r:id="rId53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b/>
          <w:bCs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20"/>
          <w:highlight w:val="none"/>
        </w:rPr>
        <w:t xml:space="preserve">   </w:t>
      </w:r>
      <w:r>
        <w:rPr>
          <w:rFonts w:ascii="Times New Roman"/>
          <w:b/>
          <w:bCs/>
          <w:sz w:val="24"/>
          <w:szCs w:val="24"/>
          <w:highlight w:val="none"/>
        </w:rPr>
        <w:t xml:space="preserve"> Signature of the faculty:    </w:t>
      </w:r>
      <w:r>
        <w:rPr>
          <w:rFonts w:ascii="Times New Roman"/>
          <w:b/>
          <w:bCs/>
          <w:sz w:val="20"/>
          <w:szCs w:val="20"/>
          <w:highlight w:val="none"/>
        </w:rPr>
        <w:t xml:space="preserve">                                                                          </w:t>
      </w:r>
      <w:r>
        <w:rPr>
          <w:rFonts w:ascii="Times New Roman"/>
          <w:b/>
          <w:bCs/>
          <w:sz w:val="24"/>
          <w:szCs w:val="24"/>
          <w:highlight w:val="none"/>
        </w:rPr>
        <w:t xml:space="preserve">  Signature of the Student:</w:t>
      </w:r>
      <w:r>
        <w:rPr>
          <w:rFonts w:ascii="Times New Roman"/>
          <w:b/>
          <w:bCs/>
          <w:sz w:val="20"/>
          <w:szCs w:val="20"/>
          <w:highlight w:val="none"/>
        </w:rPr>
      </w:r>
      <w:r>
        <w:rPr>
          <w:rFonts w:ascii="Times New Roman"/>
          <w:b/>
          <w:bCs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b/>
          <w:bCs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20"/>
          <w:highlight w:val="none"/>
        </w:rPr>
        <w:t xml:space="preserve">                                                                                                                                       Name: </w:t>
      </w:r>
      <w:r>
        <w:rPr>
          <w:rFonts w:ascii="Times New Roman"/>
          <w:b/>
          <w:bCs/>
          <w:sz w:val="20"/>
          <w:szCs w:val="20"/>
          <w:highlight w:val="none"/>
        </w:rPr>
      </w:r>
      <w:r>
        <w:rPr>
          <w:rFonts w:ascii="Times New Roman"/>
          <w:b/>
          <w:bCs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b/>
          <w:bCs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20"/>
          <w:highlight w:val="none"/>
        </w:rPr>
        <w:t xml:space="preserve">                                                                                                                                       Regn no:</w:t>
      </w:r>
      <w:r>
        <w:rPr>
          <w:rFonts w:ascii="Times New Roman"/>
          <w:b/>
          <w:bCs/>
          <w:sz w:val="20"/>
          <w:szCs w:val="20"/>
          <w:highlight w:val="none"/>
        </w:rPr>
      </w:r>
      <w:r>
        <w:rPr>
          <w:rFonts w:ascii="Times New Roman"/>
          <w:b/>
          <w:bCs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Bdr/>
        <w:spacing w:before="9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>
        <w:lang w:val="en-US" w:eastAsia="en-US" w:bidi="ar-S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bc2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b5a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3d69c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2cddd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fac091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a9796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c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7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2cddd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ac091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0"/>
    <w:next w:val="920"/>
    <w:link w:val="87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0"/>
    <w:next w:val="920"/>
    <w:link w:val="87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0"/>
    <w:next w:val="920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0"/>
    <w:next w:val="920"/>
    <w:link w:val="87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0"/>
    <w:next w:val="920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0"/>
    <w:next w:val="920"/>
    <w:link w:val="87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0"/>
    <w:next w:val="920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0"/>
    <w:next w:val="920"/>
    <w:link w:val="87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0"/>
    <w:next w:val="920"/>
    <w:link w:val="88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>
    <w:name w:val="Heading 1 Char"/>
    <w:basedOn w:val="921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3">
    <w:name w:val="Heading 2 Char"/>
    <w:basedOn w:val="921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4">
    <w:name w:val="Heading 3 Char"/>
    <w:basedOn w:val="921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5">
    <w:name w:val="Heading 4 Char"/>
    <w:basedOn w:val="921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6">
    <w:name w:val="Heading 5 Char"/>
    <w:basedOn w:val="921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7">
    <w:name w:val="Heading 6 Char"/>
    <w:basedOn w:val="921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8">
    <w:name w:val="Heading 7 Char"/>
    <w:basedOn w:val="921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9">
    <w:name w:val="Heading 8 Char"/>
    <w:basedOn w:val="921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0">
    <w:name w:val="Heading 9 Char"/>
    <w:basedOn w:val="921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1">
    <w:name w:val="Title"/>
    <w:basedOn w:val="920"/>
    <w:next w:val="920"/>
    <w:link w:val="88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2">
    <w:name w:val="Title Char"/>
    <w:basedOn w:val="921"/>
    <w:link w:val="8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3">
    <w:name w:val="Subtitle"/>
    <w:basedOn w:val="920"/>
    <w:next w:val="920"/>
    <w:link w:val="88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4">
    <w:name w:val="Subtitle Char"/>
    <w:basedOn w:val="921"/>
    <w:link w:val="8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5">
    <w:name w:val="Quote"/>
    <w:basedOn w:val="920"/>
    <w:next w:val="920"/>
    <w:link w:val="8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6">
    <w:name w:val="Quote Char"/>
    <w:basedOn w:val="921"/>
    <w:link w:val="8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Intense Emphasis"/>
    <w:basedOn w:val="9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20"/>
    <w:next w:val="920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1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20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1"/>
    <w:uiPriority w:val="20"/>
    <w:qFormat/>
    <w:pPr>
      <w:pBdr/>
      <w:spacing/>
      <w:ind/>
    </w:pPr>
    <w:rPr>
      <w:i/>
      <w:iCs/>
    </w:rPr>
  </w:style>
  <w:style w:type="character" w:styleId="894">
    <w:name w:val="Subtle Reference"/>
    <w:basedOn w:val="9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5">
    <w:name w:val="Book Title"/>
    <w:basedOn w:val="92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6">
    <w:name w:val="Header"/>
    <w:basedOn w:val="920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Header Char"/>
    <w:basedOn w:val="921"/>
    <w:link w:val="896"/>
    <w:uiPriority w:val="99"/>
    <w:pPr>
      <w:pBdr/>
      <w:spacing/>
      <w:ind/>
    </w:pPr>
  </w:style>
  <w:style w:type="paragraph" w:styleId="898">
    <w:name w:val="Footer"/>
    <w:basedOn w:val="920"/>
    <w:link w:val="89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9">
    <w:name w:val="Footer Char"/>
    <w:basedOn w:val="921"/>
    <w:link w:val="898"/>
    <w:uiPriority w:val="99"/>
    <w:pPr>
      <w:pBdr/>
      <w:spacing/>
      <w:ind/>
    </w:pPr>
  </w:style>
  <w:style w:type="paragraph" w:styleId="900">
    <w:name w:val="Caption"/>
    <w:basedOn w:val="920"/>
    <w:next w:val="92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1">
    <w:name w:val="footnote text"/>
    <w:basedOn w:val="920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Footnote Text Char"/>
    <w:basedOn w:val="921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foot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endnote text"/>
    <w:basedOn w:val="920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Endnote Text Char"/>
    <w:basedOn w:val="921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end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character" w:styleId="907">
    <w:name w:val="Hyperlink"/>
    <w:basedOn w:val="9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8">
    <w:name w:val="FollowedHyperlink"/>
    <w:basedOn w:val="9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9">
    <w:name w:val="toc 1"/>
    <w:basedOn w:val="920"/>
    <w:next w:val="920"/>
    <w:uiPriority w:val="39"/>
    <w:unhideWhenUsed/>
    <w:pPr>
      <w:pBdr/>
      <w:spacing w:after="100"/>
      <w:ind/>
    </w:pPr>
  </w:style>
  <w:style w:type="paragraph" w:styleId="910">
    <w:name w:val="toc 2"/>
    <w:basedOn w:val="920"/>
    <w:next w:val="920"/>
    <w:uiPriority w:val="39"/>
    <w:unhideWhenUsed/>
    <w:pPr>
      <w:pBdr/>
      <w:spacing w:after="100"/>
      <w:ind w:left="220"/>
    </w:pPr>
  </w:style>
  <w:style w:type="paragraph" w:styleId="911">
    <w:name w:val="toc 3"/>
    <w:basedOn w:val="920"/>
    <w:next w:val="920"/>
    <w:uiPriority w:val="39"/>
    <w:unhideWhenUsed/>
    <w:pPr>
      <w:pBdr/>
      <w:spacing w:after="100"/>
      <w:ind w:left="440"/>
    </w:pPr>
  </w:style>
  <w:style w:type="paragraph" w:styleId="912">
    <w:name w:val="toc 4"/>
    <w:basedOn w:val="920"/>
    <w:next w:val="920"/>
    <w:uiPriority w:val="39"/>
    <w:unhideWhenUsed/>
    <w:pPr>
      <w:pBdr/>
      <w:spacing w:after="100"/>
      <w:ind w:left="660"/>
    </w:pPr>
  </w:style>
  <w:style w:type="paragraph" w:styleId="913">
    <w:name w:val="toc 5"/>
    <w:basedOn w:val="920"/>
    <w:next w:val="920"/>
    <w:uiPriority w:val="39"/>
    <w:unhideWhenUsed/>
    <w:pPr>
      <w:pBdr/>
      <w:spacing w:after="100"/>
      <w:ind w:left="880"/>
    </w:pPr>
  </w:style>
  <w:style w:type="paragraph" w:styleId="914">
    <w:name w:val="toc 6"/>
    <w:basedOn w:val="920"/>
    <w:next w:val="920"/>
    <w:uiPriority w:val="39"/>
    <w:unhideWhenUsed/>
    <w:pPr>
      <w:pBdr/>
      <w:spacing w:after="100"/>
      <w:ind w:left="1100"/>
    </w:pPr>
  </w:style>
  <w:style w:type="paragraph" w:styleId="915">
    <w:name w:val="toc 7"/>
    <w:basedOn w:val="920"/>
    <w:next w:val="920"/>
    <w:uiPriority w:val="39"/>
    <w:unhideWhenUsed/>
    <w:pPr>
      <w:pBdr/>
      <w:spacing w:after="100"/>
      <w:ind w:left="1320"/>
    </w:pPr>
  </w:style>
  <w:style w:type="paragraph" w:styleId="916">
    <w:name w:val="toc 8"/>
    <w:basedOn w:val="920"/>
    <w:next w:val="920"/>
    <w:uiPriority w:val="39"/>
    <w:unhideWhenUsed/>
    <w:pPr>
      <w:pBdr/>
      <w:spacing w:after="100"/>
      <w:ind w:left="1540"/>
    </w:pPr>
  </w:style>
  <w:style w:type="paragraph" w:styleId="917">
    <w:name w:val="toc 9"/>
    <w:basedOn w:val="920"/>
    <w:next w:val="920"/>
    <w:uiPriority w:val="39"/>
    <w:unhideWhenUsed/>
    <w:pPr>
      <w:pBdr/>
      <w:spacing w:after="100"/>
      <w:ind w:left="1760"/>
    </w:pPr>
  </w:style>
  <w:style w:type="paragraph" w:styleId="918">
    <w:name w:val="TOC Heading"/>
    <w:uiPriority w:val="39"/>
    <w:unhideWhenUsed/>
    <w:pPr>
      <w:pBdr/>
      <w:spacing/>
      <w:ind/>
    </w:pPr>
  </w:style>
  <w:style w:type="paragraph" w:styleId="919">
    <w:name w:val="table of figures"/>
    <w:basedOn w:val="920"/>
    <w:next w:val="920"/>
    <w:uiPriority w:val="99"/>
    <w:unhideWhenUsed/>
    <w:pPr>
      <w:pBdr/>
      <w:spacing w:after="0" w:afterAutospacing="0"/>
      <w:ind/>
    </w:pPr>
  </w:style>
  <w:style w:type="paragraph" w:styleId="920" w:default="1">
    <w:name w:val="Normal"/>
    <w:qFormat/>
    <w:pPr>
      <w:pBdr/>
      <w:spacing/>
      <w:ind/>
    </w:pPr>
  </w:style>
  <w:style w:type="character" w:styleId="921" w:default="1">
    <w:name w:val="Default Paragraph Font"/>
    <w:uiPriority w:val="1"/>
    <w:unhideWhenUsed/>
    <w:pPr>
      <w:pBdr/>
      <w:spacing/>
      <w:ind/>
    </w:pPr>
  </w:style>
  <w:style w:type="table" w:styleId="92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3" w:default="1">
    <w:name w:val="No List"/>
    <w:uiPriority w:val="99"/>
    <w:semiHidden/>
    <w:unhideWhenUsed/>
    <w:pPr>
      <w:pBdr/>
      <w:spacing/>
      <w:ind/>
    </w:pPr>
  </w:style>
  <w:style w:type="paragraph" w:styleId="924">
    <w:name w:val="List Paragraph"/>
    <w:basedOn w:val="920"/>
    <w:uiPriority w:val="1"/>
    <w:qFormat/>
    <w:pPr>
      <w:pBdr/>
      <w:spacing/>
      <w:ind/>
    </w:pPr>
  </w:style>
  <w:style w:type="paragraph" w:styleId="925" w:customStyle="1">
    <w:name w:val="Table Paragraph"/>
    <w:basedOn w:val="920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26">
    <w:name w:val="Normal (Web)"/>
    <w:basedOn w:val="920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27">
    <w:name w:val="Strong"/>
    <w:basedOn w:val="921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7</cp:revision>
  <dcterms:created xsi:type="dcterms:W3CDTF">2025-07-20T18:30:00Z</dcterms:created>
  <dcterms:modified xsi:type="dcterms:W3CDTF">2025-08-20T07:56:38Z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