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EC157" w14:textId="77777777" w:rsidR="00710F12" w:rsidRDefault="00000000">
      <w:pPr>
        <w:spacing w:before="480" w:after="80"/>
        <w:jc w:val="center"/>
      </w:pPr>
      <w:r>
        <w:rPr>
          <w:b/>
          <w:color w:val="1B365D"/>
          <w:sz w:val="52"/>
        </w:rPr>
        <w:t>TECHNICAL PROJECT REPORT</w:t>
      </w:r>
    </w:p>
    <w:p w14:paraId="725BDBE0" w14:textId="77777777" w:rsidR="00710F12" w:rsidRDefault="00000000">
      <w:pPr>
        <w:spacing w:after="480"/>
        <w:jc w:val="center"/>
      </w:pPr>
      <w:r>
        <w:rPr>
          <w:i/>
          <w:color w:val="4A777A"/>
          <w:sz w:val="26"/>
        </w:rPr>
        <w:t>Autonomous AI Honeypot &amp; Threat Logging System Backend Architecture</w:t>
      </w:r>
    </w:p>
    <w:p w14:paraId="490F2632" w14:textId="77777777" w:rsidR="00710F12" w:rsidRDefault="00710F12">
      <w:pPr>
        <w:pBdr>
          <w:bottom w:val="single" w:sz="6" w:space="1" w:color="4A777A"/>
        </w:pBdr>
        <w:spacing w:after="360"/>
      </w:pPr>
    </w:p>
    <w:p w14:paraId="653935E3" w14:textId="77777777" w:rsidR="00710F12" w:rsidRDefault="00000000">
      <w:pPr>
        <w:keepNext/>
        <w:pBdr>
          <w:bottom w:val="single" w:sz="12" w:space="4" w:color="1B365D"/>
        </w:pBdr>
        <w:spacing w:before="360"/>
      </w:pPr>
      <w:r>
        <w:rPr>
          <w:b/>
          <w:color w:val="1B365D"/>
          <w:sz w:val="36"/>
        </w:rPr>
        <w:t>1. Executive Project Overview</w:t>
      </w:r>
    </w:p>
    <w:p w14:paraId="5ED52A9E" w14:textId="77777777" w:rsidR="00710F12" w:rsidRDefault="00000000">
      <w:r>
        <w:t xml:space="preserve">The </w:t>
      </w:r>
      <w:r>
        <w:rPr>
          <w:b/>
        </w:rPr>
        <w:t>Autonomous AI Honeypot &amp; Threat Logging System</w:t>
      </w:r>
      <w:r>
        <w:t xml:space="preserve"> is a highly specialized, headless cybersecurity infrastructure tool designed to monitor, capture, track, and record unauthorized network threat factors inside institutional environments. By simulating realistic networks and vulnerabilities, the system acts as a decoy infrastructure (Honeypot) to misdirect malicious actors while actively collecting detailed telemetry and forensic evidence from their connection payloads.</w:t>
      </w:r>
    </w:p>
    <w:tbl>
      <w:tblPr>
        <w:tblW w:w="0" w:type="auto"/>
        <w:jc w:val="center"/>
        <w:tblLayout w:type="fixed"/>
        <w:tblLook w:val="04A0" w:firstRow="1" w:lastRow="0" w:firstColumn="1" w:lastColumn="0" w:noHBand="0" w:noVBand="1"/>
      </w:tblPr>
      <w:tblGrid>
        <w:gridCol w:w="9360"/>
      </w:tblGrid>
      <w:tr w:rsidR="00710F12" w14:paraId="10012C9C" w14:textId="77777777">
        <w:trPr>
          <w:jc w:val="center"/>
        </w:trPr>
        <w:tc>
          <w:tcPr>
            <w:tcW w:w="9360" w:type="dxa"/>
            <w:tcBorders>
              <w:left w:val="single" w:sz="24" w:space="0" w:color="1B365D"/>
            </w:tcBorders>
            <w:shd w:val="clear" w:color="auto" w:fill="F4F6F9"/>
          </w:tcPr>
          <w:p w14:paraId="32D0D17B" w14:textId="77777777" w:rsidR="00710F12" w:rsidRDefault="00000000">
            <w:pPr>
              <w:spacing w:before="120"/>
              <w:ind w:left="144" w:right="144"/>
            </w:pPr>
            <w:r>
              <w:rPr>
                <w:b/>
                <w:color w:val="1B365D"/>
              </w:rPr>
              <w:t>Core Engineering Paradigm</w:t>
            </w:r>
            <w:r>
              <w:rPr>
                <w:b/>
                <w:color w:val="1B365D"/>
              </w:rPr>
              <w:br/>
            </w:r>
            <w:r>
              <w:rPr>
                <w:i/>
                <w:sz w:val="21"/>
              </w:rPr>
              <w:t>This project is engineered completely as a backend-only engine without reliance on traditional frontend UI frameworks. Developer validation, testing, and system analytics execution are achieved natively using automated API specifications.</w:t>
            </w:r>
          </w:p>
        </w:tc>
      </w:tr>
    </w:tbl>
    <w:p w14:paraId="181916BE" w14:textId="77777777" w:rsidR="00710F12" w:rsidRDefault="00710F12"/>
    <w:p w14:paraId="158A4819" w14:textId="77777777" w:rsidR="00710F12" w:rsidRDefault="00000000">
      <w:pPr>
        <w:keepNext/>
        <w:pBdr>
          <w:bottom w:val="single" w:sz="12" w:space="4" w:color="1B365D"/>
        </w:pBdr>
        <w:spacing w:before="240"/>
      </w:pPr>
      <w:r>
        <w:rPr>
          <w:b/>
          <w:color w:val="1B365D"/>
          <w:sz w:val="36"/>
        </w:rPr>
        <w:t>2. Integrated Development Environment (IDE)</w:t>
      </w:r>
    </w:p>
    <w:p w14:paraId="74FCAF16" w14:textId="77777777" w:rsidR="00710F12" w:rsidRDefault="00000000">
      <w:r>
        <w:t xml:space="preserve">The development lifecycle, schema modeling, database configurations, and testing orchestration were managed inside the </w:t>
      </w:r>
      <w:r>
        <w:rPr>
          <w:b/>
        </w:rPr>
        <w:t>Visual Studio Code (VS Code) IDE</w:t>
      </w:r>
      <w:r>
        <w:t>. VS Code was selected to optimize development efficiency through a robust ecosystem of native extensions, integrated terminals, and runtime tracking systems.</w:t>
      </w:r>
    </w:p>
    <w:p w14:paraId="1CD5CE30" w14:textId="77777777" w:rsidR="00710F12" w:rsidRDefault="00000000">
      <w:pPr>
        <w:pStyle w:val="ListBullet"/>
      </w:pPr>
      <w:r>
        <w:rPr>
          <w:b/>
        </w:rPr>
        <w:t xml:space="preserve">Integrated PowerShell &amp; Environment Isolation: </w:t>
      </w:r>
      <w:r>
        <w:t>Utilized to instantiate, monitor, and run virtual isolation environments (.venv) preventing library dependency clutter.</w:t>
      </w:r>
    </w:p>
    <w:p w14:paraId="5153D031" w14:textId="77777777" w:rsidR="00710F12" w:rsidRDefault="00000000">
      <w:pPr>
        <w:pStyle w:val="ListBullet"/>
      </w:pPr>
      <w:r>
        <w:rPr>
          <w:b/>
        </w:rPr>
        <w:t xml:space="preserve">Interactive Debugging Terminal: </w:t>
      </w:r>
      <w:r>
        <w:t>Enabled instant inspection of tracebacks, server lifespans, and connection polling parameters driven by the hot-reloading server.</w:t>
      </w:r>
    </w:p>
    <w:p w14:paraId="1766CFF4" w14:textId="77777777" w:rsidR="00710F12" w:rsidRDefault="00000000">
      <w:pPr>
        <w:pStyle w:val="ListBullet"/>
      </w:pPr>
      <w:r>
        <w:rPr>
          <w:b/>
        </w:rPr>
        <w:t xml:space="preserve">Pydantic &amp; Python IntelliSense: </w:t>
      </w:r>
      <w:r>
        <w:t>Allowed precise structured modeling, automatic autocomplete tracking for document properties, and code type checking.</w:t>
      </w:r>
    </w:p>
    <w:p w14:paraId="5E44898C" w14:textId="77777777" w:rsidR="00710F12" w:rsidRDefault="00000000">
      <w:pPr>
        <w:keepNext/>
        <w:pBdr>
          <w:bottom w:val="single" w:sz="12" w:space="4" w:color="1B365D"/>
        </w:pBdr>
        <w:spacing w:before="240"/>
      </w:pPr>
      <w:r>
        <w:rPr>
          <w:b/>
          <w:color w:val="1B365D"/>
          <w:sz w:val="36"/>
        </w:rPr>
        <w:t>3. System Modules &amp; Data Entities</w:t>
      </w:r>
    </w:p>
    <w:p w14:paraId="065DABC3" w14:textId="77777777" w:rsidR="00710F12" w:rsidRDefault="00000000">
      <w:r>
        <w:t>The system architecture is strictly split into four core data collections (tables) designed to model standard enterprise tracking vectors. Despite leveraging a NoSQL document database, relational data integrity constraints are enforced dynamically through structural linking patterns:</w:t>
      </w:r>
    </w:p>
    <w:p w14:paraId="5292FA88" w14:textId="77777777" w:rsidR="00710F12" w:rsidRDefault="00000000">
      <w:pPr>
        <w:keepNext/>
        <w:spacing w:before="240"/>
      </w:pPr>
      <w:r>
        <w:rPr>
          <w:b/>
          <w:color w:val="4A777A"/>
          <w:sz w:val="28"/>
        </w:rPr>
        <w:lastRenderedPageBreak/>
        <w:t>3.1 Departments Module (One-to-Many)</w:t>
      </w:r>
    </w:p>
    <w:p w14:paraId="6BA21110" w14:textId="77777777" w:rsidR="00710F12" w:rsidRDefault="00000000">
      <w:r>
        <w:t>Represents real corporate or academic infrastructure networks (e.g., Finance, Admissions, Simulation Labs). Each department specifies individual threat thresholds and risk profiles. A single department is mapped to receive multiple incoming threat alerts.</w:t>
      </w:r>
    </w:p>
    <w:p w14:paraId="437594F7" w14:textId="77777777" w:rsidR="00710F12" w:rsidRDefault="00000000">
      <w:pPr>
        <w:keepNext/>
        <w:spacing w:before="240"/>
      </w:pPr>
      <w:r>
        <w:rPr>
          <w:b/>
          <w:color w:val="4A777A"/>
          <w:sz w:val="28"/>
        </w:rPr>
        <w:t>3.2 Attackers Module (One-to-Many / Many-to-Many Source)</w:t>
      </w:r>
    </w:p>
    <w:p w14:paraId="10E08ED7" w14:textId="77777777" w:rsidR="00710F12" w:rsidRDefault="00000000">
      <w:r>
        <w:t>Logs telemetry specific to unauthorized malicious hosts, tracking structural attributes like source IP Address and geolocation properties. This module holds structural relationships where an attacker can spawn multiple alerts over time.</w:t>
      </w:r>
    </w:p>
    <w:p w14:paraId="11D4900C" w14:textId="77777777" w:rsidR="00710F12" w:rsidRDefault="00000000">
      <w:pPr>
        <w:keepNext/>
        <w:spacing w:before="240"/>
      </w:pPr>
      <w:r>
        <w:rPr>
          <w:b/>
          <w:color w:val="4A777A"/>
          <w:sz w:val="28"/>
        </w:rPr>
        <w:t>3.3 Alerts Module (Many-to-One)</w:t>
      </w:r>
    </w:p>
    <w:p w14:paraId="22A6C9D8" w14:textId="77777777" w:rsidR="00710F12" w:rsidRDefault="00000000">
      <w:r>
        <w:t>Captures individual event indicators generated automatically upon sandbox interaction (e.g., Phishing Attempt, Brute Force). This maps back to the specific initiating attacker and targeted infrastructure department using explicit document referencing hooks.</w:t>
      </w:r>
    </w:p>
    <w:p w14:paraId="739A20C2" w14:textId="77777777" w:rsidR="00710F12" w:rsidRDefault="00000000">
      <w:pPr>
        <w:keepNext/>
        <w:spacing w:before="240"/>
      </w:pPr>
      <w:r>
        <w:rPr>
          <w:b/>
          <w:color w:val="4A777A"/>
          <w:sz w:val="28"/>
        </w:rPr>
        <w:t>3.4 Incidents &amp; Forensic Reports (One-to-One &amp; Many-to-Many)</w:t>
      </w:r>
    </w:p>
    <w:p w14:paraId="7AE7A2A4" w14:textId="77777777" w:rsidR="00710F12" w:rsidRDefault="00000000">
      <w:r>
        <w:t>Aggregates overlapping security threat data into macro-level investigation records. An Incident maintains a strict One-to-One mapping with a deep Forensic Report (storing Mitre Attack IDs and heavy payload logs) while maintaining an asynchronous Many-to-Many map tracking collaborative groups of attackers associated across various independent incidents.</w:t>
      </w:r>
    </w:p>
    <w:p w14:paraId="23576AA3" w14:textId="77777777" w:rsidR="00710F12" w:rsidRDefault="00000000">
      <w:pPr>
        <w:keepNext/>
        <w:pBdr>
          <w:bottom w:val="single" w:sz="12" w:space="4" w:color="1B365D"/>
        </w:pBdr>
        <w:spacing w:before="240"/>
      </w:pPr>
      <w:r>
        <w:rPr>
          <w:b/>
          <w:color w:val="1B365D"/>
          <w:sz w:val="36"/>
        </w:rPr>
        <w:t>4. Core Technology Stack &amp; Version Matrix</w:t>
      </w:r>
    </w:p>
    <w:p w14:paraId="6BA2A8D5" w14:textId="77777777" w:rsidR="00710F12" w:rsidRDefault="00000000">
      <w:r>
        <w:t>The engine runs exclusively on Python ecosystem stacks coupled with an external schema driver to safely enforce structural relationship references across collections:</w:t>
      </w:r>
    </w:p>
    <w:tbl>
      <w:tblPr>
        <w:tblW w:w="0" w:type="auto"/>
        <w:jc w:val="center"/>
        <w:tblLayout w:type="fixed"/>
        <w:tblLook w:val="04A0" w:firstRow="1" w:lastRow="0" w:firstColumn="1" w:lastColumn="0" w:noHBand="0" w:noVBand="1"/>
      </w:tblPr>
      <w:tblGrid>
        <w:gridCol w:w="2880"/>
        <w:gridCol w:w="1728"/>
        <w:gridCol w:w="4752"/>
      </w:tblGrid>
      <w:tr w:rsidR="00710F12" w14:paraId="55B55475" w14:textId="77777777">
        <w:trPr>
          <w:jc w:val="center"/>
        </w:trPr>
        <w:tc>
          <w:tcPr>
            <w:tcW w:w="2880" w:type="dxa"/>
            <w:shd w:val="clear" w:color="auto" w:fill="1B365D"/>
          </w:tcPr>
          <w:p w14:paraId="5A33E75E" w14:textId="77777777" w:rsidR="00710F12" w:rsidRDefault="00000000">
            <w:pPr>
              <w:jc w:val="center"/>
            </w:pPr>
            <w:r>
              <w:rPr>
                <w:b/>
                <w:color w:val="FFFFFF"/>
                <w:sz w:val="20"/>
              </w:rPr>
              <w:t>Technology Component</w:t>
            </w:r>
          </w:p>
        </w:tc>
        <w:tc>
          <w:tcPr>
            <w:tcW w:w="1728" w:type="dxa"/>
            <w:shd w:val="clear" w:color="auto" w:fill="1B365D"/>
          </w:tcPr>
          <w:p w14:paraId="143FE1E2" w14:textId="77777777" w:rsidR="00710F12" w:rsidRDefault="00000000">
            <w:pPr>
              <w:jc w:val="center"/>
            </w:pPr>
            <w:r>
              <w:rPr>
                <w:b/>
                <w:color w:val="FFFFFF"/>
                <w:sz w:val="20"/>
              </w:rPr>
              <w:t>Version / Spec</w:t>
            </w:r>
          </w:p>
        </w:tc>
        <w:tc>
          <w:tcPr>
            <w:tcW w:w="4752" w:type="dxa"/>
            <w:shd w:val="clear" w:color="auto" w:fill="1B365D"/>
          </w:tcPr>
          <w:p w14:paraId="71C961AE" w14:textId="77777777" w:rsidR="00710F12" w:rsidRDefault="00000000">
            <w:pPr>
              <w:jc w:val="center"/>
            </w:pPr>
            <w:r>
              <w:rPr>
                <w:b/>
                <w:color w:val="FFFFFF"/>
                <w:sz w:val="20"/>
              </w:rPr>
              <w:t>Architectural Role / Responsibility</w:t>
            </w:r>
          </w:p>
        </w:tc>
      </w:tr>
      <w:tr w:rsidR="00710F12" w14:paraId="282F595E" w14:textId="77777777">
        <w:trPr>
          <w:jc w:val="center"/>
        </w:trPr>
        <w:tc>
          <w:tcPr>
            <w:tcW w:w="2880" w:type="dxa"/>
            <w:tcBorders>
              <w:top w:val="single" w:sz="4" w:space="0" w:color="D1D5DB"/>
              <w:bottom w:val="single" w:sz="4" w:space="0" w:color="D1D5DB"/>
            </w:tcBorders>
          </w:tcPr>
          <w:p w14:paraId="2875FD46" w14:textId="77777777" w:rsidR="00710F12" w:rsidRDefault="00000000">
            <w:pPr>
              <w:spacing w:before="80" w:after="80"/>
            </w:pPr>
            <w:r>
              <w:rPr>
                <w:sz w:val="19"/>
              </w:rPr>
              <w:t>Python FastAPI</w:t>
            </w:r>
          </w:p>
        </w:tc>
        <w:tc>
          <w:tcPr>
            <w:tcW w:w="1728" w:type="dxa"/>
            <w:tcBorders>
              <w:top w:val="single" w:sz="4" w:space="0" w:color="D1D5DB"/>
              <w:bottom w:val="single" w:sz="4" w:space="0" w:color="D1D5DB"/>
            </w:tcBorders>
          </w:tcPr>
          <w:p w14:paraId="51822811" w14:textId="77777777" w:rsidR="00710F12" w:rsidRDefault="00000000">
            <w:pPr>
              <w:spacing w:before="80" w:after="80"/>
              <w:jc w:val="center"/>
            </w:pPr>
            <w:r>
              <w:rPr>
                <w:sz w:val="19"/>
              </w:rPr>
              <w:t>Latest Framework</w:t>
            </w:r>
          </w:p>
        </w:tc>
        <w:tc>
          <w:tcPr>
            <w:tcW w:w="4752" w:type="dxa"/>
            <w:tcBorders>
              <w:top w:val="single" w:sz="4" w:space="0" w:color="D1D5DB"/>
              <w:bottom w:val="single" w:sz="4" w:space="0" w:color="D1D5DB"/>
            </w:tcBorders>
          </w:tcPr>
          <w:p w14:paraId="0947F284" w14:textId="77777777" w:rsidR="00710F12" w:rsidRDefault="00000000">
            <w:pPr>
              <w:spacing w:before="80" w:after="80"/>
            </w:pPr>
            <w:r>
              <w:rPr>
                <w:sz w:val="19"/>
              </w:rPr>
              <w:t>Asynchronous ASGI web application framework handling endpoint routes, automated documentation compilation, and structural payload validations via Pydantic.</w:t>
            </w:r>
          </w:p>
        </w:tc>
      </w:tr>
      <w:tr w:rsidR="00710F12" w14:paraId="0A6DED19" w14:textId="77777777">
        <w:trPr>
          <w:jc w:val="center"/>
        </w:trPr>
        <w:tc>
          <w:tcPr>
            <w:tcW w:w="2880" w:type="dxa"/>
            <w:tcBorders>
              <w:top w:val="single" w:sz="4" w:space="0" w:color="D1D5DB"/>
              <w:bottom w:val="single" w:sz="4" w:space="0" w:color="D1D5DB"/>
            </w:tcBorders>
            <w:shd w:val="clear" w:color="auto" w:fill="F4F6F9"/>
          </w:tcPr>
          <w:p w14:paraId="3B843374" w14:textId="77777777" w:rsidR="00710F12" w:rsidRDefault="00000000">
            <w:pPr>
              <w:spacing w:before="80" w:after="80"/>
            </w:pPr>
            <w:r>
              <w:rPr>
                <w:sz w:val="19"/>
              </w:rPr>
              <w:t>MongoDB Community</w:t>
            </w:r>
          </w:p>
        </w:tc>
        <w:tc>
          <w:tcPr>
            <w:tcW w:w="1728" w:type="dxa"/>
            <w:tcBorders>
              <w:top w:val="single" w:sz="4" w:space="0" w:color="D1D5DB"/>
              <w:bottom w:val="single" w:sz="4" w:space="0" w:color="D1D5DB"/>
            </w:tcBorders>
            <w:shd w:val="clear" w:color="auto" w:fill="F4F6F9"/>
          </w:tcPr>
          <w:p w14:paraId="59B6CDD8" w14:textId="77777777" w:rsidR="00710F12" w:rsidRDefault="00000000">
            <w:pPr>
              <w:spacing w:before="80" w:after="80"/>
              <w:jc w:val="center"/>
            </w:pPr>
            <w:r>
              <w:rPr>
                <w:sz w:val="19"/>
              </w:rPr>
              <w:t>v7.0+ Instance</w:t>
            </w:r>
          </w:p>
        </w:tc>
        <w:tc>
          <w:tcPr>
            <w:tcW w:w="4752" w:type="dxa"/>
            <w:tcBorders>
              <w:top w:val="single" w:sz="4" w:space="0" w:color="D1D5DB"/>
              <w:bottom w:val="single" w:sz="4" w:space="0" w:color="D1D5DB"/>
            </w:tcBorders>
            <w:shd w:val="clear" w:color="auto" w:fill="F4F6F9"/>
          </w:tcPr>
          <w:p w14:paraId="5503B61A" w14:textId="77777777" w:rsidR="00710F12" w:rsidRDefault="00000000">
            <w:pPr>
              <w:spacing w:before="80" w:after="80"/>
            </w:pPr>
            <w:r>
              <w:rPr>
                <w:sz w:val="19"/>
              </w:rPr>
              <w:t>Primary NoSQL document database used to handle unstructured event telemetry schemas and storage records asynchronously on port 27017.</w:t>
            </w:r>
          </w:p>
        </w:tc>
      </w:tr>
      <w:tr w:rsidR="00710F12" w14:paraId="743FD927" w14:textId="77777777">
        <w:trPr>
          <w:jc w:val="center"/>
        </w:trPr>
        <w:tc>
          <w:tcPr>
            <w:tcW w:w="2880" w:type="dxa"/>
            <w:tcBorders>
              <w:top w:val="single" w:sz="4" w:space="0" w:color="D1D5DB"/>
              <w:bottom w:val="single" w:sz="4" w:space="0" w:color="D1D5DB"/>
            </w:tcBorders>
          </w:tcPr>
          <w:p w14:paraId="362D8FE8" w14:textId="77777777" w:rsidR="00710F12" w:rsidRDefault="00000000">
            <w:pPr>
              <w:spacing w:before="80" w:after="80"/>
            </w:pPr>
            <w:r>
              <w:rPr>
                <w:sz w:val="19"/>
              </w:rPr>
              <w:t>Beanie ODM</w:t>
            </w:r>
          </w:p>
        </w:tc>
        <w:tc>
          <w:tcPr>
            <w:tcW w:w="1728" w:type="dxa"/>
            <w:tcBorders>
              <w:top w:val="single" w:sz="4" w:space="0" w:color="D1D5DB"/>
              <w:bottom w:val="single" w:sz="4" w:space="0" w:color="D1D5DB"/>
            </w:tcBorders>
          </w:tcPr>
          <w:p w14:paraId="0CF67720" w14:textId="77777777" w:rsidR="00710F12" w:rsidRDefault="00000000">
            <w:pPr>
              <w:spacing w:before="80" w:after="80"/>
              <w:jc w:val="center"/>
            </w:pPr>
            <w:r>
              <w:rPr>
                <w:sz w:val="19"/>
              </w:rPr>
              <w:t>Latest Engine</w:t>
            </w:r>
          </w:p>
        </w:tc>
        <w:tc>
          <w:tcPr>
            <w:tcW w:w="4752" w:type="dxa"/>
            <w:tcBorders>
              <w:top w:val="single" w:sz="4" w:space="0" w:color="D1D5DB"/>
              <w:bottom w:val="single" w:sz="4" w:space="0" w:color="D1D5DB"/>
            </w:tcBorders>
          </w:tcPr>
          <w:p w14:paraId="6644B0CF" w14:textId="77777777" w:rsidR="00710F12" w:rsidRDefault="00000000">
            <w:pPr>
              <w:spacing w:before="80" w:after="80"/>
            </w:pPr>
            <w:r>
              <w:rPr>
                <w:sz w:val="19"/>
              </w:rPr>
              <w:t>Object Document Mapper explicitly utilized to resolve and enforce relational mappings (Link[]) natively inside Python logic schemas.</w:t>
            </w:r>
          </w:p>
        </w:tc>
      </w:tr>
      <w:tr w:rsidR="00710F12" w14:paraId="78115890" w14:textId="77777777">
        <w:trPr>
          <w:jc w:val="center"/>
        </w:trPr>
        <w:tc>
          <w:tcPr>
            <w:tcW w:w="2880" w:type="dxa"/>
            <w:tcBorders>
              <w:top w:val="single" w:sz="4" w:space="0" w:color="D1D5DB"/>
              <w:bottom w:val="single" w:sz="4" w:space="0" w:color="D1D5DB"/>
            </w:tcBorders>
            <w:shd w:val="clear" w:color="auto" w:fill="F4F6F9"/>
          </w:tcPr>
          <w:p w14:paraId="507A92D8" w14:textId="77777777" w:rsidR="00710F12" w:rsidRDefault="00000000">
            <w:pPr>
              <w:spacing w:before="80" w:after="80"/>
            </w:pPr>
            <w:r>
              <w:rPr>
                <w:sz w:val="19"/>
              </w:rPr>
              <w:t>Motor / PyMongo</w:t>
            </w:r>
          </w:p>
        </w:tc>
        <w:tc>
          <w:tcPr>
            <w:tcW w:w="1728" w:type="dxa"/>
            <w:tcBorders>
              <w:top w:val="single" w:sz="4" w:space="0" w:color="D1D5DB"/>
              <w:bottom w:val="single" w:sz="4" w:space="0" w:color="D1D5DB"/>
            </w:tcBorders>
            <w:shd w:val="clear" w:color="auto" w:fill="F4F6F9"/>
          </w:tcPr>
          <w:p w14:paraId="0960550B" w14:textId="77777777" w:rsidR="00710F12" w:rsidRDefault="00000000">
            <w:pPr>
              <w:spacing w:before="80" w:after="80"/>
              <w:jc w:val="center"/>
            </w:pPr>
            <w:r>
              <w:rPr>
                <w:sz w:val="19"/>
              </w:rPr>
              <w:t>3.3.2 / 4.6.3 Sync</w:t>
            </w:r>
          </w:p>
        </w:tc>
        <w:tc>
          <w:tcPr>
            <w:tcW w:w="4752" w:type="dxa"/>
            <w:tcBorders>
              <w:top w:val="single" w:sz="4" w:space="0" w:color="D1D5DB"/>
              <w:bottom w:val="single" w:sz="4" w:space="0" w:color="D1D5DB"/>
            </w:tcBorders>
            <w:shd w:val="clear" w:color="auto" w:fill="F4F6F9"/>
          </w:tcPr>
          <w:p w14:paraId="4FAB420A" w14:textId="77777777" w:rsidR="00710F12" w:rsidRDefault="00000000">
            <w:pPr>
              <w:spacing w:before="80" w:after="80"/>
            </w:pPr>
            <w:r>
              <w:rPr>
                <w:sz w:val="19"/>
              </w:rPr>
              <w:t>Asynchronous background driver suite implemented to manage stable database connection polling channels and solve query cursor errors.</w:t>
            </w:r>
          </w:p>
        </w:tc>
      </w:tr>
    </w:tbl>
    <w:p w14:paraId="4C7F91D6" w14:textId="77777777" w:rsidR="00710F12" w:rsidRDefault="00710F12">
      <w:pPr>
        <w:spacing w:after="240"/>
      </w:pPr>
    </w:p>
    <w:p w14:paraId="550A8C97" w14:textId="77777777" w:rsidR="00710F12" w:rsidRDefault="00000000">
      <w:pPr>
        <w:keepNext/>
        <w:pBdr>
          <w:bottom w:val="single" w:sz="12" w:space="4" w:color="1B365D"/>
        </w:pBdr>
        <w:spacing w:before="240"/>
      </w:pPr>
      <w:r>
        <w:rPr>
          <w:b/>
          <w:color w:val="1B365D"/>
          <w:sz w:val="36"/>
        </w:rPr>
        <w:lastRenderedPageBreak/>
        <w:t>5. Database CRUD &amp; Drop Operations</w:t>
      </w:r>
    </w:p>
    <w:p w14:paraId="10C0727F" w14:textId="77777777" w:rsidR="00710F12" w:rsidRDefault="00000000">
      <w:r>
        <w:t>The engine exposes comprehensive data manipulation features over all tracking models through standardized HTTP execution paradigms:</w:t>
      </w:r>
    </w:p>
    <w:p w14:paraId="41F52C5B" w14:textId="77777777" w:rsidR="00710F12" w:rsidRDefault="00000000">
      <w:pPr>
        <w:pStyle w:val="ListBullet"/>
      </w:pPr>
      <w:r>
        <w:rPr>
          <w:b/>
        </w:rPr>
        <w:t xml:space="preserve">Create (Insert Operation): </w:t>
      </w:r>
      <w:r>
        <w:t>Triggered via HTTP POST endpoints. It instantiates fresh threat signatures, departments, and attacker nodes safely passing structural integrity checks directly into database documents.</w:t>
      </w:r>
    </w:p>
    <w:p w14:paraId="75B37E11" w14:textId="77777777" w:rsidR="00710F12" w:rsidRDefault="00000000">
      <w:pPr>
        <w:pStyle w:val="ListBullet"/>
      </w:pPr>
      <w:r>
        <w:rPr>
          <w:b/>
        </w:rPr>
        <w:t xml:space="preserve">Read (Lookup Operation): </w:t>
      </w:r>
      <w:r>
        <w:t>Triggered via HTTP GET endpoints. Configured with specific relational flags (fetch_links=True) which tells the ODM engine to look up related documents across different tables and return unified nested objects.</w:t>
      </w:r>
    </w:p>
    <w:p w14:paraId="01F8384F" w14:textId="77777777" w:rsidR="00710F12" w:rsidRDefault="00000000">
      <w:pPr>
        <w:pStyle w:val="ListBullet"/>
      </w:pPr>
      <w:r>
        <w:rPr>
          <w:b/>
        </w:rPr>
        <w:t xml:space="preserve">Update (Modification Operation): </w:t>
      </w:r>
      <w:r>
        <w:t>Triggered via HTTP PUT endpoints. Enables linking runtime entities dynamically—such as appending an attacker profile object array into an existing tracked threat incident record.</w:t>
      </w:r>
    </w:p>
    <w:p w14:paraId="2A94D1FE" w14:textId="77777777" w:rsidR="00710F12" w:rsidRDefault="00000000">
      <w:pPr>
        <w:pStyle w:val="ListBullet"/>
      </w:pPr>
      <w:r>
        <w:rPr>
          <w:b/>
        </w:rPr>
        <w:t xml:space="preserve">Delete &amp; Drop (Purge Operations): </w:t>
      </w:r>
      <w:r>
        <w:t>Triggered via HTTP DELETE endpoints. Features granular document removal (erasing an individual attacker node) and deep administrative purging capability that completely drops an entire collection database table in a single action.</w:t>
      </w:r>
    </w:p>
    <w:p w14:paraId="2A48C5F5" w14:textId="77777777" w:rsidR="00710F12" w:rsidRDefault="00000000">
      <w:pPr>
        <w:keepNext/>
        <w:pBdr>
          <w:bottom w:val="single" w:sz="12" w:space="4" w:color="1B365D"/>
        </w:pBdr>
        <w:spacing w:before="240"/>
      </w:pPr>
      <w:r>
        <w:rPr>
          <w:b/>
          <w:color w:val="1B365D"/>
          <w:sz w:val="36"/>
        </w:rPr>
        <w:t>6. Interface Execution &amp; Validation Dashboard</w:t>
      </w:r>
    </w:p>
    <w:p w14:paraId="44DF19D3" w14:textId="77777777" w:rsidR="00710F12" w:rsidRDefault="00000000">
      <w:r>
        <w:t>Because the system completely rejects frontend UI clutter, verifying and monitoring the API state depends on two foundational validation frameworks:</w:t>
      </w:r>
    </w:p>
    <w:p w14:paraId="3DEE9AFB" w14:textId="77777777" w:rsidR="00710F12" w:rsidRDefault="00000000">
      <w:pPr>
        <w:keepNext/>
        <w:spacing w:before="240"/>
      </w:pPr>
      <w:r>
        <w:rPr>
          <w:b/>
          <w:color w:val="4A777A"/>
          <w:sz w:val="28"/>
        </w:rPr>
        <w:t>6.1 Live Console Stream</w:t>
      </w:r>
    </w:p>
    <w:p w14:paraId="05BC552C" w14:textId="77777777" w:rsidR="00710F12" w:rsidRDefault="00000000">
      <w:r>
        <w:t>Upon firing up the Python ASGI compilation layer, real-time terminal callbacks check internal driver environments, outputting clean lifecycle status indications directly into the VS Code dashboard console panel upon authenticating database initialization loops.</w:t>
      </w:r>
    </w:p>
    <w:p w14:paraId="251C1F20" w14:textId="77777777" w:rsidR="00710F12" w:rsidRDefault="00000000">
      <w:pPr>
        <w:keepNext/>
        <w:spacing w:before="240"/>
      </w:pPr>
      <w:r>
        <w:rPr>
          <w:b/>
          <w:color w:val="4A777A"/>
          <w:sz w:val="28"/>
        </w:rPr>
        <w:t>6.2 Automated Interactive Swagger UI Dashboard</w:t>
      </w:r>
    </w:p>
    <w:p w14:paraId="42E2D38F" w14:textId="77777777" w:rsidR="00710F12" w:rsidRDefault="00000000">
      <w:r>
        <w:t>By accessing the framework's direct document compilation endpoint at '/docs', developers run queries, structure raw JSON parameters, fire off endpoint loops, and inspect response schemas inside a visually segmented testing ecosystem, eliminating external tool dependencies entirely.</w:t>
      </w:r>
    </w:p>
    <w:sectPr w:rsidR="00710F1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6700992">
    <w:abstractNumId w:val="8"/>
  </w:num>
  <w:num w:numId="2" w16cid:durableId="198864216">
    <w:abstractNumId w:val="6"/>
  </w:num>
  <w:num w:numId="3" w16cid:durableId="1609776027">
    <w:abstractNumId w:val="5"/>
  </w:num>
  <w:num w:numId="4" w16cid:durableId="325011998">
    <w:abstractNumId w:val="4"/>
  </w:num>
  <w:num w:numId="5" w16cid:durableId="123238178">
    <w:abstractNumId w:val="7"/>
  </w:num>
  <w:num w:numId="6" w16cid:durableId="1305310331">
    <w:abstractNumId w:val="3"/>
  </w:num>
  <w:num w:numId="7" w16cid:durableId="1734542050">
    <w:abstractNumId w:val="2"/>
  </w:num>
  <w:num w:numId="8" w16cid:durableId="1860965992">
    <w:abstractNumId w:val="1"/>
  </w:num>
  <w:num w:numId="9" w16cid:durableId="1141003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561"/>
    <w:rsid w:val="0029639D"/>
    <w:rsid w:val="00326F90"/>
    <w:rsid w:val="00710F12"/>
    <w:rsid w:val="007F57FD"/>
    <w:rsid w:val="009B6F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140FA"/>
  <w14:defaultImageDpi w14:val="300"/>
  <w15:docId w15:val="{48C8AB6F-2229-42A4-8A13-39CBA27B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pratyush verma</cp:lastModifiedBy>
  <cp:revision>2</cp:revision>
  <dcterms:created xsi:type="dcterms:W3CDTF">2026-06-13T13:58:00Z</dcterms:created>
  <dcterms:modified xsi:type="dcterms:W3CDTF">2026-06-13T13:58:00Z</dcterms:modified>
  <cp:category/>
</cp:coreProperties>
</file>