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following compendium provides a comprehensive overview of the Iron Pact, officially styled as the Confederacy of the Hemlig, a maritime power of significant consequence situated among the southern islands of the Hemlig Reach. Founded formally in the year 1471 CD through the codification of the namesake Pact, this sovereign entity governs a rugged archipelago defined by its isolation and its industry. It possesses no shared land borders with the other great powers of the world, yet it maintains a robust presence upon the waves through established sea links with the realms of Ostravia and Novograd, the various southern Elysian duchies, the distant Kiyo Shogunate, and the Kingdom of Alba. The southern extent of the state’s effective dominion is marked by the Daryl Sound, a frigid boundary beyond which the climate becomes too severe for permanent habitation or administration, save for the occasional and perilous exploratory mission into the ice.</w:t>
      </w:r>
    </w:p>
    <w:p w:rsidR="00000000" w:rsidDel="00000000" w:rsidP="00000000" w:rsidRDefault="00000000" w:rsidRPr="00000000" w14:paraId="0000000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antiquity of the Reach is profound, with seafaring tribes from the regions of modern Ostravia and the Duchy of Preveza first making landfall some fifty thousand years ago. Despite this ancient lineage, earnest colonization did not commence until forty millennia in the past. For much of its early history, the population remained sparse, estimated at a mere sixty thousand souls until the eventual rise of settled agriculture, the exploitation of mineral wealth, and the opening of sea lanes to Ikezaki. The rocky and unforgiving terrain of the islands made the development of farming a difficult endeavor, yet inland communities were successfully established six thousand years ago, facilitating a migration away from the ancestral fishing villages of the coast. This era also yields the first archaeological evidence of the Drowned God, a deity whose worship is theorized to predate even these findings. A mysterious network of submerged tunnels beneath the White Cliffs of Harwick, constructed five millennia ago when sea levels were lower, remains a subject of great interest to modern scholars hoping to illuminate the region's prehistoric darkness.</w:t>
      </w:r>
    </w:p>
    <w:p w:rsidR="00000000" w:rsidDel="00000000" w:rsidP="00000000" w:rsidRDefault="00000000" w:rsidRPr="00000000" w14:paraId="0000000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In the middle centuries, specifically between 600 and 1000 CD, the Reach saw the ascendancy of the Salt Kingdoms based in Harwick, Stahlkollen, Nebelford, and Donnersberg, the latter of which now hosts the capital city of Salzstein. These kingdoms launched vast fleets of raiders and traders who reshaped the world’s map. They founded the Kingdom of Nordgardr in Ostravia and catalyzed the militarization of the Elysian church into the Pantokratene Order following the sacking of their monasteries. While their efforts to settle Elysia met with less success, the resulting economic exhaustion contributed significantly to the loss of Elysian territories in Novograd. These intrepid mariners further established states in the Shattered Isles and Ikezaki, though their ambitions were checked by the frozen south, as evidenced by the failed expeditions of Ralf von Skolter in 793 CD and Jakub von Fruck in 921 CD.</w:t>
      </w:r>
    </w:p>
    <w:p w:rsidR="00000000" w:rsidDel="00000000" w:rsidP="00000000" w:rsidRDefault="00000000" w:rsidRPr="00000000" w14:paraId="0000000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political character of the isles shifted again in 1059 CD with the arrival of Richard Redsail Kyningesmarch and an army raised from Alba. Though he conquered the Reach in the name of the Alban crown, the great distance from the capital at Harndon ensured that the Kyningesmarch ruled as de facto sovereigns for a century. This arrangement persisted until the Revolt of the Tenth Tide, an uprising that compelled the ruling house to renounce its fealty to Alba and rechristen itself as the House of Rikesmark. This transition culminated in the 1471 declaration of the Confederacy.</w:t>
      </w:r>
    </w:p>
    <w:p w:rsidR="00000000" w:rsidDel="00000000" w:rsidP="00000000" w:rsidRDefault="00000000" w:rsidRPr="00000000" w14:paraId="00000005">
      <w:pPr>
        <w:rPr>
          <w:rFonts w:ascii="EB Garamond" w:cs="EB Garamond" w:eastAsia="EB Garamond" w:hAnsi="EB Garamond"/>
        </w:rPr>
      </w:pPr>
      <w:r w:rsidDel="00000000" w:rsidR="00000000" w:rsidRPr="00000000">
        <w:rPr>
          <w:rtl w:val="0"/>
        </w:rPr>
      </w:r>
    </w:p>
    <w:p w:rsidR="00000000" w:rsidDel="00000000" w:rsidP="00000000" w:rsidRDefault="00000000" w:rsidRPr="00000000" w14:paraId="00000006">
      <w:pPr>
        <w:rPr>
          <w:rFonts w:ascii="EB Garamond" w:cs="EB Garamond" w:eastAsia="EB Garamond" w:hAnsi="EB Garamond"/>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