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8"/>
          <w:sz w:val="32"/>
          <w:szCs w:val="32"/>
        </w:rPr>
        <w:t xml:space="preserve">Executive Memo: Early-Tenure Retention Trigger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Recommendation to pilot a proactive retention intervention for the highest-churn customer segment</w:t>
      </w:r>
    </w:p>
    <w:p>
      <w:pPr>
        <w:pStyle w:val="Heading1"/>
        <w:spacing w:after="100" w:before="200"/>
      </w:pPr>
      <w:r>
        <w:t xml:space="preserve">The Ask</w:t>
      </w:r>
    </w:p>
    <w:p>
      <w:pPr>
        <w:spacing w:after="120"/>
      </w:pPr>
      <w:r>
        <w:t xml:space="preserve">Approve a 4-6 week pilot of a proactive retention trigger targeting 966 month-to-month customers in their first 6 months with no support add-on — the single highest-churn segment identified (65.7% churn vs. 26.5% company-wide).</w:t>
      </w:r>
    </w:p>
    <w:p>
      <w:pPr>
        <w:pStyle w:val="Heading1"/>
        <w:spacing w:after="100" w:before="200"/>
      </w:pPr>
      <w:r>
        <w:t xml:space="preserve">Why Now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This segment alone represents $63.3K/month ($760K annualized) in monthly-recurring revenue at elevated risk.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Churn concentrates early: 53.3% of customers in months 0-6 churn, vs. 9.5% by months 49-72 — the intervention window is well-defined and short.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Customers with a TechSupport add-on churn at 15.2% vs. 41.6% without — a 63.6% relative gap that this feature is designed to test and close.</w:t>
      </w:r>
    </w:p>
    <w:p>
      <w:pPr>
        <w:pStyle w:val="Heading1"/>
        <w:spacing w:after="100" w:before="200"/>
      </w:pPr>
      <w:r>
        <w:t xml:space="preserve">Projected Impact (Pilot-Scale, First-Pass Estimate)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5"/>
        <w:gridCol w:w="4175"/>
      </w:tblGrid>
      <w:tr>
        <w:tc>
          <w:tcPr>
            <w:tcW w:type="dxa" w:w="5175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75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1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segment size</w:t>
            </w:r>
          </w:p>
        </w:tc>
        <w:tc>
          <w:tcPr>
            <w:tcW w:type="dxa" w:w="4175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966 customers</w:t>
            </w:r>
          </w:p>
        </w:tc>
      </w:tr>
      <w:tr>
        <w:tc>
          <w:tcPr>
            <w:tcW w:type="dxa" w:w="51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Assumed adoption rate</w:t>
            </w:r>
          </w:p>
        </w:tc>
        <w:tc>
          <w:tcPr>
            <w:tcW w:type="dxa" w:w="4175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51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 retained (modeled)</w:t>
            </w:r>
          </w:p>
        </w:tc>
        <w:tc>
          <w:tcPr>
            <w:tcW w:type="dxa" w:w="4175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~161</w:t>
            </w:r>
          </w:p>
        </w:tc>
      </w:tr>
      <w:tr>
        <w:tc>
          <w:tcPr>
            <w:tcW w:type="dxa" w:w="51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Annualized revenue saved</w:t>
            </w:r>
          </w:p>
        </w:tc>
        <w:tc>
          <w:tcPr>
            <w:tcW w:type="dxa" w:w="4175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~$127K</w:t>
            </w:r>
          </w:p>
        </w:tc>
      </w:tr>
      <w:tr>
        <w:tc>
          <w:tcPr>
            <w:tcW w:type="dxa" w:w="51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Intervention cost</w:t>
            </w:r>
          </w:p>
        </w:tc>
        <w:tc>
          <w:tcPr>
            <w:tcW w:type="dxa" w:w="4175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~$3.1K</w:t>
            </w:r>
          </w:p>
        </w:tc>
      </w:tr>
      <w:tr>
        <w:tc>
          <w:tcPr>
            <w:tcW w:type="dxa" w:w="51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Modeled ROI</w:t>
            </w:r>
          </w:p>
        </w:tc>
        <w:tc>
          <w:tcPr>
            <w:tcW w:type="dxa" w:w="4175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~40x</w:t>
            </w:r>
          </w:p>
        </w:tc>
      </w:tr>
    </w:tbl>
    <w:p>
      <w:pPr>
        <w:spacing w:after="120" w:before="60"/>
      </w:pPr>
      <w:r>
        <w:rPr>
          <w:i/>
          <w:iCs/>
          <w:color w:val="595959"/>
          <w:sz w:val="18"/>
          <w:szCs w:val="18"/>
        </w:rPr>
        <w:t xml:space="preserve">These figures come from a first-pass sizing model with two explicit assumptions (adoption rate, cost per outreach) — see the impact model and PRD Risks section. The pilot's purpose is to replace those assumptions with real numbers before any full rollout decision.</w:t>
      </w:r>
    </w:p>
    <w:p>
      <w:pPr>
        <w:pStyle w:val="Heading1"/>
        <w:spacing w:after="100" w:before="200"/>
      </w:pPr>
      <w:r>
        <w:t xml:space="preserve">What We're Asking For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Sign-off to build the trigger logic and CS tooling flag (Phase 1, ~2 weeks).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CS bandwidth for a randomized 50/50 treatment-vs-control pilot (Phase 2, ~4-6 weeks).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follow-up decision point after the pilot to approve or reject full rollout, based on measured — not modeled — churn reduction.</w:t>
      </w:r>
    </w:p>
    <w:p>
      <w:pPr>
        <w:pStyle w:val="Heading1"/>
        <w:spacing w:after="100" w:before="200"/>
      </w:pPr>
      <w:r>
        <w:t xml:space="preserve">Key Risk</w:t>
      </w:r>
    </w:p>
    <w:p>
      <w:pPr>
        <w:spacing w:after="120"/>
      </w:pPr>
      <w:r>
        <w:t xml:space="preserve">The core assumption — that giving a support add-on reduces churn, rather than merely correlating with customers who were already going to stay — is unproven. The pilot's control group exists specifically to test this before we commit further budget.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2026-09-12T07:05:53.657Z</dcterms:created>
  <dcterms:modified xsi:type="dcterms:W3CDTF">2026-09-12T07:05:53.658Z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