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Product Requirements Document</w:t>
      </w:r>
    </w:p>
    <w:p>
      <w:pPr>
        <w:spacing w:after="40"/>
      </w:pPr>
      <w:r>
        <w:rPr>
          <w:b/>
          <w:bCs/>
          <w:color w:val="1F4E78"/>
          <w:sz w:val="28"/>
          <w:szCs w:val="28"/>
        </w:rPr>
        <w:t xml:space="preserve">Early-Tenure Retention Trigger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Subscription retention feature — generic PM portfolio project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document specifies a retention feature for subscription businesses with a month-to-month contract option. It targets the highest-churn customer segment identified in the accompanying Churn Driver Analysis: new, month-to-month customers who have not adopted a support add-on. The analysis and impact model referenced throughout are built on the IBM Telco Customer Churn dataset (7,043 customers) as a stand-in for a company's live customer base.</w:t>
      </w:r>
    </w:p>
    <w:p>
      <w:pPr>
        <w:pStyle w:val="Heading1"/>
        <w:spacing w:after="150" w:before="300"/>
      </w:pPr>
      <w:r>
        <w:t xml:space="preserve">2. Problem Statement</w:t>
      </w:r>
    </w:p>
    <w:p>
      <w:pPr>
        <w:spacing w:after="120"/>
      </w:pPr>
      <w:r>
        <w:t xml:space="preserve">Across the analyzed customer base, overall churn is 26.5%. That number hides a much sharper problem: customers who are (a) on a month-to-month contract, (b) within their first 6 months of tenure, and (c) have not adopted a Tech Support add-on churn at 65.7% — nearly 2.5x the overall rate, and the single highest-churn segment in the data. This segment is 966 customers, generating $63.3K/month in revenue that is disproportionately at risk in the first 6 months of the relationship, before most retention programs typically engage.</w:t>
      </w:r>
    </w:p>
    <w:p>
      <w:pPr>
        <w:spacing w:after="120"/>
      </w:pPr>
      <w:r>
        <w:t xml:space="preserve">There is currently no proactive intervention aimed specifically at this window. Retention efforts, where they exist, tend to be reactive (triggered by a cancellation request) rather than preventive (triggered by risk signals present at signup).</w:t>
      </w:r>
    </w:p>
    <w:p>
      <w:pPr>
        <w:pStyle w:val="Heading1"/>
        <w:spacing w:after="150" w:before="300"/>
      </w:pPr>
      <w:r>
        <w:t xml:space="preserve">3. Goals and Non-Goals</w:t>
      </w:r>
    </w:p>
    <w:p>
      <w:pPr>
        <w:pStyle w:val="Heading2"/>
        <w:spacing w:after="100" w:before="200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churn within the target segment (month-to-month, tenure 0-6mo, no support add-on) by proactively addressing the support gap correlated with high churn.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Validate, via a pilot, whether a low-cost outreach + trial intervention measurably shifts churn in this segment before committing to a full rollout.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a repeatable, rules-based trigger that Sales/Success can act on without manual segment-hunting.</w:t>
      </w:r>
    </w:p>
    <w:p>
      <w:pPr>
        <w:pStyle w:val="Heading2"/>
        <w:spacing w:after="100" w:before="200"/>
      </w:pPr>
      <w:r>
        <w:t xml:space="preserve">Non-Goals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feature does not address churn drivers outside the target segment (e.g., long-tenure customers, two-year contract customers, or fiber-specific pricing complaints).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not a discounting or pricing feature — the intervention is a service/support trial, not a price concession.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does not replace reactive cancellation-flow retention offers, which remain a separate workstream.</w:t>
      </w:r>
    </w:p>
    <w:p>
      <w:pPr>
        <w:pStyle w:val="Heading1"/>
        <w:spacing w:after="150" w:before="300"/>
      </w:pPr>
      <w:r>
        <w:t xml:space="preserve">4. Feature Logic</w:t>
      </w:r>
    </w:p>
    <w:p>
      <w:pPr>
        <w:spacing w:after="120"/>
      </w:pPr>
      <w:r>
        <w:t xml:space="preserve">The feature is a rules-based trigger, not a model-scored trigger, to keep the first version simple and auditable: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condition: Contract = Month-to-month AND Tenure between 30-45 days AND TechSupport = No AND OnlineSecurity = 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Action: Customer Success queue receives a flagged record; agent places a proactive check-in call and offers a free 30-day trial of the TechSupport and/or OnlineSecurity add-on.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Suppression: Customers who have already received a retention outreach in the prior 30 days, or who are in an active support ticket, are excluded to avoid contact fatigue.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Post-trial: If the customer does not convert to a paid add-on after the 30-day trial, no further automated retention action is taken under this feature — they fall back into standard lifecycle marketing.</w:t>
      </w:r>
    </w:p>
    <w:p>
      <w:pPr>
        <w:spacing w:after="120"/>
      </w:pPr>
      <w:r>
        <w:t xml:space="preserve">Why a support add-on and not a discount: the underlying driver data shows customers with TechSupport churn at 15.2% vs. 41.6% without it — a 63.6% relative reduction. Correlation is not causation (customers who self-select into support add-ons may already be more engaged), so this is treated as a directional signal to test, not a guaranteed causal effect — see Risks.</w:t>
      </w:r>
    </w:p>
    <w:p>
      <w:pPr>
        <w:pStyle w:val="Heading1"/>
        <w:spacing w:after="150" w:before="300"/>
      </w:pPr>
      <w:r>
        <w:t xml:space="preserve">5. Success Metrics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50"/>
      </w:tblGrid>
      <w:tr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15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(Pilot)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Adoption rate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of triggered customers who engage with the outreach or accept the trial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40%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Segment churn rate (post-launch)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90-day churn rate for triggered customers vs. a held-out control group in the same segment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Statistically significant reduction vs. control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Trial-to-paid conversion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of trial customers who convert to a paid TechSupport/OnlineSecurity add-on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20%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per retained customer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intervention cost ÷ customers retained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 month of that customer's ARPU</w:t>
            </w:r>
          </w:p>
        </w:tc>
      </w:tr>
    </w:tbl>
    <w:p>
      <w:pPr>
        <w:pStyle w:val="Heading1"/>
        <w:spacing w:after="150" w:before="300"/>
      </w:pPr>
      <w:r>
        <w:t xml:space="preserve">6. Requirements</w:t>
      </w:r>
    </w:p>
    <w:p>
      <w:pPr>
        <w:pStyle w:val="Heading2"/>
        <w:spacing w:after="100" w:before="200"/>
      </w:pPr>
      <w:r>
        <w:t xml:space="preserve">Functional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Nightly batch job flags customers meeting trigger criteria and pushes to the CS outreach queue.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 tooling surfaces the reason code ("high-churn-risk: no support add-on, month-to-month, &lt;45 days") so agents don't need to interpret raw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Trial provisioning: ability to grant a time-boxed (30-day) add-on trial that auto-expires and prompts a conversion decision.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Suppression logic to exclude customers already contacted or with an open support ticket.</w:t>
      </w:r>
    </w:p>
    <w:p>
      <w:pPr>
        <w:pStyle w:val="Heading2"/>
        <w:spacing w:after="100" w:before="200"/>
      </w:pPr>
      <w:r>
        <w:t xml:space="preserve">Non-Functional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logic must run against the customer database without degrading nightly batch SLAs.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outreach attempts and outcomes logged for the pilot's measurement plan (attribution back to control vs. treatment group).</w:t>
      </w:r>
    </w:p>
    <w:p>
      <w:pPr>
        <w:pStyle w:val="Heading1"/>
        <w:spacing w:after="150" w:before="300"/>
      </w:pPr>
      <w:r>
        <w:t xml:space="preserve">7. Stakeholders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15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Owns feature definition, success metrics, and pilot go/no-go decision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Success Lead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Owns outreach execution, agent scripting, and queue management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Data/Analytics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Owns trigger logic implementation, control-group design, and pilot measurement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Owns trial provisioning/expiry logic and CS tooling integration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Finance/RevOps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Validates cost assumptions and reviews projected revenue impact</w:t>
            </w:r>
          </w:p>
        </w:tc>
      </w:tr>
    </w:tbl>
    <w:p>
      <w:pPr>
        <w:pStyle w:val="Heading1"/>
        <w:spacing w:after="150" w:before="300"/>
      </w:pPr>
      <w:r>
        <w:t xml:space="preserve">8. Rollout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(2 weeks): Build trigger logic and CS tooling flag; QA against historical data to confirm segment size matches analysis (966 customers in the reference dataset).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(4-6 weeks): Pilot on a randomized 50% of the triggered segment, holding the other 50% as a control group; measure adoption, conversion, and 90-day churn deltas.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 (decision gate): If churn reduction in the treatment group is statistically significant and cost-per-retained-customer targets are met, expand to 100% of the triggered segment and reassess trigger criteria (e.g., extend to OnlineSecurity-only gaps).</w:t>
      </w:r>
    </w:p>
    <w:p>
      <w:pPr>
        <w:pStyle w:val="Heading1"/>
        <w:spacing w:after="150" w:before="300"/>
      </w:pPr>
      <w:r>
        <w:t xml:space="preserve">9. Risks and Mitigations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c>
          <w:tcPr>
            <w:tcW w:type="dxa" w:w="42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15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Correlation-not-causation: TechSupport adoption may be a symptom of engagement, not a cause of retention.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 with a true control group (not just before/after) to isolate the intervention's actual effect before scaling.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 fatigue / negative brand perception from proactive outreach.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Suppress customers with recent contact or open tickets; cap outreach frequency; monitor opt-out/complaint rate as a guardrail metric.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Adoption rate assumption (40%) is unvalidated.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Treat pilot Phase 2 as the primary validation step before committing budget to full rollout; impact model is explicitly labeled first-pass.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 team capacity to handle outreach volume.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Size Phase 2 pilot to current CS bandwidth; revisit staffing needs before Phase 3 expansion.</w:t>
            </w:r>
          </w:p>
        </w:tc>
      </w:tr>
    </w:tbl>
    <w:p>
      <w:pPr>
        <w:pStyle w:val="Heading1"/>
        <w:spacing w:after="150" w:before="300"/>
      </w:pPr>
      <w:r>
        <w:t xml:space="preserve">10. Appendix</w:t>
      </w:r>
    </w:p>
    <w:p>
      <w:pPr>
        <w:spacing w:after="120"/>
      </w:pPr>
      <w:r>
        <w:t xml:space="preserve">Data source: IBM Telco Customer Churn dataset (7,043 customers, 21 attributes), via github.com/IBM/telco-customer-churn-on-icp4d, originally published as an IBM sample dataset on Kaggle.</w:t>
      </w:r>
    </w:p>
    <w:p>
      <w:pPr>
        <w:spacing w:after="120"/>
      </w:pPr>
      <w:r>
        <w:t xml:space="preserve">Companion artifacts: Churn Driver Analysis &amp; Retention Feature Impact Model (Excel), Executive Memo (this project's one-pager summary).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2026-09-12T07:05:33.329Z</dcterms:created>
  <dcterms:modified xsi:type="dcterms:W3CDTF">2026-09-12T07:05:33.338Z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