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rlito" w:hAnsi="Carlito"/>
          <w:color w:val="1C84C4"/>
          <w:sz w:val="32"/>
        </w:rPr>
        <w:t>12. CO Attainment Analysis</w:t>
      </w:r>
    </w:p>
    <w:p/>
    <w:p>
      <w:pPr>
        <w:pStyle w:val="Heading2"/>
      </w:pPr>
      <w:r>
        <w:t>CO Attainment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b/>
                <w:sz w:val="20"/>
              </w:rPr>
              <w:t>Course Outcomes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CO3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b w:val="0"/>
                <w:sz w:val="20"/>
              </w:rPr>
              <w:t>Weights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25.00%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36.50%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38.50%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b w:val="0"/>
                <w:sz w:val="20"/>
              </w:rPr>
              <w:t>No. of students scored greater than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5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b w:val="0"/>
                <w:sz w:val="20"/>
              </w:rPr>
              <w:t>Percentage of students scored greater than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90.00%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80.00%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50.00%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b/>
                <w:sz w:val="20"/>
              </w:rPr>
              <w:t>Overall Course Attainment</w:t>
            </w:r>
          </w:p>
        </w:tc>
        <w:tc>
          <w:tcPr>
            <w:tcW w:type="dxa" w:w="1440"/>
            <w:gridSpan w:val="3"/>
          </w:tcPr>
          <w:p>
            <w:pPr>
              <w:jc w:val="center"/>
            </w:pPr>
            <w:r>
              <w:rPr>
                <w:b/>
                <w:sz w:val="20"/>
              </w:rPr>
              <w:t>2.0000</w:t>
            </w:r>
          </w:p>
          <w:p>
            <w:pPr>
              <w:jc w:val="center"/>
            </w:pPr>
            <w:r>
              <w:rPr>
                <w:b w:val="0"/>
                <w:sz w:val="20"/>
              </w:rPr>
              <w:t>2</w:t>
            </w:r>
          </w:p>
          <w:p>
            <w:pPr>
              <w:jc w:val="center"/>
            </w:pPr>
            <w:r>
              <w:rPr>
                <w:b w:val="0"/>
                <w:sz w:val="20"/>
              </w:rPr>
              <w:t>1</w:t>
            </w:r>
          </w:p>
        </w:tc>
      </w:tr>
    </w:tbl>
    <w:p/>
    <w:p>
      <w:pPr>
        <w:pStyle w:val="Heading2"/>
      </w:pPr>
      <w:r>
        <w:t>Program Attainment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Program Outcomes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PO10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PO11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PO12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PSO1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PSO2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PSO3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0"/>
              </w:rPr>
              <w:t>PSO4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b w:val="0"/>
                <w:sz w:val="20"/>
              </w:rPr>
              <w:t>Program Attainment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2.40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2.60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2.65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2.90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  <w:sz w:val="20"/>
              </w:rPr>
              <w:t>0.00</w:t>
            </w:r>
          </w:p>
        </w:tc>
      </w:tr>
    </w:tbl>
    <w:p/>
    <w:p>
      <w:pPr>
        <w:pStyle w:val="Heading2"/>
      </w:pPr>
      <w:r>
        <w:t>Student-wise CO Achievement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b/>
                <w:sz w:val="20"/>
              </w:rPr>
              <w:t>CO1 Score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b/>
                <w:sz w:val="20"/>
              </w:rPr>
              <w:t>CO2 Score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b/>
                <w:sz w:val="20"/>
              </w:rPr>
              <w:t>CO3 Score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b w:val="0"/>
                <w:sz w:val="20"/>
              </w:rPr>
              <w:t>Aditya Goel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b w:val="0"/>
                <w:sz w:val="20"/>
              </w:rPr>
              <w:t>Anisha Chhanpadia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b w:val="0"/>
                <w:sz w:val="20"/>
              </w:rPr>
              <w:t>Dhruv Singla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b w:val="0"/>
                <w:sz w:val="20"/>
              </w:rPr>
              <w:t>Dorjee Phinjo Sona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b w:val="0"/>
                <w:sz w:val="20"/>
              </w:rPr>
              <w:t>EENA CHAUDHARY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0"/>
                <w:sz w:val="20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2.90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2.80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2.40</w:t>
            </w:r>
          </w:p>
        </w:tc>
      </w:tr>
    </w:tbl>
    <w:p>
      <w:pPr>
        <w:jc w:val="center"/>
      </w:pPr>
      <w:r>
        <w:t>Total Rows: 10 | Total Columns: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