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t>Course Code: CSE4708</w:t>
      </w:r>
    </w:p>
    <w:p w14:paraId="6D1C1D6E" w14:textId="77777777" w:rsidR="00B8283C" w:rsidRDefault="00B8283C" w:rsidP="005D11D0">
      <w:pPr>
        <w:spacing w:before="1"/>
        <w:ind w:left="6" w:right="84"/>
        <w:jc w:val="center"/>
        <w:rPr>
          <w:b/>
          <w:sz w:val="34"/>
        </w:rPr>
      </w:pPr>
      <w:r>
        <w:t>Course Title: Cyber Forensics</w:t>
        <w:br/>
        <w:t>Module Semester: 7th Sem</w:t>
      </w:r>
    </w:p>
    <w:p w14:paraId="6AA1EBFC" w14:textId="77777777" w:rsidR="00B8283C" w:rsidRDefault="00B8283C" w:rsidP="00B8283C">
      <w:pPr>
        <w:spacing w:before="1"/>
        <w:ind w:left="6" w:right="84"/>
        <w:jc w:val="center"/>
        <w:rPr>
          <w:b/>
          <w:sz w:val="34"/>
        </w:rPr>
      </w:pPr>
      <w:proofErr w:type="gramStart"/>
      <w:r>
        <w:rPr>
          <w:b/>
          <w:sz w:val="34"/>
        </w:rPr>
        <w:t>Session:</w:t>
      </w:r>
      <w:r w:rsidRPr="00B8283C">
        <w:rPr>
          <w:sz w:val="24"/>
        </w:rPr>
        <w:t xml:space="preserve"> </w:t>
      </w:r>
      <w:r w:rsidRPr="003D4D32">
        <w:rPr>
          <w:sz w:val="36"/>
          <w:szCs w:val="32"/>
        </w:rPr>
        <w:t>{{</w:t>
      </w:r>
      <w:proofErr w:type="gramEnd"/>
      <w:r w:rsidRPr="003D4D32">
        <w:rPr>
          <w:sz w:val="36"/>
          <w:szCs w:val="32"/>
        </w:rPr>
        <w:t>Session}}</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t>Course Code: CSE4708</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t>Course Title: Cyber Forensics</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 7th Sem</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proofErr w:type="gramStart"/>
      <w:r>
        <w:rPr>
          <w:b/>
          <w:sz w:val="24"/>
        </w:rPr>
        <w:t>Session:</w:t>
      </w:r>
      <w:r>
        <w:rPr>
          <w:b/>
          <w:spacing w:val="-3"/>
          <w:sz w:val="24"/>
        </w:rPr>
        <w:t xml:space="preserve"> </w:t>
      </w:r>
      <w:r w:rsidR="00CD2ED3">
        <w:rPr>
          <w:sz w:val="24"/>
        </w:rPr>
        <w:t>{{</w:t>
      </w:r>
      <w:proofErr w:type="gramEnd"/>
      <w:r w:rsidR="00CD2ED3">
        <w:rPr>
          <w:sz w:val="24"/>
        </w:rPr>
        <w:t>Session}}</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 goal of this course â€œCyber Forensicsâ€ is to understand the principles and practice of security attacks and fundamentals of security protocols and its defense. It covers operating system security, database security, network-based security threats and their social and legal aspect. Cyber Forensics is a core elective course in computer science and engineering and computer science undergraduate program. This course focuses on to understand Computer Forensics, Computing Investigations, Enforcement Agency Investigations. This course will provide overview of types of computer forensics, data recovery, electronic evidence, threats, surveillance.</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a brief overview of Computer Forensics Fundamentals.</w:t>
      </w:r>
    </w:p>
    <w:p/>
    <w:p>
      <w:pPr>
        <w:ind w:left="1008" w:right="720"/>
      </w:pPr>
      <w:r>
        <w:t>CO2: Identify the features of Data Recovery.</w:t>
      </w:r>
    </w:p>
    <w:p/>
    <w:p>
      <w:pPr>
        <w:ind w:left="1008" w:right="720"/>
      </w:pPr>
      <w:r>
        <w:t>CO3: Understanding of Reconstructing Past Events.</w:t>
      </w:r>
    </w:p>
    <w:p/>
    <w:p>
      <w:pPr>
        <w:ind w:left="1008" w:right="720"/>
      </w:pPr>
      <w:r>
        <w:t>CO4: Work with cyber forensics tools.</w:t>
      </w:r>
    </w:p>
    <w:p/>
    <w:p>
      <w:pPr>
        <w:ind w:left="1008" w:right="720"/>
        <w:jc w:val="left"/>
      </w:pPr>
      <w:r>
        <w:rPr>
          <w:b/>
          <w:sz w:val="20"/>
        </w:rPr>
        <w:t>CO/PO Mapping:</w:t>
      </w:r>
    </w:p>
    <w:p/>
    <w:tbl>
      <w:tblPr>
        <w:tblW w:type="auto" w:w="0"/>
        <w:jc w:val="center"/>
        <w:tblLook w:firstColumn="1" w:firstRow="1" w:lastColumn="0" w:lastRow="0" w:noHBand="0" w:noVBand="1" w:val="04A0"/>
      </w:tblPr>
      <w:tblGrid>
        <w:gridCol w:w="622"/>
        <w:gridCol w:w="622"/>
        <w:gridCol w:w="622"/>
        <w:gridCol w:w="622"/>
        <w:gridCol w:w="622"/>
        <w:gridCol w:w="622"/>
        <w:gridCol w:w="622"/>
        <w:gridCol w:w="622"/>
        <w:gridCol w:w="622"/>
        <w:gridCol w:w="622"/>
        <w:gridCol w:w="622"/>
        <w:gridCol w:w="622"/>
        <w:gridCol w:w="622"/>
        <w:gridCol w:w="622"/>
        <w:gridCol w:w="622"/>
        <w:gridCol w:w="622"/>
        <w:gridCol w:w="622"/>
        <w:gridCol w:w="622"/>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CO/PO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Computer Forensics Fundamentals.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Types of Computer Forensics Technology</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Types of Vendor and Computer Forensics Services.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Data Recovery</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Evidence Collection and Data Seizure</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Duplication and Preservation of Digital Evidence</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Computer Image Verification and Authentication.</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Discover of Electronic Evidence</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Identification of Data</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Reconstructing Past Events</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11</w:t>
            </w:r>
          </w:p>
        </w:tc>
        <w:tc>
          <w:tcPr>
            <w:tcW w:type="dxa" w:w="5040"/>
            <w:top w:val="single" w:sz="4" w:color="000000"/>
            <w:bottom w:val="single" w:sz="4" w:color="000000"/>
            <w:left w:val="single" w:sz="4" w:color="000000"/>
            <w:right w:val="single" w:sz="4" w:color="000000"/>
          </w:tcPr>
          <w:p>
            <w:r>
              <w:rPr>
                <w:sz w:val="20"/>
              </w:rPr>
              <w:t>Networks.</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1</w:t>
            </w:r>
          </w:p>
        </w:tc>
      </w:tr>
      <w:tr>
        <w:trPr>
          <w:cantSplit/>
          <w:cantSplit/>
        </w:trPr>
        <w:tc>
          <w:tcPr>
            <w:tcW w:type="dxa" w:w="1152"/>
            <w:top w:val="single" w:sz="4" w:color="000000"/>
            <w:bottom w:val="single" w:sz="4" w:color="000000"/>
            <w:left w:val="single" w:sz="4" w:color="000000"/>
            <w:right w:val="single" w:sz="4" w:color="000000"/>
          </w:tcPr>
          <w:p>
            <w:r>
              <w:rPr>
                <w:sz w:val="20"/>
              </w:rPr>
              <w:t>12</w:t>
            </w:r>
          </w:p>
        </w:tc>
        <w:tc>
          <w:tcPr>
            <w:tcW w:type="dxa" w:w="5040"/>
            <w:top w:val="single" w:sz="4" w:color="000000"/>
            <w:bottom w:val="single" w:sz="4" w:color="000000"/>
            <w:left w:val="single" w:sz="4" w:color="000000"/>
            <w:right w:val="single" w:sz="4" w:color="000000"/>
          </w:tcPr>
          <w:p>
            <w:r>
              <w:rPr>
                <w:sz w:val="20"/>
              </w:rPr>
              <w:t>Fighting against Macro Threats</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13</w:t>
            </w:r>
          </w:p>
        </w:tc>
        <w:tc>
          <w:tcPr>
            <w:tcW w:type="dxa" w:w="5040"/>
            <w:top w:val="single" w:sz="4" w:color="000000"/>
            <w:bottom w:val="single" w:sz="4" w:color="000000"/>
            <w:left w:val="single" w:sz="4" w:color="000000"/>
            <w:right w:val="single" w:sz="4" w:color="000000"/>
          </w:tcPr>
          <w:p>
            <w:r>
              <w:rPr>
                <w:sz w:val="20"/>
              </w:rPr>
              <w:t>Information Warfare Arsenal</w:t>
            </w:r>
          </w:p>
        </w:tc>
        <w:tc>
          <w:tcPr>
            <w:tcW w:type="dxa" w:w="1152"/>
            <w:top w:val="single" w:sz="4" w:color="000000"/>
            <w:bottom w:val="single" w:sz="4" w:color="000000"/>
            <w:left w:val="single" w:sz="4" w:color="000000"/>
            <w:right w:val="single" w:sz="4" w:color="000000"/>
          </w:tcPr>
          <w:p>
            <w:r>
              <w:rPr>
                <w:sz w:val="20"/>
              </w:rPr>
              <w:t>4</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14</w:t>
            </w:r>
          </w:p>
        </w:tc>
        <w:tc>
          <w:tcPr>
            <w:tcW w:type="dxa" w:w="5040"/>
            <w:top w:val="single" w:sz="4" w:color="000000"/>
            <w:bottom w:val="single" w:sz="4" w:color="000000"/>
            <w:left w:val="single" w:sz="4" w:color="000000"/>
            <w:right w:val="single" w:sz="4" w:color="000000"/>
          </w:tcPr>
          <w:p>
            <w:r>
              <w:rPr>
                <w:sz w:val="20"/>
              </w:rPr>
              <w:t>Tactics of the Military</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15</w:t>
            </w:r>
          </w:p>
        </w:tc>
        <w:tc>
          <w:tcPr>
            <w:tcW w:type="dxa" w:w="5040"/>
            <w:top w:val="single" w:sz="4" w:color="000000"/>
            <w:bottom w:val="single" w:sz="4" w:color="000000"/>
            <w:left w:val="single" w:sz="4" w:color="000000"/>
            <w:right w:val="single" w:sz="4" w:color="000000"/>
          </w:tcPr>
          <w:p>
            <w:r>
              <w:rPr>
                <w:sz w:val="20"/>
              </w:rPr>
              <w:t>Tactics of Terrorist and Rogues</w:t>
            </w:r>
          </w:p>
        </w:tc>
        <w:tc>
          <w:tcPr>
            <w:tcW w:type="dxa" w:w="1152"/>
            <w:top w:val="single" w:sz="4" w:color="000000"/>
            <w:bottom w:val="single" w:sz="4" w:color="000000"/>
            <w:left w:val="single" w:sz="4" w:color="000000"/>
            <w:right w:val="single" w:sz="4" w:color="000000"/>
          </w:tcPr>
          <w:p>
            <w:r>
              <w:rPr>
                <w:sz w:val="20"/>
              </w:rPr>
              <w:t>4</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16</w:t>
            </w:r>
          </w:p>
        </w:tc>
        <w:tc>
          <w:tcPr>
            <w:tcW w:type="dxa" w:w="5040"/>
            <w:top w:val="single" w:sz="4" w:color="000000"/>
            <w:bottom w:val="single" w:sz="4" w:color="000000"/>
            <w:left w:val="single" w:sz="4" w:color="000000"/>
            <w:right w:val="single" w:sz="4" w:color="000000"/>
          </w:tcPr>
          <w:p>
            <w:r>
              <w:rPr>
                <w:sz w:val="20"/>
              </w:rPr>
              <w:t>Tactics of Private Companies.</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17</w:t>
            </w:r>
          </w:p>
        </w:tc>
        <w:tc>
          <w:tcPr>
            <w:tcW w:type="dxa" w:w="5040"/>
            <w:top w:val="single" w:sz="4" w:color="000000"/>
            <w:bottom w:val="single" w:sz="4" w:color="000000"/>
            <w:left w:val="single" w:sz="4" w:color="000000"/>
            <w:right w:val="single" w:sz="4" w:color="000000"/>
          </w:tcPr>
          <w:p>
            <w:r>
              <w:rPr>
                <w:sz w:val="20"/>
              </w:rPr>
              <w:t>The Future â€“ Arsenal</w:t>
            </w:r>
          </w:p>
        </w:tc>
        <w:tc>
          <w:tcPr>
            <w:tcW w:type="dxa" w:w="1152"/>
            <w:top w:val="single" w:sz="4" w:color="000000"/>
            <w:bottom w:val="single" w:sz="4" w:color="000000"/>
            <w:left w:val="single" w:sz="4" w:color="000000"/>
            <w:right w:val="single" w:sz="4" w:color="000000"/>
          </w:tcPr>
          <w:p>
            <w:r>
              <w:rPr>
                <w:sz w:val="20"/>
              </w:rPr>
              <w:t>4</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18</w:t>
            </w:r>
          </w:p>
        </w:tc>
        <w:tc>
          <w:tcPr>
            <w:tcW w:type="dxa" w:w="5040"/>
            <w:top w:val="single" w:sz="4" w:color="000000"/>
            <w:bottom w:val="single" w:sz="4" w:color="000000"/>
            <w:left w:val="single" w:sz="4" w:color="000000"/>
            <w:right w:val="single" w:sz="4" w:color="000000"/>
          </w:tcPr>
          <w:p>
            <w:r>
              <w:rPr>
                <w:sz w:val="20"/>
              </w:rPr>
              <w:t>Surveillance Tools</w:t>
            </w:r>
          </w:p>
        </w:tc>
        <w:tc>
          <w:tcPr>
            <w:tcW w:type="dxa" w:w="1152"/>
            <w:top w:val="single" w:sz="4" w:color="000000"/>
            <w:bottom w:val="single" w:sz="4" w:color="000000"/>
            <w:left w:val="single" w:sz="4" w:color="000000"/>
            <w:right w:val="single" w:sz="4" w:color="000000"/>
          </w:tcPr>
          <w:p>
            <w:r>
              <w:rPr>
                <w:sz w:val="20"/>
              </w:rPr>
              <w:t>4</w:t>
            </w:r>
          </w:p>
        </w:tc>
        <w:tc>
          <w:tcPr>
            <w:tcW w:type="dxa" w:w="1152"/>
            <w:top w:val="single" w:sz="4" w:color="000000"/>
            <w:bottom w:val="single" w:sz="4" w:color="000000"/>
            <w:left w:val="single" w:sz="4" w:color="000000"/>
            <w:right w:val="single" w:sz="4" w:color="000000"/>
          </w:tcPr>
          <w:p>
            <w:r>
              <w:rPr>
                <w:sz w:val="20"/>
              </w:rPr>
              <w:t>1</w:t>
            </w:r>
          </w:p>
        </w:tc>
      </w:tr>
      <w:tr>
        <w:trPr>
          <w:cantSplit/>
          <w:cantSplit/>
        </w:trPr>
        <w:tc>
          <w:tcPr>
            <w:tcW w:type="dxa" w:w="1152"/>
            <w:top w:val="single" w:sz="4" w:color="000000"/>
            <w:bottom w:val="single" w:sz="4" w:color="000000"/>
            <w:left w:val="single" w:sz="4" w:color="000000"/>
            <w:right w:val="single" w:sz="4" w:color="000000"/>
          </w:tcPr>
          <w:p>
            <w:r>
              <w:rPr>
                <w:sz w:val="20"/>
              </w:rPr>
              <w:t>19</w:t>
            </w:r>
          </w:p>
        </w:tc>
        <w:tc>
          <w:tcPr>
            <w:tcW w:type="dxa" w:w="5040"/>
            <w:top w:val="single" w:sz="4" w:color="000000"/>
            <w:bottom w:val="single" w:sz="4" w:color="000000"/>
            <w:left w:val="single" w:sz="4" w:color="000000"/>
            <w:right w:val="single" w:sz="4" w:color="000000"/>
          </w:tcPr>
          <w:p>
            <w:r>
              <w:rPr>
                <w:sz w:val="20"/>
              </w:rPr>
              <w:t>Victims and Refugees</w:t>
            </w:r>
          </w:p>
        </w:tc>
        <w:tc>
          <w:tcPr>
            <w:tcW w:type="dxa" w:w="1152"/>
            <w:top w:val="single" w:sz="4" w:color="000000"/>
            <w:bottom w:val="single" w:sz="4" w:color="000000"/>
            <w:left w:val="single" w:sz="4" w:color="000000"/>
            <w:right w:val="single" w:sz="4" w:color="000000"/>
          </w:tcPr>
          <w:p>
            <w:r>
              <w:rPr>
                <w:sz w:val="20"/>
              </w:rPr>
              <w:t>4</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20</w:t>
            </w:r>
          </w:p>
        </w:tc>
        <w:tc>
          <w:tcPr>
            <w:tcW w:type="dxa" w:w="5040"/>
            <w:top w:val="single" w:sz="4" w:color="000000"/>
            <w:bottom w:val="single" w:sz="4" w:color="000000"/>
            <w:left w:val="single" w:sz="4" w:color="000000"/>
            <w:right w:val="single" w:sz="4" w:color="000000"/>
          </w:tcPr>
          <w:p>
            <w:r>
              <w:rPr>
                <w:sz w:val="20"/>
              </w:rPr>
              <w:t>Advanced Computer Forensics.</w:t>
            </w:r>
          </w:p>
        </w:tc>
        <w:tc>
          <w:tcPr>
            <w:tcW w:type="dxa" w:w="1152"/>
            <w:top w:val="single" w:sz="4" w:color="000000"/>
            <w:bottom w:val="single" w:sz="4" w:color="000000"/>
            <w:left w:val="single" w:sz="4" w:color="000000"/>
            <w:right w:val="single" w:sz="4" w:color="000000"/>
          </w:tcPr>
          <w:p>
            <w:r>
              <w:rPr>
                <w:sz w:val="20"/>
              </w:rPr>
              <w:t>4</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21</w:t>
            </w:r>
          </w:p>
        </w:tc>
        <w:tc>
          <w:tcPr>
            <w:tcW w:type="dxa" w:w="5040"/>
            <w:top w:val="single" w:sz="4" w:color="000000"/>
            <w:bottom w:val="single" w:sz="4" w:color="000000"/>
            <w:left w:val="single" w:sz="4" w:color="000000"/>
            <w:right w:val="single" w:sz="4" w:color="000000"/>
          </w:tcPr>
          <w:p>
            <w:r>
              <w:rPr>
                <w:sz w:val="20"/>
              </w:rPr>
              <w:t>Payload, Key Management</w:t>
            </w:r>
          </w:p>
        </w:tc>
        <w:tc>
          <w:tcPr>
            <w:tcW w:type="dxa" w:w="1152"/>
            <w:top w:val="single" w:sz="4" w:color="000000"/>
            <w:bottom w:val="single" w:sz="4" w:color="000000"/>
            <w:left w:val="single" w:sz="4" w:color="000000"/>
            <w:right w:val="single" w:sz="4" w:color="000000"/>
          </w:tcPr>
          <w:p>
            <w:r>
              <w:rPr>
                <w:sz w:val="20"/>
              </w:rPr>
              <w:t>4</w:t>
            </w:r>
          </w:p>
        </w:tc>
        <w:tc>
          <w:tcPr>
            <w:tcW w:type="dxa" w:w="1152"/>
            <w:top w:val="single" w:sz="4" w:color="000000"/>
            <w:bottom w:val="single" w:sz="4" w:color="000000"/>
            <w:left w:val="single" w:sz="4" w:color="000000"/>
            <w:right w:val="single" w:sz="4" w:color="000000"/>
          </w:tcPr>
          <w:p>
            <w:r>
              <w:rPr>
                <w:sz w:val="20"/>
              </w:rPr>
              <w:t>2</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John R. Vacca, â€œComputer Forensicsâ€?, Firewall Media, 2004</w:t>
      </w:r>
    </w:p>
    <w:p>
      <w:pPr>
        <w:ind w:left="1440"/>
      </w:pPr>
      <w:r>
        <w:rPr>
          <w:sz w:val="24"/>
        </w:rPr>
        <w:t xml:space="preserve">✓ </w:t>
      </w:r>
      <w:r>
        <w:rPr>
          <w:sz w:val="24"/>
        </w:rPr>
        <w:t>Chad Steel, â€œWindows Forensicsâ€?, Wiley India, 2006</w:t>
      </w:r>
    </w:p>
    <w:p>
      <w:pPr>
        <w:ind w:left="1440"/>
      </w:pPr>
      <w:r>
        <w:rPr>
          <w:sz w:val="24"/>
        </w:rPr>
        <w:t xml:space="preserve">✓ </w:t>
      </w:r>
      <w:r>
        <w:rPr>
          <w:sz w:val="24"/>
        </w:rPr>
        <w:t>Majid Yar, â€œCybercrime and Societyâ€?, Sage Publications, 2006</w:t>
      </w:r>
    </w:p>
    <w:p>
      <w:pPr>
        <w:ind w:left="1440"/>
      </w:pPr>
      <w:r>
        <w:rPr>
          <w:sz w:val="24"/>
        </w:rPr>
        <w:t xml:space="preserve">✓ </w:t>
      </w:r>
      <w:r>
        <w:rPr>
          <w:sz w:val="24"/>
        </w:rPr>
        <w:t>Robert M Slade, â€œSoftware Forensicsâ€?, Tata McGraw Hill, 2004</w:t>
      </w:r>
    </w:p>
    <w:p/>
    <w:p>
      <w:pPr>
        <w:pStyle w:val="Heading2"/>
        <w:jc w:val="left"/>
      </w:pPr>
      <w:r>
        <w:rPr>
          <w:b/>
          <w:sz w:val="24"/>
        </w:rPr>
        <w:t>Reference Links:</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13. Student Learning Categories</w:t>
      </w:r>
    </w:p>
    <w:p/>
    <w:p>
      <w:r>
        <w:t>No student performance data available.</w:t>
      </w:r>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Cyber Forensics (CSE4708) Sem: 7th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Cyber Forensics (CSE4708) Sem: 7th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